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FY2027 affordability gains and that the GMCB already had the authority it needed.</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