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HEALTHCARE</w:t>
      </w:r>
    </w:p>
    <w:p>
      <w:pPr>
        <w:pStyle w:val="BodyText"/>
        <w:spacing w:before="200" w:after="40"/>
        <w:jc w:val="left"/>
      </w:pPr>
      <w:r>
        <w:rPr>
          <w:b w:val="0"/>
          <w:i/>
          <w:iCs/>
          <w:color w:val="1B3A6B"/>
          <w:sz w:val="28"/>
        </w:rPr>
        <w:t xml:space="preserve">A Five-Pillar Framework with Vermont as the National Proving Ground</w:t>
      </w:r>
    </w:p>
    <w:p>
      <w:pPr>
        <w:pStyle w:val="BodyText"/>
        <w:spacing w:before="80" w:after="40"/>
        <w:jc w:val="left"/>
      </w:pPr>
      <w:r>
        <w:rPr>
          <w:b/>
          <w:bCs/>
          <w:i w:val="0"/>
          <w:color w:val="1A1A1A"/>
          <w:sz w:val="24"/>
        </w:rPr>
        <w:t xml:space="preserve">Bechir BenSaid</w:t>
      </w:r>
    </w:p>
    <w:p>
      <w:pPr>
        <w:spacing w:after="280"/>
      </w:pPr>
    </w:p>
    <w:p>
      <w:pPr>
        <w:jc w:val="center"/>
      </w:pPr>
      <w:r>
        <w:drawing>
          <wp:inline>
            <wp:extent cx="4343400" cy="43434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43400" cy="4343400"/>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Five-Pillar Framework and the Equity Imperative: Why They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Five-Pillar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Five Pillars and the Equity Imperative</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Dependency Matrix</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Five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Five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EXPLORE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GO DEEPER — ACADEMY</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Implications for You</w:t>
        </w:r>
      </w:hyperlink>
      <w:r>
        <w:tab/>
      </w:r>
      <w:r>
        <w:fldChar w:fldCharType="begin"/>
      </w:r>
      <w:r>
        <w:instrText xml:space="preserve"> PAGEREF _Toc1062 \h </w:instrText>
      </w:r>
      <w:r>
        <w:fldChar w:fldCharType="separate"/>
      </w:r>
      <w:r>
        <w:t>1</w:t>
      </w:r>
      <w:r>
        <w:fldChar w:fldCharType="end"/>
      </w:r>
    </w:p>
    <w:p>
      <w:pPr>
        <w:pStyle w:val="TOC2"/>
      </w:pPr>
      <w:hyperlink w:anchor="_Toc1063">
        <w:r>
          <w:t xml:space="preserve">Key Concepts in This Chapter</w:t>
        </w:r>
      </w:hyperlink>
      <w:r>
        <w:tab/>
      </w:r>
      <w:r>
        <w:fldChar w:fldCharType="begin"/>
      </w:r>
      <w:r>
        <w:instrText xml:space="preserve"> PAGEREF _Toc1063 \h </w:instrText>
      </w:r>
      <w:r>
        <w:fldChar w:fldCharType="separate"/>
      </w:r>
      <w:r>
        <w:t>1</w:t>
      </w:r>
      <w:r>
        <w:fldChar w:fldCharType="end"/>
      </w:r>
    </w:p>
    <w:p>
      <w:pPr>
        <w:pStyle w:val="TOC1"/>
      </w:pPr>
      <w:hyperlink w:anchor="_Toc1064">
        <w:r>
          <w:t xml:space="preserve">Chapter 2: The Policy Pillar — Legislative Architecture for Structural Reform</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Anatomy of a System-Level Reform Mandate</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Three Imperatives: Oliver Wyman’s Central Finding</w:t>
        </w:r>
      </w:hyperlink>
      <w:r>
        <w:tab/>
      </w:r>
      <w:r>
        <w:fldChar w:fldCharType="begin"/>
      </w:r>
      <w:r>
        <w:instrText xml:space="preserve"> PAGEREF _Toc1066 \h </w:instrText>
      </w:r>
      <w:r>
        <w:fldChar w:fldCharType="separate"/>
      </w:r>
      <w:r>
        <w:t>1</w:t>
      </w:r>
      <w:r>
        <w:fldChar w:fldCharType="end"/>
      </w:r>
    </w:p>
    <w:p>
      <w:pPr>
        <w:pStyle w:val="TOC2"/>
      </w:pPr>
      <w:hyperlink w:anchor="_Toc1067">
        <w:r>
          <w:t xml:space="preserve">The Platform for Change: Vermont’s System in Crisis</w:t>
        </w:r>
      </w:hyperlink>
      <w:r>
        <w:tab/>
      </w:r>
      <w:r>
        <w:fldChar w:fldCharType="begin"/>
      </w:r>
      <w:r>
        <w:instrText xml:space="preserve"> PAGEREF _Toc1067 \h </w:instrText>
      </w:r>
      <w:r>
        <w:fldChar w:fldCharType="separate"/>
      </w:r>
      <w:r>
        <w:t>1</w:t>
      </w:r>
      <w:r>
        <w:fldChar w:fldCharType="end"/>
      </w:r>
    </w:p>
    <w:p>
      <w:pPr>
        <w:pStyle w:val="TOC2"/>
      </w:pPr>
      <w:hyperlink w:anchor="_Toc1073">
        <w:r>
          <w:t xml:space="preserve">The Perception vs. Reality Problem</w:t>
        </w:r>
      </w:hyperlink>
      <w:r>
        <w:tab/>
      </w:r>
      <w:r>
        <w:fldChar w:fldCharType="begin"/>
      </w:r>
      <w:r>
        <w:instrText xml:space="preserve"> PAGEREF _Toc1073 \h </w:instrText>
      </w:r>
      <w:r>
        <w:fldChar w:fldCharType="separate"/>
      </w:r>
      <w:r>
        <w:t>1</w:t>
      </w:r>
      <w:r>
        <w:fldChar w:fldCharType="end"/>
      </w:r>
    </w:p>
    <w:p>
      <w:pPr>
        <w:pStyle w:val="TOC2"/>
      </w:pPr>
      <w:hyperlink w:anchor="_Toc1074">
        <w:r>
          <w:t xml:space="preserve">Act 167 (2022): The Diagnostic Mandate</w:t>
        </w:r>
      </w:hyperlink>
      <w:r>
        <w:tab/>
      </w:r>
      <w:r>
        <w:fldChar w:fldCharType="begin"/>
      </w:r>
      <w:r>
        <w:instrText xml:space="preserve"> PAGEREF _Toc1074 \h </w:instrText>
      </w:r>
      <w:r>
        <w:fldChar w:fldCharType="separate"/>
      </w:r>
      <w:r>
        <w:t>1</w:t>
      </w:r>
      <w:r>
        <w:fldChar w:fldCharType="end"/>
      </w:r>
    </w:p>
    <w:p>
      <w:pPr>
        <w:pStyle w:val="TOC2"/>
      </w:pPr>
      <w:hyperlink w:anchor="_Toc1077">
        <w:r>
          <w:t xml:space="preserve">The Oliver Wyman System Redesign Blueprint</w:t>
        </w:r>
      </w:hyperlink>
      <w:r>
        <w:tab/>
      </w:r>
      <w:r>
        <w:fldChar w:fldCharType="begin"/>
      </w:r>
      <w:r>
        <w:instrText xml:space="preserve"> PAGEREF _Toc1077 \h </w:instrText>
      </w:r>
      <w:r>
        <w:fldChar w:fldCharType="separate"/>
      </w:r>
      <w:r>
        <w:t>1</w:t>
      </w:r>
      <w:r>
        <w:fldChar w:fldCharType="end"/>
      </w:r>
    </w:p>
    <w:p>
      <w:pPr>
        <w:pStyle w:val="TOC2"/>
      </w:pPr>
      <w:hyperlink w:anchor="_Toc1081">
        <w:r>
          <w:t xml:space="preserve">Act 68 (2025): The Operational Mandate</w:t>
        </w:r>
      </w:hyperlink>
      <w:r>
        <w:tab/>
      </w:r>
      <w:r>
        <w:fldChar w:fldCharType="begin"/>
      </w:r>
      <w:r>
        <w:instrText xml:space="preserve"> PAGEREF _Toc1081 \h </w:instrText>
      </w:r>
      <w:r>
        <w:fldChar w:fldCharType="separate"/>
      </w:r>
      <w:r>
        <w:t>1</w:t>
      </w:r>
      <w:r>
        <w:fldChar w:fldCharType="end"/>
      </w:r>
    </w:p>
    <w:p>
      <w:pPr>
        <w:pStyle w:val="TOC2"/>
      </w:pPr>
      <w:hyperlink w:anchor="_Toc1085">
        <w:r>
          <w:t xml:space="preserve">The Rural Health Transformation Program: Capital for an Operational Strategy</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Cross-State Lessons: What Vermont’s Model Generalizes</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Work This Chapter on the Platform</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Implications for You</w:t>
        </w:r>
      </w:hyperlink>
      <w:r>
        <w:tab/>
      </w:r>
      <w:r>
        <w:fldChar w:fldCharType="begin"/>
      </w:r>
      <w:r>
        <w:instrText xml:space="preserve"> PAGEREF _Toc1088 \h </w:instrText>
      </w:r>
      <w:r>
        <w:fldChar w:fldCharType="separate"/>
      </w:r>
      <w:r>
        <w:t>1</w:t>
      </w:r>
      <w:r>
        <w:fldChar w:fldCharType="end"/>
      </w:r>
    </w:p>
    <w:p>
      <w:pPr>
        <w:pStyle w:val="TOC2"/>
      </w:pPr>
      <w:hyperlink w:anchor="_Toc1089">
        <w:r>
          <w:t xml:space="preserve">Key Concepts in This Chapter</w:t>
        </w:r>
      </w:hyperlink>
      <w:r>
        <w:tab/>
      </w:r>
      <w:r>
        <w:fldChar w:fldCharType="begin"/>
      </w:r>
      <w:r>
        <w:instrText xml:space="preserve"> PAGEREF _Toc1089 \h </w:instrText>
      </w:r>
      <w:r>
        <w:fldChar w:fldCharType="separate"/>
      </w:r>
      <w:r>
        <w:t>1</w:t>
      </w:r>
      <w:r>
        <w:fldChar w:fldCharType="end"/>
      </w:r>
    </w:p>
    <w:p>
      <w:pPr>
        <w:pStyle w:val="TOC1"/>
      </w:pPr>
      <w:hyperlink w:anchor="_Toc1090">
        <w:r>
          <w:t xml:space="preserve">Chapter 3: The Policy Pillar in Practice — CMMI Models, Waiver Strategy, and the Federal-State Interface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From Policy Architecture to Policy Practice</w:t>
        </w:r>
      </w:hyperlink>
      <w:r>
        <w:tab/>
      </w:r>
      <w:r>
        <w:fldChar w:fldCharType="begin"/>
      </w:r>
      <w:r>
        <w:instrText xml:space="preserve"> PAGEREF _Toc1091 \h </w:instrText>
      </w:r>
      <w:r>
        <w:fldChar w:fldCharType="separate"/>
      </w:r>
      <w:r>
        <w:t>1</w:t>
      </w:r>
      <w:r>
        <w:fldChar w:fldCharType="end"/>
      </w:r>
    </w:p>
    <w:p>
      <w:pPr>
        <w:pStyle w:val="TOC2"/>
      </w:pPr>
      <w:hyperlink w:anchor="_Toc1092">
        <w:r>
          <w:t xml:space="preserve">The CMMI Landscape — What Exists, What Works, and What Has Been Discontinued</w:t>
        </w:r>
      </w:hyperlink>
      <w:r>
        <w:tab/>
      </w:r>
      <w:r>
        <w:fldChar w:fldCharType="begin"/>
      </w:r>
      <w:r>
        <w:instrText xml:space="preserve"> PAGEREF _Toc1092 \h </w:instrText>
      </w:r>
      <w:r>
        <w:fldChar w:fldCharType="separate"/>
      </w:r>
      <w:r>
        <w:t>1</w:t>
      </w:r>
      <w:r>
        <w:fldChar w:fldCharType="end"/>
      </w:r>
    </w:p>
    <w:p>
      <w:pPr>
        <w:pStyle w:val="TOC2"/>
      </w:pPr>
      <w:hyperlink w:anchor="_Toc1095">
        <w:r>
          <w:t xml:space="preserve">Section 1115 Waivers — The State’s Primary Federal Policy Tool</w:t>
        </w:r>
      </w:hyperlink>
      <w:r>
        <w:tab/>
      </w:r>
      <w:r>
        <w:fldChar w:fldCharType="begin"/>
      </w:r>
      <w:r>
        <w:instrText xml:space="preserve"> PAGEREF _Toc1095 \h </w:instrText>
      </w:r>
      <w:r>
        <w:fldChar w:fldCharType="separate"/>
      </w:r>
      <w:r>
        <w:t>1</w:t>
      </w:r>
      <w:r>
        <w:fldChar w:fldCharType="end"/>
      </w:r>
    </w:p>
    <w:p>
      <w:pPr>
        <w:pStyle w:val="TOC2"/>
      </w:pPr>
      <w:hyperlink w:anchor="_Toc1100">
        <w:r>
          <w:t xml:space="preserve">Prior Authorization Reform — The Administrative Pillar of Policy Strategy</w:t>
        </w:r>
      </w:hyperlink>
      <w:r>
        <w:tab/>
      </w:r>
      <w:r>
        <w:fldChar w:fldCharType="begin"/>
      </w:r>
      <w:r>
        <w:instrText xml:space="preserve"> PAGEREF _Toc1100 \h </w:instrText>
      </w:r>
      <w:r>
        <w:fldChar w:fldCharType="separate"/>
      </w:r>
      <w:r>
        <w:t>1</w:t>
      </w:r>
      <w:r>
        <w:fldChar w:fldCharType="end"/>
      </w:r>
    </w:p>
    <w:p>
      <w:pPr>
        <w:pStyle w:val="TOC2"/>
      </w:pPr>
      <w:hyperlink w:anchor="_Toc1103">
        <w:r>
          <w:t xml:space="preserve">The State-Federal Policy Interface — Navigating the Relationship</w:t>
        </w:r>
      </w:hyperlink>
      <w:r>
        <w:tab/>
      </w:r>
      <w:r>
        <w:fldChar w:fldCharType="begin"/>
      </w:r>
      <w:r>
        <w:instrText xml:space="preserve"> PAGEREF _Toc1103 \h </w:instrText>
      </w:r>
      <w:r>
        <w:fldChar w:fldCharType="separate"/>
      </w:r>
      <w:r>
        <w:t>1</w:t>
      </w:r>
      <w:r>
        <w:fldChar w:fldCharType="end"/>
      </w:r>
    </w:p>
    <w:p>
      <w:pPr>
        <w:pStyle w:val="TOC2"/>
      </w:pPr>
      <w:hyperlink w:anchor="_Toc1106">
        <w:r>
          <w:t xml:space="preserve">The Medicaid Policy Landscape — What H.R. 1 Changes and What It Does Not</w:t>
        </w:r>
      </w:hyperlink>
      <w:r>
        <w:tab/>
      </w:r>
      <w:r>
        <w:fldChar w:fldCharType="begin"/>
      </w:r>
      <w:r>
        <w:instrText xml:space="preserve"> PAGEREF _Toc1106 \h </w:instrText>
      </w:r>
      <w:r>
        <w:fldChar w:fldCharType="separate"/>
      </w:r>
      <w:r>
        <w:t>1</w:t>
      </w:r>
      <w:r>
        <w:fldChar w:fldCharType="end"/>
      </w:r>
    </w:p>
    <w:p>
      <w:pPr>
        <w:pStyle w:val="TOC2"/>
      </w:pPr>
      <w:hyperlink w:anchor="_Toc1107">
        <w:r>
          <w:t xml:space="preserve">Policy Strategy for Healthcare Leaders — The Practitioner Framework</w:t>
        </w:r>
      </w:hyperlink>
      <w:r>
        <w:tab/>
      </w:r>
      <w:r>
        <w:fldChar w:fldCharType="begin"/>
      </w:r>
      <w:r>
        <w:instrText xml:space="preserve"> PAGEREF _Toc1107 \h </w:instrText>
      </w:r>
      <w:r>
        <w:fldChar w:fldCharType="separate"/>
      </w:r>
      <w:r>
        <w:t>1</w:t>
      </w:r>
      <w:r>
        <w:fldChar w:fldCharType="end"/>
      </w:r>
    </w:p>
    <w:p>
      <w:pPr>
        <w:pStyle w:val="TOC2"/>
      </w:pPr>
      <w:hyperlink w:anchor="_Toc1110">
        <w:r>
          <w:t xml:space="preserve">Work This Chapter on the Platform</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Implications for You</w:t>
        </w:r>
      </w:hyperlink>
      <w:r>
        <w:tab/>
      </w:r>
      <w:r>
        <w:fldChar w:fldCharType="begin"/>
      </w:r>
      <w:r>
        <w:instrText xml:space="preserve"> PAGEREF _Toc1111 \h </w:instrText>
      </w:r>
      <w:r>
        <w:fldChar w:fldCharType="separate"/>
      </w:r>
      <w:r>
        <w:t>1</w:t>
      </w:r>
      <w:r>
        <w:fldChar w:fldCharType="end"/>
      </w:r>
    </w:p>
    <w:p>
      <w:pPr>
        <w:pStyle w:val="TOC2"/>
      </w:pPr>
      <w:hyperlink w:anchor="_Toc1112">
        <w:r>
          <w:t xml:space="preserve">Key Concepts in This Chapter</w:t>
        </w:r>
      </w:hyperlink>
      <w:r>
        <w:tab/>
      </w:r>
      <w:r>
        <w:fldChar w:fldCharType="begin"/>
      </w:r>
      <w:r>
        <w:instrText xml:space="preserve"> PAGEREF _Toc1112 \h </w:instrText>
      </w:r>
      <w:r>
        <w:fldChar w:fldCharType="separate"/>
      </w:r>
      <w:r>
        <w:t>1</w:t>
      </w:r>
      <w:r>
        <w:fldChar w:fldCharType="end"/>
      </w:r>
    </w:p>
    <w:p>
      <w:pPr>
        <w:pStyle w:val="TOC1"/>
      </w:pPr>
      <w:hyperlink w:anchor="_Toc1113">
        <w:r>
          <w:t xml:space="preserve">Chapter 4: The Technology Pillar — Data Infrastructure for a Transformed Health System</w:t>
        </w:r>
      </w:hyperlink>
      <w:r>
        <w:tab/>
      </w:r>
      <w:r>
        <w:fldChar w:fldCharType="begin"/>
      </w:r>
      <w:r>
        <w:instrText xml:space="preserve"> PAGEREF _Toc1113 \h </w:instrText>
      </w:r>
      <w:r>
        <w:fldChar w:fldCharType="separate"/>
      </w:r>
      <w:r>
        <w:t>1</w:t>
      </w:r>
      <w:r>
        <w:fldChar w:fldCharType="end"/>
      </w:r>
    </w:p>
    <w:p>
      <w:pPr>
        <w:pStyle w:val="TOC2"/>
      </w:pPr>
      <w:hyperlink w:anchor="_Toc1114">
        <w:r>
          <w:t xml:space="preserve">The Technology Pillar: Why Data Infrastructure Is the Foundation of Everything Else</w:t>
        </w:r>
      </w:hyperlink>
      <w:r>
        <w:tab/>
      </w:r>
      <w:r>
        <w:fldChar w:fldCharType="begin"/>
      </w:r>
      <w:r>
        <w:instrText xml:space="preserve"> PAGEREF _Toc1114 \h </w:instrText>
      </w:r>
      <w:r>
        <w:fldChar w:fldCharType="separate"/>
      </w:r>
      <w:r>
        <w:t>1</w:t>
      </w:r>
      <w:r>
        <w:fldChar w:fldCharType="end"/>
      </w:r>
    </w:p>
    <w:p>
      <w:pPr>
        <w:pStyle w:val="TOC2"/>
      </w:pPr>
      <w:hyperlink w:anchor="_Toc1116">
        <w:r>
          <w:t xml:space="preserve">VHCURES — Vermont’s All-Payer Claims Database</w:t>
        </w:r>
      </w:hyperlink>
      <w:r>
        <w:tab/>
      </w:r>
      <w:r>
        <w:fldChar w:fldCharType="begin"/>
      </w:r>
      <w:r>
        <w:instrText xml:space="preserve"> PAGEREF _Toc1116 \h </w:instrText>
      </w:r>
      <w:r>
        <w:fldChar w:fldCharType="separate"/>
      </w:r>
      <w:r>
        <w:t>1</w:t>
      </w:r>
      <w:r>
        <w:fldChar w:fldCharType="end"/>
      </w:r>
    </w:p>
    <w:p>
      <w:pPr>
        <w:pStyle w:val="TOC2"/>
      </w:pPr>
      <w:hyperlink w:anchor="_Toc1119">
        <w:r>
          <w:t xml:space="preserve">The Vermont HIE — VITL, the Governance Shift, and the Integration Imperative</w:t>
        </w:r>
      </w:hyperlink>
      <w:r>
        <w:tab/>
      </w:r>
      <w:r>
        <w:fldChar w:fldCharType="begin"/>
      </w:r>
      <w:r>
        <w:instrText xml:space="preserve"> PAGEREF _Toc1119 \h </w:instrText>
      </w:r>
      <w:r>
        <w:fldChar w:fldCharType="separate"/>
      </w:r>
      <w:r>
        <w:t>1</w:t>
      </w:r>
      <w:r>
        <w:fldChar w:fldCharType="end"/>
      </w:r>
    </w:p>
    <w:p>
      <w:pPr>
        <w:pStyle w:val="TOC2"/>
      </w:pPr>
      <w:hyperlink w:anchor="_Toc1131">
        <w:r>
          <w:t xml:space="preserve">The Vermont Clinically Integrated Network — A New Technology Institution</w:t>
        </w:r>
      </w:hyperlink>
      <w:r>
        <w:tab/>
      </w:r>
      <w:r>
        <w:fldChar w:fldCharType="begin"/>
      </w:r>
      <w:r>
        <w:instrText xml:space="preserve"> PAGEREF _Toc1131 \h </w:instrText>
      </w:r>
      <w:r>
        <w:fldChar w:fldCharType="separate"/>
      </w:r>
      <w:r>
        <w:t>1</w:t>
      </w:r>
      <w:r>
        <w:fldChar w:fldCharType="end"/>
      </w:r>
    </w:p>
    <w:p>
      <w:pPr>
        <w:pStyle w:val="TOC2"/>
      </w:pPr>
      <w:hyperlink w:anchor="_Toc1134">
        <w:r>
          <w:t xml:space="preserve">FHIR Interoperability — The National Standard and Vermont’s Compliance Path</w:t>
        </w:r>
      </w:hyperlink>
      <w:r>
        <w:tab/>
      </w:r>
      <w:r>
        <w:fldChar w:fldCharType="begin"/>
      </w:r>
      <w:r>
        <w:instrText xml:space="preserve"> PAGEREF _Toc1134 \h </w:instrText>
      </w:r>
      <w:r>
        <w:fldChar w:fldCharType="separate"/>
      </w:r>
      <w:r>
        <w:t>1</w:t>
      </w:r>
      <w:r>
        <w:fldChar w:fldCharType="end"/>
      </w:r>
    </w:p>
    <w:p>
      <w:pPr>
        <w:pStyle w:val="TOC2"/>
      </w:pPr>
      <w:hyperlink w:anchor="_Toc1137">
        <w:r>
          <w:t xml:space="preserve">AI and Digital Health Technologies — Vermont’s Targeted Investment Strategy</w:t>
        </w:r>
      </w:hyperlink>
      <w:r>
        <w:tab/>
      </w:r>
      <w:r>
        <w:fldChar w:fldCharType="begin"/>
      </w:r>
      <w:r>
        <w:instrText xml:space="preserve"> PAGEREF _Toc1137 \h </w:instrText>
      </w:r>
      <w:r>
        <w:fldChar w:fldCharType="separate"/>
      </w:r>
      <w:r>
        <w:t>1</w:t>
      </w:r>
      <w:r>
        <w:fldChar w:fldCharType="end"/>
      </w:r>
    </w:p>
    <w:p>
      <w:pPr>
        <w:pStyle w:val="TOC2"/>
      </w:pPr>
      <w:hyperlink w:anchor="_Toc1143">
        <w:r>
          <w:t xml:space="preserve">AI Governance — Vermont’s Responsibility Before the Risk Arrives</w:t>
        </w:r>
      </w:hyperlink>
      <w:r>
        <w:tab/>
      </w:r>
      <w:r>
        <w:fldChar w:fldCharType="begin"/>
      </w:r>
      <w:r>
        <w:instrText xml:space="preserve"> PAGEREF _Toc1143 \h </w:instrText>
      </w:r>
      <w:r>
        <w:fldChar w:fldCharType="separate"/>
      </w:r>
      <w:r>
        <w:t>1</w:t>
      </w:r>
      <w:r>
        <w:fldChar w:fldCharType="end"/>
      </w:r>
    </w:p>
    <w:p>
      <w:pPr>
        <w:pStyle w:val="TOC2"/>
      </w:pPr>
      <w:hyperlink w:anchor="_Toc1145">
        <w:r>
          <w:t xml:space="preserve">Vermont’s Target Technology Architecture — A Framework for the Strategic Plan</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Work This Chapter on the Platform</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Implications for You</w:t>
        </w:r>
      </w:hyperlink>
      <w:r>
        <w:tab/>
      </w:r>
      <w:r>
        <w:fldChar w:fldCharType="begin"/>
      </w:r>
      <w:r>
        <w:instrText xml:space="preserve"> PAGEREF _Toc1147 \h </w:instrText>
      </w:r>
      <w:r>
        <w:fldChar w:fldCharType="separate"/>
      </w:r>
      <w:r>
        <w:t>1</w:t>
      </w:r>
      <w:r>
        <w:fldChar w:fldCharType="end"/>
      </w:r>
    </w:p>
    <w:p>
      <w:pPr>
        <w:pStyle w:val="TOC2"/>
      </w:pPr>
      <w:hyperlink w:anchor="_Toc1148">
        <w:r>
          <w:t xml:space="preserve">Key Concepts in This Chapter</w:t>
        </w:r>
      </w:hyperlink>
      <w:r>
        <w:tab/>
      </w:r>
      <w:r>
        <w:fldChar w:fldCharType="begin"/>
      </w:r>
      <w:r>
        <w:instrText xml:space="preserve"> PAGEREF _Toc1148 \h </w:instrText>
      </w:r>
      <w:r>
        <w:fldChar w:fldCharType="separate"/>
      </w:r>
      <w:r>
        <w:t>1</w:t>
      </w:r>
      <w:r>
        <w:fldChar w:fldCharType="end"/>
      </w:r>
    </w:p>
    <w:p>
      <w:pPr>
        <w:pStyle w:val="TOC1"/>
      </w:pPr>
      <w:hyperlink w:anchor="_Toc1149">
        <w:r>
          <w:t xml:space="preserve">Chapter 5: The Technology Pillar in Practice — FHIR, AI Governance, and Clinical Decision Support</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From Architecture to Implementation</w:t>
        </w:r>
      </w:hyperlink>
      <w:r>
        <w:tab/>
      </w:r>
      <w:r>
        <w:fldChar w:fldCharType="begin"/>
      </w:r>
      <w:r>
        <w:instrText xml:space="preserve"> PAGEREF _Toc1150 \h </w:instrText>
      </w:r>
      <w:r>
        <w:fldChar w:fldCharType="separate"/>
      </w:r>
      <w:r>
        <w:t>1</w:t>
      </w:r>
      <w:r>
        <w:fldChar w:fldCharType="end"/>
      </w:r>
    </w:p>
    <w:p>
      <w:pPr>
        <w:pStyle w:val="TOC2"/>
      </w:pPr>
      <w:hyperlink w:anchor="_Toc1151">
        <w:r>
          <w:t xml:space="preserve">FHIR Implementation — From Standard to Working System</w:t>
        </w:r>
      </w:hyperlink>
      <w:r>
        <w:tab/>
      </w:r>
      <w:r>
        <w:fldChar w:fldCharType="begin"/>
      </w:r>
      <w:r>
        <w:instrText xml:space="preserve"> PAGEREF _Toc1151 \h </w:instrText>
      </w:r>
      <w:r>
        <w:fldChar w:fldCharType="separate"/>
      </w:r>
      <w:r>
        <w:t>1</w:t>
      </w:r>
      <w:r>
        <w:fldChar w:fldCharType="end"/>
      </w:r>
    </w:p>
    <w:p>
      <w:pPr>
        <w:pStyle w:val="TOC2"/>
      </w:pPr>
      <w:hyperlink w:anchor="_Toc1155">
        <w:r>
          <w:t xml:space="preserve">AI Clinical Governance — The Complete Framework</w:t>
        </w:r>
      </w:hyperlink>
      <w:r>
        <w:tab/>
      </w:r>
      <w:r>
        <w:fldChar w:fldCharType="begin"/>
      </w:r>
      <w:r>
        <w:instrText xml:space="preserve"> PAGEREF _Toc1155 \h </w:instrText>
      </w:r>
      <w:r>
        <w:fldChar w:fldCharType="separate"/>
      </w:r>
      <w:r>
        <w:t>1</w:t>
      </w:r>
      <w:r>
        <w:fldChar w:fldCharType="end"/>
      </w:r>
    </w:p>
    <w:p>
      <w:pPr>
        <w:pStyle w:val="TOC2"/>
      </w:pPr>
      <w:hyperlink w:anchor="_Toc1162">
        <w:r>
          <w:t xml:space="preserve">Clinical Decision Support — From Alerts to Intelligence</w:t>
        </w:r>
      </w:hyperlink>
      <w:r>
        <w:tab/>
      </w:r>
      <w:r>
        <w:fldChar w:fldCharType="begin"/>
      </w:r>
      <w:r>
        <w:instrText xml:space="preserve"> PAGEREF _Toc1162 \h </w:instrText>
      </w:r>
      <w:r>
        <w:fldChar w:fldCharType="separate"/>
      </w:r>
      <w:r>
        <w:t>1</w:t>
      </w:r>
      <w:r>
        <w:fldChar w:fldCharType="end"/>
      </w:r>
    </w:p>
    <w:p>
      <w:pPr>
        <w:pStyle w:val="TOC2"/>
      </w:pPr>
      <w:hyperlink w:anchor="_Toc1165">
        <w:r>
          <w:t xml:space="preserve">Cybersecurity in Rural Health Infrastructure</w:t>
        </w:r>
      </w:hyperlink>
      <w:r>
        <w:tab/>
      </w:r>
      <w:r>
        <w:fldChar w:fldCharType="begin"/>
      </w:r>
      <w:r>
        <w:instrText xml:space="preserve"> PAGEREF _Toc1165 \h </w:instrText>
      </w:r>
      <w:r>
        <w:fldChar w:fldCharType="separate"/>
      </w:r>
      <w:r>
        <w:t>1</w:t>
      </w:r>
      <w:r>
        <w:fldChar w:fldCharType="end"/>
      </w:r>
    </w:p>
    <w:p>
      <w:pPr>
        <w:pStyle w:val="TOC2"/>
      </w:pPr>
      <w:hyperlink w:anchor="_Toc1167">
        <w:r>
          <w:t xml:space="preserve">Technology Pillar Implementation Matrix</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Work This Chapter on the Platform</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Implications for You</w:t>
        </w:r>
      </w:hyperlink>
      <w:r>
        <w:tab/>
      </w:r>
      <w:r>
        <w:fldChar w:fldCharType="begin"/>
      </w:r>
      <w:r>
        <w:instrText xml:space="preserve"> PAGEREF _Toc1169 \h </w:instrText>
      </w:r>
      <w:r>
        <w:fldChar w:fldCharType="separate"/>
      </w:r>
      <w:r>
        <w:t>1</w:t>
      </w:r>
      <w:r>
        <w:fldChar w:fldCharType="end"/>
      </w:r>
    </w:p>
    <w:p>
      <w:pPr>
        <w:pStyle w:val="TOC2"/>
      </w:pPr>
      <w:hyperlink w:anchor="_Toc1170">
        <w:r>
          <w:t xml:space="preserve">Key Concepts in This Chapter</w:t>
        </w:r>
      </w:hyperlink>
      <w:r>
        <w:tab/>
      </w:r>
      <w:r>
        <w:fldChar w:fldCharType="begin"/>
      </w:r>
      <w:r>
        <w:instrText xml:space="preserve"> PAGEREF _Toc1170 \h </w:instrText>
      </w:r>
      <w:r>
        <w:fldChar w:fldCharType="separate"/>
      </w:r>
      <w:r>
        <w:t>1</w:t>
      </w:r>
      <w:r>
        <w:fldChar w:fldCharType="end"/>
      </w:r>
    </w:p>
    <w:p>
      <w:pPr>
        <w:pStyle w:val="TOC1"/>
      </w:pPr>
      <w:hyperlink w:anchor="_Toc1171">
        <w:r>
          <w:t xml:space="preserve">Chapter 6: The Economics Pillar — Global Budgets, Reference-Based Pricing, and Financial Reform</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Economics Pillar: Why Payment Reform Is the Master Variable</w:t>
        </w:r>
      </w:hyperlink>
      <w:r>
        <w:tab/>
      </w:r>
      <w:r>
        <w:fldChar w:fldCharType="begin"/>
      </w:r>
      <w:r>
        <w:instrText xml:space="preserve"> PAGEREF _Toc1172 \h </w:instrText>
      </w:r>
      <w:r>
        <w:fldChar w:fldCharType="separate"/>
      </w:r>
      <w:r>
        <w:t>1</w:t>
      </w:r>
      <w:r>
        <w:fldChar w:fldCharType="end"/>
      </w:r>
    </w:p>
    <w:p>
      <w:pPr>
        <w:pStyle w:val="TOC2"/>
      </w:pPr>
      <w:hyperlink w:anchor="_Toc1173">
        <w:r>
          <w:t xml:space="preserve">The Fee-for-Service Trap — Why the Current System Fails</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Reference-Based Pricing — Mechanics, Evidence, and Vermont’s Design</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Hospital Global Budgets — Architecture, History, and Vermont’s Mandate</w:t>
        </w:r>
      </w:hyperlink>
      <w:r>
        <w:tab/>
      </w:r>
      <w:r>
        <w:fldChar w:fldCharType="begin"/>
      </w:r>
      <w:r>
        <w:instrText xml:space="preserve"> PAGEREF _Toc1182 \h </w:instrText>
      </w:r>
      <w:r>
        <w:fldChar w:fldCharType="separate"/>
      </w:r>
      <w:r>
        <w:t>1</w:t>
      </w:r>
      <w:r>
        <w:fldChar w:fldCharType="end"/>
      </w:r>
    </w:p>
    <w:p>
      <w:pPr>
        <w:pStyle w:val="TOC2"/>
      </w:pPr>
      <w:hyperlink w:anchor="_Toc1186">
        <w:r>
          <w:t xml:space="preserve">Maryland — A Decade of Global Budget Evidence</w:t>
        </w:r>
      </w:hyperlink>
      <w:r>
        <w:tab/>
      </w:r>
      <w:r>
        <w:fldChar w:fldCharType="begin"/>
      </w:r>
      <w:r>
        <w:instrText xml:space="preserve"> PAGEREF _Toc1186 \h </w:instrText>
      </w:r>
      <w:r>
        <w:fldChar w:fldCharType="separate"/>
      </w:r>
      <w:r>
        <w:t>1</w:t>
      </w:r>
      <w:r>
        <w:fldChar w:fldCharType="end"/>
      </w:r>
    </w:p>
    <w:p>
      <w:pPr>
        <w:pStyle w:val="TOC2"/>
      </w:pPr>
      <w:hyperlink w:anchor="_Toc1191">
        <w:r>
          <w:t xml:space="preserve">The AHEAD Model — Medicare’s Entry That Vermont Signed, Then Withdrew</w:t>
        </w:r>
      </w:hyperlink>
      <w:r>
        <w:tab/>
      </w:r>
      <w:r>
        <w:fldChar w:fldCharType="begin"/>
      </w:r>
      <w:r>
        <w:instrText xml:space="preserve"> PAGEREF _Toc1191 \h </w:instrText>
      </w:r>
      <w:r>
        <w:fldChar w:fldCharType="separate"/>
      </w:r>
      <w:r>
        <w:t>1</w:t>
      </w:r>
      <w:r>
        <w:fldChar w:fldCharType="end"/>
      </w:r>
    </w:p>
    <w:p>
      <w:pPr>
        <w:pStyle w:val="TOC2"/>
      </w:pPr>
      <w:hyperlink w:anchor="_Toc1192">
        <w:r>
          <w:t xml:space="preserve">Hospital Financial Modeling — Reading the Numbers That Matter</w:t>
        </w:r>
      </w:hyperlink>
      <w:r>
        <w:tab/>
      </w:r>
      <w:r>
        <w:fldChar w:fldCharType="begin"/>
      </w:r>
      <w:r>
        <w:instrText xml:space="preserve"> PAGEREF _Toc1192 \h </w:instrText>
      </w:r>
      <w:r>
        <w:fldChar w:fldCharType="separate"/>
      </w:r>
      <w:r>
        <w:t>1</w:t>
      </w:r>
      <w:r>
        <w:fldChar w:fldCharType="end"/>
      </w:r>
    </w:p>
    <w:p>
      <w:pPr>
        <w:pStyle w:val="TOC2"/>
      </w:pPr>
      <w:hyperlink w:anchor="_Toc1196">
        <w:r>
          <w:t xml:space="preserve">APM Transition Strategy for Vermont Healthcare Organizations</w:t>
        </w:r>
      </w:hyperlink>
      <w:r>
        <w:tab/>
      </w:r>
      <w:r>
        <w:fldChar w:fldCharType="begin"/>
      </w:r>
      <w:r>
        <w:instrText xml:space="preserve"> PAGEREF _Toc1196 \h </w:instrText>
      </w:r>
      <w:r>
        <w:fldChar w:fldCharType="separate"/>
      </w:r>
      <w:r>
        <w:t>1</w:t>
      </w:r>
      <w:r>
        <w:fldChar w:fldCharType="end"/>
      </w:r>
    </w:p>
    <w:p>
      <w:pPr>
        <w:pStyle w:val="TOC2"/>
      </w:pPr>
      <w:hyperlink w:anchor="_Toc1199">
        <w:r>
          <w:t xml:space="preserve">Work This Chapter on the Platform</w:t>
        </w:r>
      </w:hyperlink>
      <w:r>
        <w:tab/>
      </w:r>
      <w:r>
        <w:fldChar w:fldCharType="begin"/>
      </w:r>
      <w:r>
        <w:instrText xml:space="preserve"> PAGEREF _Toc1199 \h </w:instrText>
      </w:r>
      <w:r>
        <w:fldChar w:fldCharType="separate"/>
      </w:r>
      <w:r>
        <w:t>1</w:t>
      </w:r>
      <w:r>
        <w:fldChar w:fldCharType="end"/>
      </w:r>
    </w:p>
    <w:p>
      <w:pPr>
        <w:pStyle w:val="TOC2"/>
      </w:pPr>
      <w:hyperlink w:anchor="_Toc1200">
        <w:r>
          <w:t xml:space="preserve">Implications for You</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Key Concepts in This Chapter</w:t>
        </w:r>
      </w:hyperlink>
      <w:r>
        <w:tab/>
      </w:r>
      <w:r>
        <w:fldChar w:fldCharType="begin"/>
      </w:r>
      <w:r>
        <w:instrText xml:space="preserve"> PAGEREF _Toc1201 \h </w:instrText>
      </w:r>
      <w:r>
        <w:fldChar w:fldCharType="separate"/>
      </w:r>
      <w:r>
        <w:t>1</w:t>
      </w:r>
      <w:r>
        <w:fldChar w:fldCharType="end"/>
      </w:r>
    </w:p>
    <w:p>
      <w:pPr>
        <w:pStyle w:val="TOC1"/>
      </w:pPr>
      <w:hyperlink w:anchor="_Toc1202">
        <w:r>
          <w:t xml:space="preserve">Chapter 7: The Economics Pillar in Practice — VBC Financial Modeling and APM Readiness</w:t>
        </w:r>
      </w:hyperlink>
      <w:r>
        <w:tab/>
      </w:r>
      <w:r>
        <w:fldChar w:fldCharType="begin"/>
      </w:r>
      <w:r>
        <w:instrText xml:space="preserve"> PAGEREF _Toc1202 \h </w:instrText>
      </w:r>
      <w:r>
        <w:fldChar w:fldCharType="separate"/>
      </w:r>
      <w:r>
        <w:t>1</w:t>
      </w:r>
      <w:r>
        <w:fldChar w:fldCharType="end"/>
      </w:r>
    </w:p>
    <w:p>
      <w:pPr>
        <w:pStyle w:val="TOC2"/>
      </w:pPr>
      <w:hyperlink w:anchor="_Toc1203">
        <w:r>
          <w:t xml:space="preserve">From Payment Architecture to Financial Practice</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The APM Financial Modeling Framework</w:t>
        </w:r>
      </w:hyperlink>
      <w:r>
        <w:tab/>
      </w:r>
      <w:r>
        <w:fldChar w:fldCharType="begin"/>
      </w:r>
      <w:r>
        <w:instrText xml:space="preserve"> PAGEREF _Toc1204 \h </w:instrText>
      </w:r>
      <w:r>
        <w:fldChar w:fldCharType="separate"/>
      </w:r>
      <w:r>
        <w:t>1</w:t>
      </w:r>
      <w:r>
        <w:fldChar w:fldCharType="end"/>
      </w:r>
    </w:p>
    <w:p>
      <w:pPr>
        <w:pStyle w:val="TOC2"/>
      </w:pPr>
      <w:hyperlink w:anchor="_Toc1212">
        <w:r>
          <w:t xml:space="preserve">Economics Pillar Implementation Matrix</w:t>
        </w:r>
      </w:hyperlink>
      <w:r>
        <w:tab/>
      </w:r>
      <w:r>
        <w:fldChar w:fldCharType="begin"/>
      </w:r>
      <w:r>
        <w:instrText xml:space="preserve"> PAGEREF _Toc1212 \h </w:instrText>
      </w:r>
      <w:r>
        <w:fldChar w:fldCharType="separate"/>
      </w:r>
      <w:r>
        <w:t>1</w:t>
      </w:r>
      <w:r>
        <w:fldChar w:fldCharType="end"/>
      </w:r>
    </w:p>
    <w:p>
      <w:pPr>
        <w:pStyle w:val="TOC2"/>
      </w:pPr>
      <w:hyperlink w:anchor="_Toc1213">
        <w:r>
          <w:t xml:space="preserve">APM Readiness Assessment — The 30-Dimension Framework</w:t>
        </w:r>
      </w:hyperlink>
      <w:r>
        <w:tab/>
      </w:r>
      <w:r>
        <w:fldChar w:fldCharType="begin"/>
      </w:r>
      <w:r>
        <w:instrText xml:space="preserve"> PAGEREF _Toc1213 \h </w:instrText>
      </w:r>
      <w:r>
        <w:fldChar w:fldCharType="separate"/>
      </w:r>
      <w:r>
        <w:t>1</w:t>
      </w:r>
      <w:r>
        <w:fldChar w:fldCharType="end"/>
      </w:r>
    </w:p>
    <w:p>
      <w:pPr>
        <w:pStyle w:val="TOC2"/>
      </w:pPr>
      <w:hyperlink w:anchor="_Toc1216">
        <w:r>
          <w:t xml:space="preserve">Contract Analysis — Reading an APM Contract for Financial Risk</w:t>
        </w:r>
      </w:hyperlink>
      <w:r>
        <w:tab/>
      </w:r>
      <w:r>
        <w:fldChar w:fldCharType="begin"/>
      </w:r>
      <w:r>
        <w:instrText xml:space="preserve"> PAGEREF _Toc1216 \h </w:instrText>
      </w:r>
      <w:r>
        <w:fldChar w:fldCharType="separate"/>
      </w:r>
      <w:r>
        <w:t>1</w:t>
      </w:r>
      <w:r>
        <w:fldChar w:fldCharType="end"/>
      </w:r>
    </w:p>
    <w:p>
      <w:pPr>
        <w:pStyle w:val="TOC2"/>
      </w:pPr>
      <w:hyperlink w:anchor="_Toc1218">
        <w:r>
          <w:t xml:space="preserve">Hospital Financial Modeling Under Global Budgets — The Vermont Framework</w:t>
        </w:r>
      </w:hyperlink>
      <w:r>
        <w:tab/>
      </w:r>
      <w:r>
        <w:fldChar w:fldCharType="begin"/>
      </w:r>
      <w:r>
        <w:instrText xml:space="preserve"> PAGEREF _Toc1218 \h </w:instrText>
      </w:r>
      <w:r>
        <w:fldChar w:fldCharType="separate"/>
      </w:r>
      <w:r>
        <w:t>1</w:t>
      </w:r>
      <w:r>
        <w:fldChar w:fldCharType="end"/>
      </w:r>
    </w:p>
    <w:p>
      <w:pPr>
        <w:pStyle w:val="TOC2"/>
      </w:pPr>
      <w:hyperlink w:anchor="_Toc1221">
        <w:r>
          <w:t xml:space="preserve">The ROI of Transformation — Building the Financial Case</w:t>
        </w:r>
      </w:hyperlink>
      <w:r>
        <w:tab/>
      </w:r>
      <w:r>
        <w:fldChar w:fldCharType="begin"/>
      </w:r>
      <w:r>
        <w:instrText xml:space="preserve"> PAGEREF _Toc1221 \h </w:instrText>
      </w:r>
      <w:r>
        <w:fldChar w:fldCharType="separate"/>
      </w:r>
      <w:r>
        <w:t>1</w:t>
      </w:r>
      <w:r>
        <w:fldChar w:fldCharType="end"/>
      </w:r>
    </w:p>
    <w:p>
      <w:pPr>
        <w:pStyle w:val="TOC2"/>
      </w:pPr>
      <w:hyperlink w:anchor="_Toc1223">
        <w:r>
          <w:t xml:space="preserve">Making Care Primary — Vermont’s Primary Care Economics</w:t>
        </w:r>
      </w:hyperlink>
      <w:r>
        <w:tab/>
      </w:r>
      <w:r>
        <w:fldChar w:fldCharType="begin"/>
      </w:r>
      <w:r>
        <w:instrText xml:space="preserve"> PAGEREF _Toc1223 \h </w:instrText>
      </w:r>
      <w:r>
        <w:fldChar w:fldCharType="separate"/>
      </w:r>
      <w:r>
        <w:t>1</w:t>
      </w:r>
      <w:r>
        <w:fldChar w:fldCharType="end"/>
      </w:r>
    </w:p>
    <w:p>
      <w:pPr>
        <w:pStyle w:val="TOC2"/>
      </w:pPr>
      <w:hyperlink w:anchor="_Toc1224">
        <w:r>
          <w:t xml:space="preserve">Work This Chapter on the Platform</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Implications for You</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Key Concepts in This Chapter</w:t>
        </w:r>
      </w:hyperlink>
      <w:r>
        <w:tab/>
      </w:r>
      <w:r>
        <w:fldChar w:fldCharType="begin"/>
      </w:r>
      <w:r>
        <w:instrText xml:space="preserve"> PAGEREF _Toc1226 \h </w:instrText>
      </w:r>
      <w:r>
        <w:fldChar w:fldCharType="separate"/>
      </w:r>
      <w:r>
        <w:t>1</w:t>
      </w:r>
      <w:r>
        <w:fldChar w:fldCharType="end"/>
      </w:r>
    </w:p>
    <w:p>
      <w:pPr>
        <w:pStyle w:val="TOC1"/>
      </w:pPr>
      <w:hyperlink w:anchor="_Toc1227">
        <w:r>
          <w:t xml:space="preserve">Chapter 8: The Clinical Pillar — Redesigning Care Delivery for a Transformed System</w:t>
        </w:r>
      </w:hyperlink>
      <w:r>
        <w:tab/>
      </w:r>
      <w:r>
        <w:fldChar w:fldCharType="begin"/>
      </w:r>
      <w:r>
        <w:instrText xml:space="preserve"> PAGEREF _Toc1227 \h </w:instrText>
      </w:r>
      <w:r>
        <w:fldChar w:fldCharType="separate"/>
      </w:r>
      <w:r>
        <w:t>1</w:t>
      </w:r>
      <w:r>
        <w:fldChar w:fldCharType="end"/>
      </w:r>
    </w:p>
    <w:p>
      <w:pPr>
        <w:pStyle w:val="TOC2"/>
      </w:pPr>
      <w:hyperlink w:anchor="_Toc1228">
        <w:r>
          <w:t xml:space="preserve">The Clinical Pillar: What It Is and Why It Is Not the Same as Clinical Quality</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Vermont Blueprint for Health — Two Decades of Primary Care Transformation</w:t>
        </w:r>
      </w:hyperlink>
      <w:r>
        <w:tab/>
      </w:r>
      <w:r>
        <w:fldChar w:fldCharType="begin"/>
      </w:r>
      <w:r>
        <w:instrText xml:space="preserve"> PAGEREF _Toc1229 \h </w:instrText>
      </w:r>
      <w:r>
        <w:fldChar w:fldCharType="separate"/>
      </w:r>
      <w:r>
        <w:t>1</w:t>
      </w:r>
      <w:r>
        <w:fldChar w:fldCharType="end"/>
      </w:r>
    </w:p>
    <w:p>
      <w:pPr>
        <w:pStyle w:val="TOC2"/>
      </w:pPr>
      <w:hyperlink w:anchor="_Toc1233">
        <w:r>
          <w:t xml:space="preserve">The Behavioral Health Crisis — Vermont’s Most Urgent Clinical Challenge</w:t>
        </w:r>
      </w:hyperlink>
      <w:r>
        <w:tab/>
      </w:r>
      <w:r>
        <w:fldChar w:fldCharType="begin"/>
      </w:r>
      <w:r>
        <w:instrText xml:space="preserve"> PAGEREF _Toc1233 \h </w:instrText>
      </w:r>
      <w:r>
        <w:fldChar w:fldCharType="separate"/>
      </w:r>
      <w:r>
        <w:t>1</w:t>
      </w:r>
      <w:r>
        <w:fldChar w:fldCharType="end"/>
      </w:r>
    </w:p>
    <w:p>
      <w:pPr>
        <w:pStyle w:val="TOC2"/>
      </w:pPr>
      <w:hyperlink w:anchor="_Toc1237">
        <w:r>
          <w:t xml:space="preserve">Primary Care Redesign — Vermont’s Strategy for the Front Door</w:t>
        </w:r>
      </w:hyperlink>
      <w:r>
        <w:tab/>
      </w:r>
      <w:r>
        <w:fldChar w:fldCharType="begin"/>
      </w:r>
      <w:r>
        <w:instrText xml:space="preserve"> PAGEREF _Toc1237 \h </w:instrText>
      </w:r>
      <w:r>
        <w:fldChar w:fldCharType="separate"/>
      </w:r>
      <w:r>
        <w:t>1</w:t>
      </w:r>
      <w:r>
        <w:fldChar w:fldCharType="end"/>
      </w:r>
    </w:p>
    <w:p>
      <w:pPr>
        <w:pStyle w:val="TOC2"/>
      </w:pPr>
      <w:hyperlink w:anchor="_Toc1240">
        <w:r>
          <w:t xml:space="preserve">Vermont’s Clinical Quality Architecture — Measuring What Matters</w:t>
        </w:r>
      </w:hyperlink>
      <w:r>
        <w:tab/>
      </w:r>
      <w:r>
        <w:fldChar w:fldCharType="begin"/>
      </w:r>
      <w:r>
        <w:instrText xml:space="preserve"> PAGEREF _Toc1240 \h </w:instrText>
      </w:r>
      <w:r>
        <w:fldChar w:fldCharType="separate"/>
      </w:r>
      <w:r>
        <w:t>1</w:t>
      </w:r>
      <w:r>
        <w:fldChar w:fldCharType="end"/>
      </w:r>
    </w:p>
    <w:p>
      <w:pPr>
        <w:pStyle w:val="TOC2"/>
      </w:pPr>
      <w:hyperlink w:anchor="_Toc1242">
        <w:r>
          <w:t xml:space="preserve">Care for Vermont’s Aging Population — The Clinical Imperative</w:t>
        </w:r>
      </w:hyperlink>
      <w:r>
        <w:tab/>
      </w:r>
      <w:r>
        <w:fldChar w:fldCharType="begin"/>
      </w:r>
      <w:r>
        <w:instrText xml:space="preserve"> PAGEREF _Toc1242 \h </w:instrText>
      </w:r>
      <w:r>
        <w:fldChar w:fldCharType="separate"/>
      </w:r>
      <w:r>
        <w:t>1</w:t>
      </w:r>
      <w:r>
        <w:fldChar w:fldCharType="end"/>
      </w:r>
    </w:p>
    <w:p>
      <w:pPr>
        <w:pStyle w:val="TOC2"/>
      </w:pPr>
      <w:hyperlink w:anchor="_Toc1245">
        <w:r>
          <w:t xml:space="preserve">Clinical Pillar Implications for AHS’s Statewide Strategic Plan</w:t>
        </w:r>
      </w:hyperlink>
      <w:r>
        <w:tab/>
      </w:r>
      <w:r>
        <w:fldChar w:fldCharType="begin"/>
      </w:r>
      <w:r>
        <w:instrText xml:space="preserve"> PAGEREF _Toc1245 \h </w:instrText>
      </w:r>
      <w:r>
        <w:fldChar w:fldCharType="separate"/>
      </w:r>
      <w:r>
        <w:t>1</w:t>
      </w:r>
      <w:r>
        <w:fldChar w:fldCharType="end"/>
      </w:r>
    </w:p>
    <w:p>
      <w:pPr>
        <w:pStyle w:val="TOC2"/>
      </w:pPr>
      <w:hyperlink w:anchor="_Toc1246">
        <w:r>
          <w:t xml:space="preserve">Work This Chapter on the Platform</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Implications for You</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Key Concepts in This Chapter</w:t>
        </w:r>
      </w:hyperlink>
      <w:r>
        <w:tab/>
      </w:r>
      <w:r>
        <w:fldChar w:fldCharType="begin"/>
      </w:r>
      <w:r>
        <w:instrText xml:space="preserve"> PAGEREF _Toc1248 \h </w:instrText>
      </w:r>
      <w:r>
        <w:fldChar w:fldCharType="separate"/>
      </w:r>
      <w:r>
        <w:t>1</w:t>
      </w:r>
      <w:r>
        <w:fldChar w:fldCharType="end"/>
      </w:r>
    </w:p>
    <w:p>
      <w:pPr>
        <w:pStyle w:val="TOC1"/>
      </w:pPr>
      <w:hyperlink w:anchor="_Toc1249">
        <w:r>
          <w:t xml:space="preserve">Chapter 9: The Clinical Pillar in Practice — Care Model Implementation, Quality Mechanics, and the Vermont Clinical Transformation Toolkit</w:t>
        </w:r>
      </w:hyperlink>
      <w:r>
        <w:tab/>
      </w:r>
      <w:r>
        <w:fldChar w:fldCharType="begin"/>
      </w:r>
      <w:r>
        <w:instrText xml:space="preserve"> PAGEREF _Toc1249 \h </w:instrText>
      </w:r>
      <w:r>
        <w:fldChar w:fldCharType="separate"/>
      </w:r>
      <w:r>
        <w:t>1</w:t>
      </w:r>
      <w:r>
        <w:fldChar w:fldCharType="end"/>
      </w:r>
    </w:p>
    <w:p>
      <w:pPr>
        <w:pStyle w:val="TOC2"/>
      </w:pPr>
      <w:hyperlink w:anchor="_Toc1250">
        <w:r>
          <w:t xml:space="preserve">From Clinical Architecture to Clinical Practice</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PCMH Transformation — The Blueprint Practice Implementation Playbook</w:t>
        </w:r>
      </w:hyperlink>
      <w:r>
        <w:tab/>
      </w:r>
      <w:r>
        <w:fldChar w:fldCharType="begin"/>
      </w:r>
      <w:r>
        <w:instrText xml:space="preserve"> PAGEREF _Toc1251 \h </w:instrText>
      </w:r>
      <w:r>
        <w:fldChar w:fldCharType="separate"/>
      </w:r>
      <w:r>
        <w:t>1</w:t>
      </w:r>
      <w:r>
        <w:fldChar w:fldCharType="end"/>
      </w:r>
    </w:p>
    <w:p>
      <w:pPr>
        <w:pStyle w:val="TOC2"/>
      </w:pPr>
      <w:hyperlink w:anchor="_Toc1255">
        <w:r>
          <w:t xml:space="preserve">Deploying the Collaborative Care Model — Operational Requirements</w:t>
        </w:r>
      </w:hyperlink>
      <w:r>
        <w:tab/>
      </w:r>
      <w:r>
        <w:fldChar w:fldCharType="begin"/>
      </w:r>
      <w:r>
        <w:instrText xml:space="preserve"> PAGEREF _Toc1255 \h </w:instrText>
      </w:r>
      <w:r>
        <w:fldChar w:fldCharType="separate"/>
      </w:r>
      <w:r>
        <w:t>1</w:t>
      </w:r>
      <w:r>
        <w:fldChar w:fldCharType="end"/>
      </w:r>
    </w:p>
    <w:p>
      <w:pPr>
        <w:pStyle w:val="TOC2"/>
      </w:pPr>
      <w:hyperlink w:anchor="_Toc1259">
        <w:r>
          <w:t xml:space="preserve">HEDIS Improvement Methodology — Vermont Context</w:t>
        </w:r>
      </w:hyperlink>
      <w:r>
        <w:tab/>
      </w:r>
      <w:r>
        <w:fldChar w:fldCharType="begin"/>
      </w:r>
      <w:r>
        <w:instrText xml:space="preserve"> PAGEREF _Toc1259 \h </w:instrText>
      </w:r>
      <w:r>
        <w:fldChar w:fldCharType="separate"/>
      </w:r>
      <w:r>
        <w:t>1</w:t>
      </w:r>
      <w:r>
        <w:fldChar w:fldCharType="end"/>
      </w:r>
    </w:p>
    <w:p>
      <w:pPr>
        <w:pStyle w:val="TOC2"/>
      </w:pPr>
      <w:hyperlink w:anchor="_Toc1262">
        <w:r>
          <w:t xml:space="preserve">The Clinical Data Infrastructure — Connecting Care to Population Health Management</w:t>
        </w:r>
      </w:hyperlink>
      <w:r>
        <w:tab/>
      </w:r>
      <w:r>
        <w:fldChar w:fldCharType="begin"/>
      </w:r>
      <w:r>
        <w:instrText xml:space="preserve"> PAGEREF _Toc1262 \h </w:instrText>
      </w:r>
      <w:r>
        <w:fldChar w:fldCharType="separate"/>
      </w:r>
      <w:r>
        <w:t>1</w:t>
      </w:r>
      <w:r>
        <w:fldChar w:fldCharType="end"/>
      </w:r>
    </w:p>
    <w:p>
      <w:pPr>
        <w:pStyle w:val="TOC2"/>
      </w:pPr>
      <w:hyperlink w:anchor="_Toc1265">
        <w:r>
          <w:t xml:space="preserve">The Care Transition Protocol — Closing the Loop Between Hospital and Community</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Clinical Leadership in Transformation — The Under-Resourced Pillar</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Pillar Implementation Commitments for AHS’s Statewide Strategic Plan</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Matrix</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Work This Chapter on the Platform</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Implications for You</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Key Concepts in This Chapter</w:t>
        </w:r>
      </w:hyperlink>
      <w:r>
        <w:tab/>
      </w:r>
      <w:r>
        <w:fldChar w:fldCharType="begin"/>
      </w:r>
      <w:r>
        <w:instrText xml:space="preserve"> PAGEREF _Toc1271 \h </w:instrText>
      </w:r>
      <w:r>
        <w:fldChar w:fldCharType="separate"/>
      </w:r>
      <w:r>
        <w:t>1</w:t>
      </w:r>
      <w:r>
        <w:fldChar w:fldCharType="end"/>
      </w:r>
    </w:p>
    <w:p>
      <w:pPr>
        <w:pStyle w:val="TOC1"/>
      </w:pPr>
      <w:hyperlink w:anchor="_Toc1272">
        <w:r>
          <w:t xml:space="preserve">Chapter 10: The Equity Imperative — Closing Gaps, Not Just Averaging Them</w:t>
        </w:r>
      </w:hyperlink>
      <w:r>
        <w:tab/>
      </w:r>
      <w:r>
        <w:fldChar w:fldCharType="begin"/>
      </w:r>
      <w:r>
        <w:instrText xml:space="preserve"> PAGEREF _Toc1272 \h </w:instrText>
      </w:r>
      <w:r>
        <w:fldChar w:fldCharType="separate"/>
      </w:r>
      <w:r>
        <w:t>1</w:t>
      </w:r>
      <w:r>
        <w:fldChar w:fldCharType="end"/>
      </w:r>
    </w:p>
    <w:p>
      <w:pPr>
        <w:pStyle w:val="TOC2"/>
      </w:pPr>
      <w:hyperlink w:anchor="_Toc1273">
        <w:r>
          <w:t xml:space="preserve">The Equity Imperative: Why Average Outcomes Are the Wrong Target</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Vermont’s Equity Landscape — What the Data Shows</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The Disparity Root Cause Taxonomy — Why Vermont’s Equity Gaps Exist</w:t>
        </w:r>
      </w:hyperlink>
      <w:r>
        <w:tab/>
      </w:r>
      <w:r>
        <w:fldChar w:fldCharType="begin"/>
      </w:r>
      <w:r>
        <w:instrText xml:space="preserve"> PAGEREF _Toc1278 \h </w:instrText>
      </w:r>
      <w:r>
        <w:fldChar w:fldCharType="separate"/>
      </w:r>
      <w:r>
        <w:t>1</w:t>
      </w:r>
      <w:r>
        <w:fldChar w:fldCharType="end"/>
      </w:r>
    </w:p>
    <w:p>
      <w:pPr>
        <w:pStyle w:val="TOC2"/>
      </w:pPr>
      <w:hyperlink w:anchor="_Toc1279">
        <w:r>
          <w:t xml:space="preserve">Rural Equity — Vermont’s Defining Challenge</w:t>
        </w:r>
      </w:hyperlink>
      <w:r>
        <w:tab/>
      </w:r>
      <w:r>
        <w:fldChar w:fldCharType="begin"/>
      </w:r>
      <w:r>
        <w:instrText xml:space="preserve"> PAGEREF _Toc1279 \h </w:instrText>
      </w:r>
      <w:r>
        <w:fldChar w:fldCharType="separate"/>
      </w:r>
      <w:r>
        <w:t>1</w:t>
      </w:r>
      <w:r>
        <w:fldChar w:fldCharType="end"/>
      </w:r>
    </w:p>
    <w:p>
      <w:pPr>
        <w:pStyle w:val="TOC2"/>
      </w:pPr>
      <w:hyperlink w:anchor="_Toc1281">
        <w:r>
          <w:t xml:space="preserve">The GLP-1 Access Crisis — The Most Important New Equity Issue</w:t>
        </w:r>
      </w:hyperlink>
      <w:r>
        <w:tab/>
      </w:r>
      <w:r>
        <w:fldChar w:fldCharType="begin"/>
      </w:r>
      <w:r>
        <w:instrText xml:space="preserve"> PAGEREF _Toc1281 \h </w:instrText>
      </w:r>
      <w:r>
        <w:fldChar w:fldCharType="separate"/>
      </w:r>
      <w:r>
        <w:t>1</w:t>
      </w:r>
      <w:r>
        <w:fldChar w:fldCharType="end"/>
      </w:r>
    </w:p>
    <w:p>
      <w:pPr>
        <w:pStyle w:val="TOC2"/>
      </w:pPr>
      <w:hyperlink w:anchor="_Toc1285">
        <w:r>
          <w:t xml:space="preserve">Vermont’s Equity Architecture — What Is Already Built and What Remains</w:t>
        </w:r>
      </w:hyperlink>
      <w:r>
        <w:tab/>
      </w:r>
      <w:r>
        <w:fldChar w:fldCharType="begin"/>
      </w:r>
      <w:r>
        <w:instrText xml:space="preserve"> PAGEREF _Toc1285 \h </w:instrText>
      </w:r>
      <w:r>
        <w:fldChar w:fldCharType="separate"/>
      </w:r>
      <w:r>
        <w:t>1</w:t>
      </w:r>
      <w:r>
        <w:fldChar w:fldCharType="end"/>
      </w:r>
    </w:p>
    <w:p>
      <w:pPr>
        <w:pStyle w:val="TOC2"/>
      </w:pPr>
      <w:hyperlink w:anchor="_Toc1288">
        <w:r>
          <w:t xml:space="preserve">Equity and the Five-Pillar Framework — How Every Pillar Has an Equity Dimension</w:t>
        </w:r>
      </w:hyperlink>
      <w:r>
        <w:tab/>
      </w:r>
      <w:r>
        <w:fldChar w:fldCharType="begin"/>
      </w:r>
      <w:r>
        <w:instrText xml:space="preserve"> PAGEREF _Toc1288 \h </w:instrText>
      </w:r>
      <w:r>
        <w:fldChar w:fldCharType="separate"/>
      </w:r>
      <w:r>
        <w:t>1</w:t>
      </w:r>
      <w:r>
        <w:fldChar w:fldCharType="end"/>
      </w:r>
    </w:p>
    <w:p>
      <w:pPr>
        <w:pStyle w:val="TOC2"/>
      </w:pPr>
      <w:hyperlink w:anchor="_Toc1289">
        <w:r>
          <w:t xml:space="preserve">Vermont’s Equity Accountability Framework</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Measuring Equity: HEROI, HEDIS Stratification, and VBC Safeguards</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From Identifying Disparities to Eliminating Them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Stratified HEDIS Measurement — The Foundation of Equity Analytics</w:t>
        </w:r>
      </w:hyperlink>
      <w:r>
        <w:tab/>
      </w:r>
      <w:r>
        <w:fldChar w:fldCharType="begin"/>
      </w:r>
      <w:r>
        <w:instrText xml:space="preserve"> PAGEREF _Toc1292 \h </w:instrText>
      </w:r>
      <w:r>
        <w:fldChar w:fldCharType="separate"/>
      </w:r>
      <w:r>
        <w:t>1</w:t>
      </w:r>
      <w:r>
        <w:fldChar w:fldCharType="end"/>
      </w:r>
    </w:p>
    <w:p>
      <w:pPr>
        <w:pStyle w:val="TOC2"/>
      </w:pPr>
      <w:hyperlink w:anchor="_Toc1294">
        <w:r>
          <w:t xml:space="preserve">Equity Imperative Implementation Matrix</w:t>
        </w:r>
      </w:hyperlink>
      <w:r>
        <w:tab/>
      </w:r>
      <w:r>
        <w:fldChar w:fldCharType="begin"/>
      </w:r>
      <w:r>
        <w:instrText xml:space="preserve"> PAGEREF _Toc1294 \h </w:instrText>
      </w:r>
      <w:r>
        <w:fldChar w:fldCharType="separate"/>
      </w:r>
      <w:r>
        <w:t>1</w:t>
      </w:r>
      <w:r>
        <w:fldChar w:fldCharType="end"/>
      </w:r>
    </w:p>
    <w:p>
      <w:pPr>
        <w:pStyle w:val="TOC2"/>
      </w:pPr>
      <w:hyperlink w:anchor="_Toc1296">
        <w:r>
          <w:t xml:space="preserve">The HEROI Framework — A Composite Equity Score</w:t>
        </w:r>
      </w:hyperlink>
      <w:r>
        <w:tab/>
      </w:r>
      <w:r>
        <w:fldChar w:fldCharType="begin"/>
      </w:r>
      <w:r>
        <w:instrText xml:space="preserve"> PAGEREF _Toc1296 \h </w:instrText>
      </w:r>
      <w:r>
        <w:fldChar w:fldCharType="separate"/>
      </w:r>
      <w:r>
        <w:t>1</w:t>
      </w:r>
      <w:r>
        <w:fldChar w:fldCharType="end"/>
      </w:r>
    </w:p>
    <w:p>
      <w:pPr>
        <w:pStyle w:val="TOC2"/>
      </w:pPr>
      <w:hyperlink w:anchor="_Toc1298">
        <w:r>
          <w:t xml:space="preserve">Root Cause Analytics — Matching Interventions to Causes</w:t>
        </w:r>
      </w:hyperlink>
      <w:r>
        <w:tab/>
      </w:r>
      <w:r>
        <w:fldChar w:fldCharType="begin"/>
      </w:r>
      <w:r>
        <w:instrText xml:space="preserve"> PAGEREF _Toc1298 \h </w:instrText>
      </w:r>
      <w:r>
        <w:fldChar w:fldCharType="separate"/>
      </w:r>
      <w:r>
        <w:t>1</w:t>
      </w:r>
      <w:r>
        <w:fldChar w:fldCharType="end"/>
      </w:r>
    </w:p>
    <w:p>
      <w:pPr>
        <w:pStyle w:val="TOC2"/>
      </w:pPr>
      <w:hyperlink w:anchor="_Toc1301">
        <w:r>
          <w:t xml:space="preserve">Equity in VBC Contracting — Protecting Against Unintended Consequences</w:t>
        </w:r>
      </w:hyperlink>
      <w:r>
        <w:tab/>
      </w:r>
      <w:r>
        <w:fldChar w:fldCharType="begin"/>
      </w:r>
      <w:r>
        <w:instrText xml:space="preserve"> PAGEREF _Toc1301 \h </w:instrText>
      </w:r>
      <w:r>
        <w:fldChar w:fldCharType="separate"/>
      </w:r>
      <w:r>
        <w:t>1</w:t>
      </w:r>
      <w:r>
        <w:fldChar w:fldCharType="end"/>
      </w:r>
    </w:p>
    <w:p>
      <w:pPr>
        <w:pStyle w:val="TOC2"/>
      </w:pPr>
      <w:hyperlink w:anchor="_Toc1304">
        <w:r>
          <w:t xml:space="preserve">Vermont’s Population Health Equity Analytics Architecture</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Work This Chapter on the Platform</w:t>
        </w:r>
      </w:hyperlink>
      <w:r>
        <w:tab/>
      </w:r>
      <w:r>
        <w:fldChar w:fldCharType="begin"/>
      </w:r>
      <w:r>
        <w:instrText xml:space="preserve"> PAGEREF _Toc1305 \h </w:instrText>
      </w:r>
      <w:r>
        <w:fldChar w:fldCharType="separate"/>
      </w:r>
      <w:r>
        <w:t>1</w:t>
      </w:r>
      <w:r>
        <w:fldChar w:fldCharType="end"/>
      </w:r>
    </w:p>
    <w:p>
      <w:pPr>
        <w:pStyle w:val="TOC2"/>
      </w:pPr>
      <w:hyperlink w:anchor="_Toc1306">
        <w:r>
          <w:t xml:space="preserve">Implications for You</w:t>
        </w:r>
      </w:hyperlink>
      <w:r>
        <w:tab/>
      </w:r>
      <w:r>
        <w:fldChar w:fldCharType="begin"/>
      </w:r>
      <w:r>
        <w:instrText xml:space="preserve"> PAGEREF _Toc1306 \h </w:instrText>
      </w:r>
      <w:r>
        <w:fldChar w:fldCharType="separate"/>
      </w:r>
      <w:r>
        <w:t>1</w:t>
      </w:r>
      <w:r>
        <w:fldChar w:fldCharType="end"/>
      </w:r>
    </w:p>
    <w:p>
      <w:pPr>
        <w:pStyle w:val="TOC2"/>
      </w:pPr>
      <w:hyperlink w:anchor="_Toc1307">
        <w:r>
          <w:t xml:space="preserve">Key Concepts in This Chapter</w:t>
        </w:r>
      </w:hyperlink>
      <w:r>
        <w:tab/>
      </w:r>
      <w:r>
        <w:fldChar w:fldCharType="begin"/>
      </w:r>
      <w:r>
        <w:instrText xml:space="preserve"> PAGEREF _Toc1307 \h </w:instrText>
      </w:r>
      <w:r>
        <w:fldChar w:fldCharType="separate"/>
      </w:r>
      <w:r>
        <w:t>1</w:t>
      </w:r>
      <w:r>
        <w:fldChar w:fldCharType="end"/>
      </w:r>
    </w:p>
    <w:p>
      <w:pPr>
        <w:pStyle w:val="TOC1"/>
      </w:pPr>
      <w:hyperlink w:anchor="_Toc1308">
        <w:r>
          <w:t xml:space="preserve">Chapter 11: The Operations Pillar — Executing Hospital System Transformation</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The Operations Pillar: Where Strategy Meets Reality</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The Vermont Transformation Operating Model</w:t>
        </w:r>
      </w:hyperlink>
      <w:r>
        <w:tab/>
      </w:r>
      <w:r>
        <w:fldChar w:fldCharType="begin"/>
      </w:r>
      <w:r>
        <w:instrText xml:space="preserve"> PAGEREF _Toc1310 \h </w:instrText>
      </w:r>
      <w:r>
        <w:fldChar w:fldCharType="separate"/>
      </w:r>
      <w:r>
        <w:t>1</w:t>
      </w:r>
      <w:r>
        <w:fldChar w:fldCharType="end"/>
      </w:r>
    </w:p>
    <w:p>
      <w:pPr>
        <w:pStyle w:val="TOC2"/>
      </w:pPr>
      <w:hyperlink w:anchor="_Toc1313">
        <w:r>
          <w:t xml:space="preserve">The RHRC Methodology — Technical Assistance for Rural Hospital Transformation</w:t>
        </w:r>
      </w:hyperlink>
      <w:r>
        <w:tab/>
      </w:r>
      <w:r>
        <w:fldChar w:fldCharType="begin"/>
      </w:r>
      <w:r>
        <w:instrText xml:space="preserve"> PAGEREF _Toc1313 \h </w:instrText>
      </w:r>
      <w:r>
        <w:fldChar w:fldCharType="separate"/>
      </w:r>
      <w:r>
        <w:t>1</w:t>
      </w:r>
      <w:r>
        <w:fldChar w:fldCharType="end"/>
      </w:r>
    </w:p>
    <w:p>
      <w:pPr>
        <w:pStyle w:val="TOC2"/>
      </w:pPr>
      <w:hyperlink w:anchor="_Toc1317">
        <w:r>
          <w:t xml:space="preserve">The Vermont Hospital Performance Dashboard — Where Each Hospital Stands</w:t>
        </w:r>
      </w:hyperlink>
      <w:r>
        <w:tab/>
      </w:r>
      <w:r>
        <w:fldChar w:fldCharType="begin"/>
      </w:r>
      <w:r>
        <w:instrText xml:space="preserve"> PAGEREF _Toc1317 \h </w:instrText>
      </w:r>
      <w:r>
        <w:fldChar w:fldCharType="separate"/>
      </w:r>
      <w:r>
        <w:t>1</w:t>
      </w:r>
      <w:r>
        <w:fldChar w:fldCharType="end"/>
      </w:r>
    </w:p>
    <w:p>
      <w:pPr>
        <w:pStyle w:val="TOC2"/>
      </w:pPr>
      <w:hyperlink w:anchor="_Toc1318">
        <w:r>
          <w:t xml:space="preserve">Regionalization — The Operational Logic of Right-Sizing a 14-Hospital System</w:t>
        </w:r>
      </w:hyperlink>
      <w:r>
        <w:tab/>
      </w:r>
      <w:r>
        <w:fldChar w:fldCharType="begin"/>
      </w:r>
      <w:r>
        <w:instrText xml:space="preserve"> PAGEREF _Toc1318 \h </w:instrText>
      </w:r>
      <w:r>
        <w:fldChar w:fldCharType="separate"/>
      </w:r>
      <w:r>
        <w:t>1</w:t>
      </w:r>
      <w:r>
        <w:fldChar w:fldCharType="end"/>
      </w:r>
    </w:p>
    <w:p>
      <w:pPr>
        <w:pStyle w:val="TOC2"/>
      </w:pPr>
      <w:hyperlink w:anchor="_Toc1321">
        <w:r>
          <w:t xml:space="preserve">The Workforce Crisis — Vermont’s Most Binding Operational Constraint</w:t>
        </w:r>
      </w:hyperlink>
      <w:r>
        <w:tab/>
      </w:r>
      <w:r>
        <w:fldChar w:fldCharType="begin"/>
      </w:r>
      <w:r>
        <w:instrText xml:space="preserve"> PAGEREF _Toc1321 \h </w:instrText>
      </w:r>
      <w:r>
        <w:fldChar w:fldCharType="separate"/>
      </w:r>
      <w:r>
        <w:t>1</w:t>
      </w:r>
      <w:r>
        <w:fldChar w:fldCharType="end"/>
      </w:r>
    </w:p>
    <w:p>
      <w:pPr>
        <w:pStyle w:val="TOC2"/>
      </w:pPr>
      <w:hyperlink w:anchor="_Toc1325">
        <w:r>
          <w:t xml:space="preserve">The Operations Metrics Framework — What AHS Must Track</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AHS as System Operator — Organizational Design for the 2028 Mandate</w:t>
        </w:r>
      </w:hyperlink>
      <w:r>
        <w:tab/>
      </w:r>
      <w:r>
        <w:fldChar w:fldCharType="begin"/>
      </w:r>
      <w:r>
        <w:instrText xml:space="preserve"> PAGEREF _Toc1326 \h </w:instrText>
      </w:r>
      <w:r>
        <w:fldChar w:fldCharType="separate"/>
      </w:r>
      <w:r>
        <w:t>1</w:t>
      </w:r>
      <w:r>
        <w:fldChar w:fldCharType="end"/>
      </w:r>
    </w:p>
    <w:p>
      <w:pPr>
        <w:pStyle w:val="TOC2"/>
      </w:pPr>
      <w:hyperlink w:anchor="_Toc1329">
        <w:r>
          <w:t xml:space="preserve">Revenue Cycle, HCC Coding, Credentialing, and Administrative Simplification</w:t>
        </w:r>
      </w:hyperlink>
      <w:r>
        <w:tab/>
      </w:r>
      <w:r>
        <w:fldChar w:fldCharType="begin"/>
      </w:r>
      <w:r>
        <w:instrText xml:space="preserve"> PAGEREF _Toc1329 \h </w:instrText>
      </w:r>
      <w:r>
        <w:fldChar w:fldCharType="separate"/>
      </w:r>
      <w:r>
        <w:t>1</w:t>
      </w:r>
      <w:r>
        <w:fldChar w:fldCharType="end"/>
      </w:r>
    </w:p>
    <w:p>
      <w:pPr>
        <w:pStyle w:val="TOC2"/>
      </w:pPr>
      <w:hyperlink w:anchor="_Toc1330">
        <w:r>
          <w:t xml:space="preserve">Operations Where Money Actually Lives</w:t>
        </w:r>
      </w:hyperlink>
      <w:r>
        <w:tab/>
      </w:r>
      <w:r>
        <w:fldChar w:fldCharType="begin"/>
      </w:r>
      <w:r>
        <w:instrText xml:space="preserve"> PAGEREF _Toc1330 \h </w:instrText>
      </w:r>
      <w:r>
        <w:fldChar w:fldCharType="separate"/>
      </w:r>
      <w:r>
        <w:t>1</w:t>
      </w:r>
      <w:r>
        <w:fldChar w:fldCharType="end"/>
      </w:r>
    </w:p>
    <w:p>
      <w:pPr>
        <w:pStyle w:val="TOC2"/>
      </w:pPr>
      <w:hyperlink w:anchor="_Toc1331">
        <w:r>
          <w:t xml:space="preserve">Revenue Cycle Transformation — From FFS Optimization to VBC Management</w:t>
        </w:r>
      </w:hyperlink>
      <w:r>
        <w:tab/>
      </w:r>
      <w:r>
        <w:fldChar w:fldCharType="begin"/>
      </w:r>
      <w:r>
        <w:instrText xml:space="preserve"> PAGEREF _Toc1331 \h </w:instrText>
      </w:r>
      <w:r>
        <w:fldChar w:fldCharType="separate"/>
      </w:r>
      <w:r>
        <w:t>1</w:t>
      </w:r>
      <w:r>
        <w:fldChar w:fldCharType="end"/>
      </w:r>
    </w:p>
    <w:p>
      <w:pPr>
        <w:pStyle w:val="TOC2"/>
      </w:pPr>
      <w:hyperlink w:anchor="_Toc1334">
        <w:r>
          <w:t xml:space="preserve">HCC Coding Excellence — The Risk Adjustment Foundation</w:t>
        </w:r>
      </w:hyperlink>
      <w:r>
        <w:tab/>
      </w:r>
      <w:r>
        <w:fldChar w:fldCharType="begin"/>
      </w:r>
      <w:r>
        <w:instrText xml:space="preserve"> PAGEREF _Toc1334 \h </w:instrText>
      </w:r>
      <w:r>
        <w:fldChar w:fldCharType="separate"/>
      </w:r>
      <w:r>
        <w:t>1</w:t>
      </w:r>
      <w:r>
        <w:fldChar w:fldCharType="end"/>
      </w:r>
    </w:p>
    <w:p>
      <w:pPr>
        <w:pStyle w:val="TOC2"/>
      </w:pPr>
      <w:hyperlink w:anchor="_Toc1338">
        <w:r>
          <w:t xml:space="preserve">Credentialing Efficiency — The Hidden Operations Bottleneck</w:t>
        </w:r>
      </w:hyperlink>
      <w:r>
        <w:tab/>
      </w:r>
      <w:r>
        <w:fldChar w:fldCharType="begin"/>
      </w:r>
      <w:r>
        <w:instrText xml:space="preserve"> PAGEREF _Toc1338 \h </w:instrText>
      </w:r>
      <w:r>
        <w:fldChar w:fldCharType="separate"/>
      </w:r>
      <w:r>
        <w:t>1</w:t>
      </w:r>
      <w:r>
        <w:fldChar w:fldCharType="end"/>
      </w:r>
    </w:p>
    <w:p>
      <w:pPr>
        <w:pStyle w:val="TOC2"/>
      </w:pPr>
      <w:hyperlink w:anchor="_Toc1341">
        <w:r>
          <w:t xml:space="preserve">Workforce Operations — Managing the Care Team in a Transformed System</w:t>
        </w:r>
      </w:hyperlink>
      <w:r>
        <w:tab/>
      </w:r>
      <w:r>
        <w:fldChar w:fldCharType="begin"/>
      </w:r>
      <w:r>
        <w:instrText xml:space="preserve"> PAGEREF _Toc1341 \h </w:instrText>
      </w:r>
      <w:r>
        <w:fldChar w:fldCharType="separate"/>
      </w:r>
      <w:r>
        <w:t>1</w:t>
      </w:r>
      <w:r>
        <w:fldChar w:fldCharType="end"/>
      </w:r>
    </w:p>
    <w:p>
      <w:pPr>
        <w:pStyle w:val="TOC2"/>
      </w:pPr>
      <w:hyperlink w:anchor="_Toc1345">
        <w:r>
          <w:t xml:space="preserve">Administrative Simplification — The Vermont Agenda</w:t>
        </w:r>
      </w:hyperlink>
      <w:r>
        <w:tab/>
      </w:r>
      <w:r>
        <w:fldChar w:fldCharType="begin"/>
      </w:r>
      <w:r>
        <w:instrText xml:space="preserve"> PAGEREF _Toc1345 \h </w:instrText>
      </w:r>
      <w:r>
        <w:fldChar w:fldCharType="separate"/>
      </w:r>
      <w:r>
        <w:t>1</w:t>
      </w:r>
      <w:r>
        <w:fldChar w:fldCharType="end"/>
      </w:r>
    </w:p>
    <w:p>
      <w:pPr>
        <w:pStyle w:val="TOC2"/>
      </w:pPr>
      <w:hyperlink w:anchor="_Toc1347">
        <w:r>
          <w:t xml:space="preserve">Operations Pillar Implementation Matrix</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Work This Chapter on the Platform</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Implications for You</w:t>
        </w:r>
      </w:hyperlink>
      <w:r>
        <w:tab/>
      </w:r>
      <w:r>
        <w:fldChar w:fldCharType="begin"/>
      </w:r>
      <w:r>
        <w:instrText xml:space="preserve"> PAGEREF _Toc1349 \h </w:instrText>
      </w:r>
      <w:r>
        <w:fldChar w:fldCharType="separate"/>
      </w:r>
      <w:r>
        <w:t>1</w:t>
      </w:r>
      <w:r>
        <w:fldChar w:fldCharType="end"/>
      </w:r>
    </w:p>
    <w:p>
      <w:pPr>
        <w:pStyle w:val="TOC2"/>
      </w:pPr>
      <w:hyperlink w:anchor="_Toc1350">
        <w:r>
          <w:t xml:space="preserve">Key Concepts in This Chapter</w:t>
        </w:r>
      </w:hyperlink>
      <w:r>
        <w:tab/>
      </w:r>
      <w:r>
        <w:fldChar w:fldCharType="begin"/>
      </w:r>
      <w:r>
        <w:instrText xml:space="preserve"> PAGEREF _Toc1350 \h </w:instrText>
      </w:r>
      <w:r>
        <w:fldChar w:fldCharType="separate"/>
      </w:r>
      <w:r>
        <w:t>1</w:t>
      </w:r>
      <w:r>
        <w:fldChar w:fldCharType="end"/>
      </w:r>
    </w:p>
    <w:p>
      <w:pPr>
        <w:pStyle w:val="TOC1"/>
      </w:pPr>
      <w:hyperlink w:anchor="_Toc1351">
        <w:r>
          <w:t xml:space="preserve">Chapter 12: Infrastructure for Knowledge Transfer and Implementation</w:t>
        </w:r>
      </w:hyperlink>
      <w:r>
        <w:tab/>
      </w:r>
      <w:r>
        <w:fldChar w:fldCharType="begin"/>
      </w:r>
      <w:r>
        <w:instrText xml:space="preserve"> PAGEREF _Toc1351 \h </w:instrText>
      </w:r>
      <w:r>
        <w:fldChar w:fldCharType="separate"/>
      </w:r>
      <w:r>
        <w:t>1</w:t>
      </w:r>
      <w:r>
        <w:fldChar w:fldCharType="end"/>
      </w:r>
    </w:p>
    <w:p>
      <w:pPr>
        <w:pStyle w:val="TOC2"/>
      </w:pPr>
      <w:hyperlink w:anchor="_Toc1352">
        <w:r>
          <w:t xml:space="preserve">The Gap Between Understanding and Doing</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The Knowledge and Implementation Infrastructure</w:t>
        </w:r>
      </w:hyperlink>
      <w:r>
        <w:tab/>
      </w:r>
      <w:r>
        <w:fldChar w:fldCharType="begin"/>
      </w:r>
      <w:r>
        <w:instrText xml:space="preserve"> PAGEREF _Toc1353 \h </w:instrText>
      </w:r>
      <w:r>
        <w:fldChar w:fldCharType="separate"/>
      </w:r>
      <w:r>
        <w:t>1</w:t>
      </w:r>
      <w:r>
        <w:fldChar w:fldCharType="end"/>
      </w:r>
    </w:p>
    <w:p>
      <w:pPr>
        <w:pStyle w:val="TOC2"/>
      </w:pPr>
      <w:hyperlink w:anchor="_Toc1356">
        <w:r>
          <w:t xml:space="preserve">The Transformation Advisory Domains — Structured for the Five Pillars</w:t>
        </w:r>
      </w:hyperlink>
      <w:r>
        <w:tab/>
      </w:r>
      <w:r>
        <w:fldChar w:fldCharType="begin"/>
      </w:r>
      <w:r>
        <w:instrText xml:space="preserve"> PAGEREF _Toc1356 \h </w:instrText>
      </w:r>
      <w:r>
        <w:fldChar w:fldCharType="separate"/>
      </w:r>
      <w:r>
        <w:t>1</w:t>
      </w:r>
      <w:r>
        <w:fldChar w:fldCharType="end"/>
      </w:r>
    </w:p>
    <w:p>
      <w:pPr>
        <w:pStyle w:val="TOC2"/>
      </w:pPr>
      <w:hyperlink w:anchor="_Toc1362">
        <w:r>
          <w:t xml:space="preserve">The Change Management Science Behind Healthcare Transformation</w:t>
        </w:r>
      </w:hyperlink>
      <w:r>
        <w:tab/>
      </w:r>
      <w:r>
        <w:fldChar w:fldCharType="begin"/>
      </w:r>
      <w:r>
        <w:instrText xml:space="preserve"> PAGEREF _Toc1362 \h </w:instrText>
      </w:r>
      <w:r>
        <w:fldChar w:fldCharType="separate"/>
      </w:r>
      <w:r>
        <w:t>1</w:t>
      </w:r>
      <w:r>
        <w:fldChar w:fldCharType="end"/>
      </w:r>
    </w:p>
    <w:p>
      <w:pPr>
        <w:pStyle w:val="TOC2"/>
      </w:pPr>
      <w:hyperlink w:anchor="_Toc1365">
        <w:r>
          <w:t xml:space="preserve">The HTR Implementation Toolkit</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A Framework for Selecting Advisory Support</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The Role of External Technical Assistance in State-Level Transformation</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Work This Chapter on the Platform</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Implications for You</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Key Concepts in This Chapter</w:t>
        </w:r>
      </w:hyperlink>
      <w:r>
        <w:tab/>
      </w:r>
      <w:r>
        <w:fldChar w:fldCharType="begin"/>
      </w:r>
      <w:r>
        <w:instrText xml:space="preserve"> PAGEREF _Toc1370 \h </w:instrText>
      </w:r>
      <w:r>
        <w:fldChar w:fldCharType="separate"/>
      </w:r>
      <w:r>
        <w:t>1</w:t>
      </w:r>
      <w:r>
        <w:fldChar w:fldCharType="end"/>
      </w:r>
    </w:p>
    <w:p>
      <w:pPr>
        <w:pStyle w:val="TOC1"/>
      </w:pPr>
      <w:hyperlink w:anchor="_Toc1371">
        <w:r>
          <w:t xml:space="preserve">Chapter 13: The Future of Healthcare Transformation — 2026, What Vermont Proves, and What Remains</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Vermont Transformation Scorecard: Five-Pillar Status, April 2026</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Where the System Stands in April 2026 — A Necessary Update</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Five Forces Shaping the Next Decade</w:t>
        </w:r>
      </w:hyperlink>
      <w:r>
        <w:tab/>
      </w:r>
      <w:r>
        <w:fldChar w:fldCharType="begin"/>
      </w:r>
      <w:r>
        <w:instrText xml:space="preserve"> PAGEREF _Toc1374 \h </w:instrText>
      </w:r>
      <w:r>
        <w:fldChar w:fldCharType="separate"/>
      </w:r>
      <w:r>
        <w:t>1</w:t>
      </w:r>
      <w:r>
        <w:fldChar w:fldCharType="end"/>
      </w:r>
    </w:p>
    <w:p>
      <w:pPr>
        <w:pStyle w:val="TOC2"/>
      </w:pPr>
      <w:hyperlink w:anchor="_Toc1380">
        <w:r>
          <w:t xml:space="preserve">The Five-Pillar Forecast: 2026–2035</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Vermont’s Ten-Year Trajectory: Two Scenarios</w:t>
        </w:r>
      </w:hyperlink>
      <w:r>
        <w:tab/>
      </w:r>
      <w:r>
        <w:fldChar w:fldCharType="begin"/>
      </w:r>
      <w:r>
        <w:instrText xml:space="preserve"> PAGEREF _Toc1381 \h </w:instrText>
      </w:r>
      <w:r>
        <w:fldChar w:fldCharType="separate"/>
      </w:r>
      <w:r>
        <w:t>1</w:t>
      </w:r>
      <w:r>
        <w:fldChar w:fldCharType="end"/>
      </w:r>
    </w:p>
    <w:p>
      <w:pPr>
        <w:pStyle w:val="TOC2"/>
      </w:pPr>
      <w:hyperlink w:anchor="_Toc1384">
        <w:r>
          <w:t xml:space="preserve">Vermont as National Template — The Decisions That Will Determine Outcomes</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Work This Chapter on the Platform</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Implications for You</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Key Concepts in This Chapter</w:t>
        </w:r>
      </w:hyperlink>
      <w:r>
        <w:tab/>
      </w:r>
      <w:r>
        <w:fldChar w:fldCharType="begin"/>
      </w:r>
      <w:r>
        <w:instrText xml:space="preserve"> PAGEREF _Toc1387 \h </w:instrText>
      </w:r>
      <w:r>
        <w:fldChar w:fldCharType="separate"/>
      </w:r>
      <w:r>
        <w:t>1</w:t>
      </w:r>
      <w:r>
        <w:fldChar w:fldCharType="end"/>
      </w:r>
    </w:p>
    <w:p>
      <w:pPr>
        <w:pStyle w:val="TOC2"/>
      </w:pPr>
      <w:hyperlink w:anchor="_Toc1388">
        <w:r>
          <w:t xml:space="preserve">A Closing Note: What This Book Is Betting On</w:t>
        </w:r>
      </w:hyperlink>
      <w:r>
        <w:tab/>
      </w:r>
      <w:r>
        <w:fldChar w:fldCharType="begin"/>
      </w:r>
      <w:r>
        <w:instrText xml:space="preserve"> PAGEREF _Toc1388 \h </w:instrText>
      </w:r>
      <w:r>
        <w:fldChar w:fldCharType="separate"/>
      </w:r>
      <w:r>
        <w:t>1</w:t>
      </w:r>
      <w:r>
        <w:fldChar w:fldCharType="end"/>
      </w:r>
    </w:p>
    <w:p>
      <w:pPr>
        <w:pStyle w:val="TOC1"/>
      </w:pPr>
      <w:hyperlink w:anchor="_Toc1389">
        <w:r>
          <w:t xml:space="preserve">Chapter 14: Political Sustainability — Protecting Transformation Across Election Cycles</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Why Political Sustainability Is an Analytical Problem, Not Only a Political One</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The Structural Durability of Vermont’s Reform Architecture</w:t>
        </w:r>
      </w:hyperlink>
      <w:r>
        <w:tab/>
      </w:r>
      <w:r>
        <w:fldChar w:fldCharType="begin"/>
      </w:r>
      <w:r>
        <w:instrText xml:space="preserve"> PAGEREF _Toc1391 \h </w:instrText>
      </w:r>
      <w:r>
        <w:fldChar w:fldCharType="separate"/>
      </w:r>
      <w:r>
        <w:t>1</w:t>
      </w:r>
      <w:r>
        <w:fldChar w:fldCharType="end"/>
      </w:r>
    </w:p>
    <w:p>
      <w:pPr>
        <w:pStyle w:val="TOC2"/>
      </w:pPr>
      <w:hyperlink w:anchor="_Toc1394">
        <w:r>
          <w:t xml:space="preserve">Early-Warning Signals of Political Risk</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Organizational Strategies for Political Risk Management</w:t>
        </w:r>
      </w:hyperlink>
      <w:r>
        <w:tab/>
      </w:r>
      <w:r>
        <w:fldChar w:fldCharType="begin"/>
      </w:r>
      <w:r>
        <w:instrText xml:space="preserve"> PAGEREF _Toc1395 \h </w:instrText>
      </w:r>
      <w:r>
        <w:fldChar w:fldCharType="separate"/>
      </w:r>
      <w:r>
        <w:t>1</w:t>
      </w:r>
      <w:r>
        <w:fldChar w:fldCharType="end"/>
      </w:r>
    </w:p>
    <w:p>
      <w:pPr>
        <w:pStyle w:val="TOC2"/>
      </w:pPr>
      <w:hyperlink w:anchor="_Toc1400">
        <w:r>
          <w:t xml:space="preserve">Vermont’s Reform Cascade as Political-Sustainability Architecture</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Work This Chapter on the Platform</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Implications for You</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Key Concepts in This Chapter</w:t>
        </w:r>
      </w:hyperlink>
      <w:r>
        <w:tab/>
      </w:r>
      <w:r>
        <w:fldChar w:fldCharType="begin"/>
      </w:r>
      <w:r>
        <w:instrText xml:space="preserve"> PAGEREF _Toc1403 \h </w:instrText>
      </w:r>
      <w:r>
        <w:fldChar w:fldCharType="separate"/>
      </w:r>
      <w:r>
        <w:t>1</w:t>
      </w:r>
      <w:r>
        <w:fldChar w:fldCharType="end"/>
      </w:r>
    </w:p>
    <w:p>
      <w:pPr>
        <w:pStyle w:val="TOC1"/>
      </w:pPr>
      <w:hyperlink w:anchor="_Toc1404">
        <w:r>
          <w:t xml:space="preserve">Chapter 15: Healthcare Transformation as Portfolio Management — Applying PMI Standards to Five-Pillar Reform</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The Project-Management Gap in Healthcare Transformation</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Project, Program, and Portfolio: Getting the Levels Right</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Vermont’s Transformation Portfolio: 19 Components</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The Case for a Portfolio Manager</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Pillar-Level Project Managers: Five Roles, One Framework</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Governance Architecture and the Ten Knowledge Areas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Portfolio Sequence Is Dependency Sequence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Predictive vs. Adaptive Approaches</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The Portfolio Risk Register</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Benefits Realization: Connecting the PMO to Act 167’s Five Goals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The Business Case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Implementation Roadmap</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Answering the Four Objections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Work This Chapter on the Platform</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Implications for You</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Key Concepts in This Chapter</w:t>
        </w:r>
      </w:hyperlink>
      <w:r>
        <w:tab/>
      </w:r>
      <w:r>
        <w:fldChar w:fldCharType="begin"/>
      </w:r>
      <w:r>
        <w:instrText xml:space="preserve"> PAGEREF _Toc1420 \h </w:instrText>
      </w:r>
      <w:r>
        <w:fldChar w:fldCharType="separate"/>
      </w:r>
      <w:r>
        <w:t>1</w:t>
      </w:r>
      <w:r>
        <w:fldChar w:fldCharType="end"/>
      </w:r>
    </w:p>
    <w:p>
      <w:pPr>
        <w:pStyle w:val="TOC1"/>
      </w:pPr>
      <w:hyperlink w:anchor="_Toc1421">
        <w:r>
          <w:t xml:space="preserve">Chapter 16: The AHS Restructuring Roadmap — A Five-Pillar Framework for System Architects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The Statutory Mandate — What Act 68 Actually Requires AHS to Do</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The Organizational Diagnosis — Why AHS Must Restructure, Not Just Plan</w:t>
        </w:r>
      </w:hyperlink>
      <w:r>
        <w:tab/>
      </w:r>
      <w:r>
        <w:fldChar w:fldCharType="begin"/>
      </w:r>
      <w:r>
        <w:instrText xml:space="preserve"> PAGEREF _Toc1423 \h </w:instrText>
      </w:r>
      <w:r>
        <w:fldChar w:fldCharType="separate"/>
      </w:r>
      <w:r>
        <w:t>1</w:t>
      </w:r>
      <w:r>
        <w:fldChar w:fldCharType="end"/>
      </w:r>
    </w:p>
    <w:p>
      <w:pPr>
        <w:pStyle w:val="TOC2"/>
      </w:pPr>
      <w:hyperlink w:anchor="_Toc1425">
        <w:r>
          <w:t xml:space="preserve">The Redesigned AHS Operating Model — A Population Health System Operator</w:t>
        </w:r>
      </w:hyperlink>
      <w:r>
        <w:tab/>
      </w:r>
      <w:r>
        <w:fldChar w:fldCharType="begin"/>
      </w:r>
      <w:r>
        <w:instrText xml:space="preserve"> PAGEREF _Toc1425 \h </w:instrText>
      </w:r>
      <w:r>
        <w:fldChar w:fldCharType="separate"/>
      </w:r>
      <w:r>
        <w:t>1</w:t>
      </w:r>
      <w:r>
        <w:fldChar w:fldCharType="end"/>
      </w:r>
    </w:p>
    <w:p>
      <w:pPr>
        <w:pStyle w:val="TOC2"/>
      </w:pPr>
      <w:hyperlink w:anchor="_Toc1429">
        <w:r>
          <w:t xml:space="preserve">The Five-Pillar Framework Applied to AHS’s Mandate</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AHS Restructuring Implementation Timeline</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A Framework for the 2028 Statewide Strategic Plan</w:t>
        </w:r>
      </w:hyperlink>
      <w:r>
        <w:tab/>
      </w:r>
      <w:r>
        <w:fldChar w:fldCharType="begin"/>
      </w:r>
      <w:r>
        <w:instrText xml:space="preserve"> PAGEREF _Toc1431 \h </w:instrText>
      </w:r>
      <w:r>
        <w:fldChar w:fldCharType="separate"/>
      </w:r>
      <w:r>
        <w:t>1</w:t>
      </w:r>
      <w:r>
        <w:fldChar w:fldCharType="end"/>
      </w:r>
    </w:p>
    <w:p>
      <w:pPr>
        <w:pStyle w:val="TOC2"/>
      </w:pPr>
      <w:hyperlink w:anchor="_Toc1433">
        <w:r>
          <w:t xml:space="preserve">Vermont as National Template — Why This Restructuring Matters Beyond Vermont</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Work This Chapter on the Platform</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Implications for You</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Key Concepts in This Chapter</w:t>
        </w:r>
      </w:hyperlink>
      <w:r>
        <w:tab/>
      </w:r>
      <w:r>
        <w:fldChar w:fldCharType="begin"/>
      </w:r>
      <w:r>
        <w:instrText xml:space="preserve"> PAGEREF _Toc1436 \h </w:instrText>
      </w:r>
      <w:r>
        <w:fldChar w:fldCharType="separate"/>
      </w:r>
      <w:r>
        <w:t>1</w:t>
      </w:r>
      <w:r>
        <w:fldChar w:fldCharType="end"/>
      </w:r>
    </w:p>
    <w:p>
      <w:pPr>
        <w:pStyle w:val="TOC1"/>
      </w:pPr>
      <w:hyperlink w:anchor="_Toc1437">
        <w:r>
          <w:t xml:space="preserve">Conclusion — What Vermont Proves, and What Remains to Be Proven</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What Failure Actually Looks Like</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The Three Decisions That Are Not Yet Made</w:t>
        </w:r>
      </w:hyperlink>
      <w:r>
        <w:tab/>
      </w:r>
      <w:r>
        <w:fldChar w:fldCharType="begin"/>
      </w:r>
      <w:r>
        <w:instrText xml:space="preserve"> PAGEREF _Toc1439 \h </w:instrText>
      </w:r>
      <w:r>
        <w:fldChar w:fldCharType="separate"/>
      </w:r>
      <w:r>
        <w:t>1</w:t>
      </w:r>
      <w:r>
        <w:fldChar w:fldCharType="end"/>
      </w:r>
    </w:p>
    <w:p>
      <w:pPr>
        <w:pStyle w:val="TOC2"/>
      </w:pPr>
      <w:hyperlink w:anchor="_Toc1443">
        <w:r>
          <w:t xml:space="preserve">What Vermont Has Proved — As of April 2026</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The People This Book Cannot Reach</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The Call</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Key Concepts in This Chapter</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A — Vermont System Portrait</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Vermont: The State</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Demographics and Population Projections</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Regulatory Architecture: The Green Mountain Care Board</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The Hospital System</w:t>
        </w:r>
      </w:hyperlink>
      <w:r>
        <w:tab/>
      </w:r>
      <w:r>
        <w:fldChar w:fldCharType="begin"/>
      </w:r>
      <w:r>
        <w:instrText xml:space="preserve"> PAGEREF _Toc1451 \h </w:instrText>
      </w:r>
      <w:r>
        <w:fldChar w:fldCharType="separate"/>
      </w:r>
      <w:r>
        <w:t>1</w:t>
      </w:r>
      <w:r>
        <w:fldChar w:fldCharType="end"/>
      </w:r>
    </w:p>
    <w:p>
      <w:pPr>
        <w:pStyle w:val="TOC2"/>
      </w:pPr>
      <w:hyperlink w:anchor="_Toc1454">
        <w:r>
          <w:t xml:space="preserve">The Transformation Plans: A System in Motion</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The Insurance and Premium Crisis</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Healthcare Workforce</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Clinical Quality Indicators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B — Act 68 Statutory Timeline and Milestones</w:t>
        </w:r>
      </w:hyperlink>
      <w:r>
        <w:tab/>
      </w:r>
      <w:r>
        <w:fldChar w:fldCharType="begin"/>
      </w:r>
      <w:r>
        <w:instrText xml:space="preserve"> PAGEREF _Toc1458 \h </w:instrText>
      </w:r>
      <w:r>
        <w:fldChar w:fldCharType="separate"/>
      </w:r>
      <w:r>
        <w:t>1</w:t>
      </w:r>
      <w:r>
        <w:fldChar w:fldCharType="end"/>
      </w:r>
    </w:p>
    <w:p>
      <w:pPr>
        <w:pStyle w:val="TOC1"/>
      </w:pPr>
      <w:hyperlink w:anchor="_Toc1460">
        <w:r>
          <w:t xml:space="preserve">Appendix C — The 14-Hospital Centers of Excellence Assignment Framework</w:t>
        </w:r>
      </w:hyperlink>
      <w:r>
        <w:tab/>
      </w:r>
      <w:r>
        <w:fldChar w:fldCharType="begin"/>
      </w:r>
      <w:r>
        <w:instrText xml:space="preserve"> PAGEREF _Toc1460 \h </w:instrText>
      </w:r>
      <w:r>
        <w:fldChar w:fldCharType="separate"/>
      </w:r>
      <w:r>
        <w:t>1</w:t>
      </w:r>
      <w:r>
        <w:fldChar w:fldCharType="end"/>
      </w:r>
    </w:p>
    <w:p>
      <w:pPr>
        <w:pStyle w:val="TOC1"/>
      </w:pPr>
      <w:hyperlink w:anchor="_Toc1461">
        <w:r>
          <w:t xml:space="preserve">Appendix D — HTR Platform Tools and Methodology Overview</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E — Vermont Transformation Scorecard: 2022 Baseline, 2026 Status, 2028 Target</w:t>
        </w:r>
      </w:hyperlink>
      <w:r>
        <w:tab/>
      </w:r>
      <w:r>
        <w:fldChar w:fldCharType="begin"/>
      </w:r>
      <w:r>
        <w:instrText xml:space="preserve"> PAGEREF _Toc1462 \h </w:instrText>
      </w:r>
      <w:r>
        <w:fldChar w:fldCharType="separate"/>
      </w:r>
      <w:r>
        <w:t>1</w:t>
      </w:r>
      <w:r>
        <w:fldChar w:fldCharType="end"/>
      </w:r>
    </w:p>
    <w:p>
      <w:pPr>
        <w:pStyle w:val="TOC1"/>
      </w:pPr>
      <w:hyperlink w:anchor="_Toc1469">
        <w:r>
          <w:t xml:space="preserve">Appendix F — A Reader’s Guide to the Health Transformation Review Platform</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What This Platform Is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Navigating the Platform</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The Five Pillars of Intelligence</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The Academy</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The Research Lab</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States &amp; Programs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Advisory &amp; Services and the AI Analyst</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Reader Profiles and Recommended Paths</w:t>
        </w:r>
      </w:hyperlink>
      <w:r>
        <w:tab/>
      </w:r>
      <w:r>
        <w:fldChar w:fldCharType="begin"/>
      </w:r>
      <w:r>
        <w:instrText xml:space="preserve"> PAGEREF _Toc1477 \h </w:instrText>
      </w:r>
      <w:r>
        <w:fldChar w:fldCharType="separate"/>
      </w:r>
      <w:r>
        <w:t>1</w:t>
      </w:r>
      <w:r>
        <w:fldChar w:fldCharType="end"/>
      </w:r>
    </w:p>
    <w:p>
      <w:pPr>
        <w:pStyle w:val="TOC1"/>
      </w:pPr>
      <w:hyperlink w:anchor="_Toc1478">
        <w:r>
          <w:t xml:space="preserve">Appendix G — Adapting and Stress-Testing the Framework</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Glossary of Vermont-Specific Acronyms and Institutions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Worksheet — Adapt This Framework to Your State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The Transition Window — Financing FY2027–2030</w:t>
        </w:r>
      </w:hyperlink>
      <w:r>
        <w:tab/>
      </w:r>
      <w:r>
        <w:fldChar w:fldCharType="begin"/>
      </w:r>
      <w:r>
        <w:instrText xml:space="preserve"> PAGEREF _Toc1481 \h </w:instrText>
      </w:r>
      <w:r>
        <w:fldChar w:fldCharType="separate"/>
      </w:r>
      <w:r>
        <w:t>1</w:t>
      </w:r>
      <w:r>
        <w:fldChar w:fldCharType="end"/>
      </w:r>
    </w:p>
    <w:p>
      <w:pPr>
        <w:pStyle w:val="TOC2"/>
      </w:pPr>
      <w:hyperlink w:anchor="_Toc1484">
        <w:r>
          <w:t xml:space="preserve">Enforcement Mechanics — What “Mandatory” Means in Practice</w:t>
        </w:r>
      </w:hyperlink>
      <w:r>
        <w:tab/>
      </w:r>
      <w:r>
        <w:fldChar w:fldCharType="begin"/>
      </w:r>
      <w:r>
        <w:instrText xml:space="preserve"> PAGEREF _Toc1484 \h </w:instrText>
      </w:r>
      <w:r>
        <w:fldChar w:fldCharType="separate"/>
      </w:r>
      <w:r>
        <w:t>1</w:t>
      </w:r>
      <w:r>
        <w:fldChar w:fldCharType="end"/>
      </w:r>
    </w:p>
    <w:p>
      <w:pPr>
        <w:pStyle w:val="TOC1"/>
      </w:pPr>
      <w:hyperlink w:anchor="_Toc1487">
        <w:r>
          <w:t xml:space="preserve">Appendix H — The HTR Lab Workbook: A Five-Pillar Practicum</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How to Use This Workbook</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1 — Policy: Establish the Mandate</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2 — Technology: Build the Substrate</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3 — Economics: Put Incentives on a Visible System</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4 — Clinical: Redesign Care on Aligned Incentives</w:t>
        </w:r>
      </w:hyperlink>
      <w:r>
        <w:tab/>
      </w:r>
      <w:r>
        <w:fldChar w:fldCharType="begin"/>
      </w:r>
      <w:r>
        <w:instrText xml:space="preserve"> PAGEREF _Toc1492 \h </w:instrText>
      </w:r>
      <w:r>
        <w:fldChar w:fldCharType="separate"/>
      </w:r>
      <w:r>
        <w:t>1</w:t>
      </w:r>
      <w:r>
        <w:fldChar w:fldCharType="end"/>
      </w:r>
    </w:p>
    <w:p>
      <w:pPr>
        <w:pStyle w:val="TOC2"/>
      </w:pPr>
      <w:hyperlink w:anchor="_Toc1493">
        <w:r>
          <w:t xml:space="preserve">The Equity Imperative: Calibrate for the Gap, Not the Average</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Stage 5 — Operations: Close the Execution Gap</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Figure Index</w:t>
        </w:r>
      </w:hyperlink>
      <w:r>
        <w:tab/>
      </w:r>
      <w:r>
        <w:fldChar w:fldCharType="begin"/>
      </w:r>
      <w:r>
        <w:instrText xml:space="preserve"> PAGEREF _Toc1495 \h </w:instrText>
      </w:r>
      <w:r>
        <w:fldChar w:fldCharType="separate"/>
      </w:r>
      <w:r>
        <w:t>1</w:t>
      </w:r>
      <w:r>
        <w:fldChar w:fldCharType="end"/>
      </w:r>
    </w:p>
    <w:p>
      <w:pPr>
        <w:pStyle w:val="TOC1"/>
      </w:pPr>
      <w:hyperlink w:anchor="_Toc1496">
        <w:r>
          <w:t xml:space="preserve">Bibliography and Source Notes</w:t>
        </w:r>
      </w:hyperlink>
      <w:r>
        <w:tab/>
      </w:r>
      <w:r>
        <w:fldChar w:fldCharType="begin"/>
      </w:r>
      <w:r>
        <w:instrText xml:space="preserve"> PAGEREF _Toc1496 \h </w:instrText>
      </w:r>
      <w:r>
        <w:fldChar w:fldCharType="separate"/>
      </w:r>
      <w:r>
        <w:t>1</w:t>
      </w:r>
      <w:r>
        <w:fldChar w:fldCharType="end"/>
      </w:r>
    </w:p>
    <w:p>
      <w:pPr>
        <w:pStyle w:val="TOC1"/>
      </w:pPr>
      <w:hyperlink w:anchor="_Toc1497">
        <w:r>
          <w:t xml:space="preserve">Index (Selected)</w:t>
        </w:r>
      </w:hyperlink>
      <w:r>
        <w:tab/>
      </w:r>
      <w:r>
        <w:fldChar w:fldCharType="begin"/>
      </w:r>
      <w:r>
        <w:instrText xml:space="preserve"> PAGEREF _Toc1497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keepNext w:val="false"/>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keepNext w:val="false"/>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“On a time delay”</w:t>
            </w:r>
            <w:r>
              <w:rPr>
                <w:sz w:val="20"/>
                <w:szCs w:val="20"/>
              </w:rPr>
              <w:t xml:space="preserve"> </w:t>
            </w:r>
            <w:r>
              <w:rPr>
                <w:sz w:val="20"/>
                <w:szCs w:val="20"/>
              </w:rPr>
              <w:t xml:space="preserve">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p>
          <w:p>
            <w:pPr>
              <w:spacing w:after="60" w:line="264" w:lineRule="auto"/>
            </w:pPr>
            <w:r>
              <w:rPr>
                <w:sz w:val="20"/>
                <w:szCs w:val="20"/>
              </w:rPr>
              <w:t xml:space="preserve">The financial consequence is arriving on the same delay. Nationally, 41% of rural hospitals operate in the red and roughly 768 are at risk of closing, 315 of them within three years. Vermont’s nine-of-fourteen — 64% — is not a different problem from the national one. It is the national problem, further along. The states listed above are the ones for whom this book is least hypothetical.</w:t>
            </w:r>
          </w:p>
        </w:tc>
      </w:tr>
    </w:tbl>
    <w:p>
      <w:pPr>
        <w:spacing w:after="120" w:line="240" w:lineRule="auto"/>
        <w:rPr>
          <w:sz w:val="16"/>
        </w:rPr>
      </w:pP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pStyle w:val="BodyText"/>
      </w:pPr>
      <w:r>
        <w:t xml:space="preserve">That last failure is why equity does not appear here as a sixth pillar. It is the</w:t>
      </w:r>
      <w:r>
        <w:t xml:space="preserve"> </w:t>
      </w:r>
      <w:r>
        <w:rPr>
          <w:b/>
          <w:bCs/>
        </w:rPr>
        <w:t xml:space="preserve">Equity Imperative</w:t>
      </w:r>
      <w:r>
        <w:t xml:space="preserve"> </w:t>
      </w:r>
      <w:r>
        <w:t xml:space="preserve">— a single justice test that each of the five pillars must pass on its own terms, not a separate workstream running alongside them. A sixth pillar would come with its own budget line, its own staff, and its own place in the queue, which means it could be sequenced last, funded least, and reported separately from the work that actually determines whether disparities close. An imperative cannot be deferred that way, because there is no separate equity project to defer: every pillar’s own deliverable carries an equity condition it has to satisfy. The Introduction explains why that distinction is structural rather than rhetorical, and Chapter 1 applies the test pillar by pillar.</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five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numPr>
          <w:ilvl w:val="0"/>
          <w:numId w:val="1001"/>
        </w:numPr>
        <w:keepLines w:val="true"/>
        <w:keepNext w:val="true"/>
      </w:pPr>
      <w:r>
        <w:t xml:space="preserve">The platform (</w:t>
      </w:r>
      <w:hyperlink r:id="rId21">
        <w:r>
          <w:rPr>
            <w:rStyle w:val="Hyperlink"/>
          </w:rPr>
          <w:t xml:space="preserve">healthtransformationreview.org</w:t>
        </w:r>
      </w:hyperlink>
      <w:r>
        <w:t xml:space="preserve">) — five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chapter ends with two doorways: an</w:t>
      </w:r>
      <w:r>
        <w:t xml:space="preserve"> </w:t>
      </w:r>
      <w:r>
        <w:rPr>
          <w:i/>
          <w:iCs/>
        </w:rPr>
        <w:t xml:space="preserve">“Explore on the Platform”</w:t>
      </w:r>
      <w:r>
        <w:t xml:space="preserve"> </w:t>
      </w:r>
      <w:r>
        <w:t xml:space="preserve">guide that maps the chapter’s argument to the specific tools that let you manipulate it, and a</w:t>
      </w:r>
      <w:r>
        <w:t xml:space="preserve"> </w:t>
      </w:r>
      <w:r>
        <w:rPr>
          <w:i/>
          <w:iCs/>
        </w:rPr>
        <w:t xml:space="preserve">“Go Deeper — Academy”</w:t>
      </w:r>
      <w:r>
        <w:t xml:space="preserve"> </w:t>
      </w:r>
      <w:r>
        <w:t xml:space="preserve">guide pointing to the lessons that teach it hands-on.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EXPLORE ON THE PLATFORM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line="240" w:lineRule="auto"/>
        <w:rPr>
          <w:sz w:val="16"/>
        </w:rPr>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was to amplify it. This ceased to be hypothetical in July 2026, when Vermont formally withdrew from AHEAD after CMS capped the program’s funding: the mandatory state framework under Acts 167 and 68 remained fully in force, and the reform continued without missing a step. The skeptic’s question was answered by events — Vermont did not need AHEAD to survive the loss of AHEAD.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would have spanned at least one more presidential transition before Vermont’s Cohort 2 implementation was due to begin in January 2028 — an implementation Vermont ultimately abandoned.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 That distinction proved decisive: in July 2026 Vermont withdrew from AHEAD after CMS’s renegotiation gutted the funding, and the Medicare global budget — the one component no state statute could secure — never took effect. The commercial and Medicaid pillars, governed by Act 68 and the Global Commitment waiver, were unaffected. The durability risk this section warned about was not theoretical; it is now the central fact of Vermont’s Medicare story.</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Five-Pillar Framework and the Equity Imperative: Why They Must Move Together</w:t>
      </w:r>
      <w:bookmarkEnd w:id="1016"/>
    </w:p>
    <w:p>
      <w:pPr>
        <w:pStyle w:val="FirstParagraph"/>
      </w:pPr>
      <w: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w:t>
      </w:r>
      <w:r>
        <w:t xml:space="preserve"> </w:t>
      </w:r>
      <w:r>
        <w:t xml:space="preserve">“no”</w:t>
      </w:r>
      <w:r>
        <w:t xml:space="preserve"> </w:t>
      </w:r>
      <w:r>
        <w:t xml:space="preserve">to any one of them predicts underperformance regardless of how confidently the other four answer yes.</w:t>
      </w:r>
    </w:p>
    <w:p>
      <w:pPr>
        <w:pStyle w:val="BodyText"/>
      </w:pPr>
      <w:r>
        <w:t xml:space="preserve">There is a sixth question, and it is deliberately not a sixth pillar:</w:t>
      </w:r>
      <w:r>
        <w:t xml:space="preserve"> </w:t>
      </w:r>
      <w:r>
        <w:rPr>
          <w:b/>
          <w:bCs/>
        </w:rPr>
        <w:t xml:space="preserve">is it just?</w:t>
      </w:r>
      <w:r>
        <w:t xml:space="preserve"> </w:t>
      </w:r>
      <w:r>
        <w:t xml:space="preserve">This is the Equity Imperative — a cross-cutting test that each of the five pillars must pass on its own terms, rather than a separate workstream competing with them for budget, staff, and attention. The distinction is structural, not rhetorical. A sixth pillar has its own line item and its own position in the queue, which means it can be sequenced last, funded least, and reported separately from the work that determines whether disparities actually close. An imperative has none of those escape hatches: there is no standalone equity project to defer, because each pillar’s own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p>
    <w:p>
      <w:pPr>
        <w:pStyle w:val="BodyText"/>
      </w:pPr>
      <w:r>
        <w:t xml:space="preserve">The reason this matters is that a reform can improve the average while widening the gap, and pass every test but this one. Vermont’s primary care access rate is roughly 91% — four points above the national benchmark and a genuine achievement. That same number conceals an 11-point gap between white Vermont adults and BIPOC Vermont adults. Nothing in the aggregate figure reveals the gap; it becomes visible only when the underlying data is stratified by race and ethnicity, which is a Technology-pillar capability rather than a statement of good intentions. A framework that treated equity as a separate pillar would have been satisfied by the 91%. Treating it as an imperative is what forces the second question.</w:t>
      </w:r>
    </w:p>
    <w:p>
      <w:pPr>
        <w:pStyle w:val="BodyText"/>
      </w:pPr>
      <w:r>
        <w:t xml:space="preserve">Chapter 1 develops all of this in full — defining each pillar, mapping the nine dependency relationships that connect them, applying the justice test to each pillar in turn, and showing what cascades through the system when any one is missing. Chapter 10 takes up the Equity Imperative on its own terms. What matters here, at the outset, is the single premise the rest of the book rests on: Vermont’s reform agenda is instructive precisely because it addresses all five pillars simultaneously, and is held to the same imperative throughout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Five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chapter ends with an</w:t>
            </w:r>
            <w:r>
              <w:rPr>
                <w:sz w:val="18"/>
              </w:rPr>
              <w:t xml:space="preserve"> </w:t>
            </w:r>
            <w:r>
              <w:rPr>
                <w:i/>
                <w:iCs/>
                <w:sz w:val="18"/>
              </w:rPr>
              <w:t xml:space="preserve">“Explore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w:t>
            </w:r>
            <w:r>
              <w:rPr>
                <w:sz w:val="18"/>
              </w:rPr>
              <w:t xml:space="preserve"> </w:t>
            </w:r>
            <w:r>
              <w:rPr>
                <w:b/>
                <w:bCs/>
                <w:sz w:val="18"/>
              </w:rPr>
              <w:t xml:space="preserve">Five Pillars, One Imperative</w:t>
            </w:r>
            <w:r>
              <w:rPr>
                <w:sz w:val="18"/>
              </w:rPr>
              <w:t xml:space="preserve"> </w:t>
            </w:r>
            <w:r>
              <w:rPr>
                <w:sz w:val="18"/>
              </w:rPr>
              <w:t xml:space="preserve">is this book’s companion course — eight tracks that follow the book’s own sequence.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Each chapter ends with a</w:t>
            </w:r>
            <w:r>
              <w:rPr>
                <w:sz w:val="18"/>
              </w:rPr>
              <w:t xml:space="preserve"> </w:t>
            </w:r>
            <w:r>
              <w:rPr>
                <w:i/>
                <w:iCs/>
                <w:sz w:val="18"/>
              </w:rPr>
              <w:t xml:space="preserve">“Go Deeper — Academy”</w:t>
            </w:r>
            <w:r>
              <w:rPr>
                <w:sz w:val="18"/>
              </w:rPr>
              <w:t xml:space="preserve"> </w:t>
            </w:r>
            <w:r>
              <w:rPr>
                <w:sz w:val="18"/>
              </w:rPr>
              <w:t xml:space="preserve">guide naming the specific lessons that teach it hands-on.</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w:t>
      </w:r>
      <w:r>
        <w:t xml:space="preserve"> </w:t>
      </w:r>
      <w:r>
        <w:rPr>
          <w:b/>
          <w:bCs/>
        </w:rPr>
        <w:t xml:space="preserve">EXPLORE ON THE PLATFORM</w:t>
      </w:r>
      <w:r>
        <w:t xml:space="preserve">, then</w:t>
      </w:r>
      <w:r>
        <w:t xml:space="preserve"> </w:t>
      </w:r>
      <w:r>
        <w:rPr>
          <w:b/>
          <w:bCs/>
        </w:rPr>
        <w:t xml:space="preserve">GO DEEPER — ACADEMY</w:t>
      </w:r>
      <w:r>
        <w:t xml:space="preserve"> </w:t>
      </w:r>
      <w:r>
        <w:t xml:space="preserve">— and shorter</w:t>
      </w:r>
      <w:r>
        <w:t xml:space="preserve"> </w:t>
      </w:r>
      <w:r>
        <w:rPr>
          <w:b/>
          <w:bCs/>
        </w:rPr>
        <w:t xml:space="preserve">TRY THIS</w:t>
      </w:r>
      <w:r>
        <w:t xml:space="preserve"> </w:t>
      </w:r>
      <w:r>
        <w:t xml:space="preserve">prompts appear mid-chapter wherever an argument is easier to feel in a tool than to follow on the page.</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line="240" w:lineRule="auto"/>
        <w:rPr>
          <w:sz w:val="16"/>
        </w:rPr>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w:t>
      </w:r>
      <w:r>
        <w:t xml:space="preserve"> </w:t>
      </w:r>
      <w:r>
        <w:rPr>
          <w:b/>
          <w:bCs/>
        </w:rPr>
        <w:t xml:space="preserve">Five Pillars, One Imperative</w:t>
      </w:r>
      <w:r>
        <w:t xml:space="preserve">, Track 2 (</w:t>
      </w:r>
      <w:r>
        <w:t xml:space="preserve">“Policy — Establish the Mandate”</w:t>
      </w:r>
      <w:r>
        <w:t xml:space="preserve">), which works the Act 167 → 51 → 68 cascade and the voluntary-versus-mandatory distinction directly. Then the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w:t>
      </w:r>
      <w:r>
        <w:t xml:space="preserve"> </w:t>
      </w:r>
      <w:r>
        <w:rPr>
          <w:b/>
          <w:bCs/>
        </w:rPr>
        <w:t xml:space="preserve">Five Pillars, One Imperative</w:t>
      </w:r>
      <w:r>
        <w:t xml:space="preserve"> </w:t>
      </w:r>
      <w:r>
        <w:t xml:space="preserve">Track 4 (</w:t>
      </w:r>
      <w:r>
        <w:t xml:space="preserve">“Economics — Put Incentives on a Visible System”</w:t>
      </w:r>
      <w:r>
        <w:t xml:space="preserve">) for the framework, then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BodyText"/>
      </w:pPr>
      <w:r>
        <w:rPr>
          <w:b/>
          <w:bCs/>
        </w:rPr>
        <w:t xml:space="preserve">In the Academy.</w:t>
      </w:r>
      <w:r>
        <w:t xml:space="preserve"> </w:t>
      </w:r>
      <w:r>
        <w:rPr>
          <w:b/>
          <w:bCs/>
        </w:rPr>
        <w:t xml:space="preserve">Five Pillars, One Imperative</w:t>
      </w:r>
      <w:r>
        <w:t xml:space="preserve"> </w:t>
      </w:r>
      <w:r>
        <w:t xml:space="preserve">Track 2 (</w:t>
      </w:r>
      <w:r>
        <w:t xml:space="preserve">“Policy”</w:t>
      </w:r>
      <w:r>
        <w:t xml:space="preserve">) covers the statutes you work under daily; Track 6 (</w:t>
      </w:r>
      <w:r>
        <w:t xml:space="preserve">“Operations — Close the Execution Gap”</w:t>
      </w:r>
      <w:r>
        <w:t xml:space="preserve">) covers regionalization and the workforce constraint. The Vermont-specific Medicaid Learning Center is at</w:t>
      </w:r>
      <w:r>
        <w:t xml:space="preserve"> </w:t>
      </w:r>
      <w:hyperlink r:id="rId22">
        <w:r>
          <w:rPr>
            <w:rStyle w:val="Hyperlink"/>
          </w:rPr>
          <w:t xml:space="preserve">/academy</w:t>
        </w:r>
      </w:hyperlink>
      <w:r>
        <w:t xml:space="preserve">.</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Five-Pillar Framework and the Execution Sequence</w:t>
      </w:r>
      <w:bookmarkEnd w:id="1024"/>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spending on health care benefits by $2.6 billion, and increased net federal spending by $5.4 billion between 2011 and 2020.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70</w:t>
            </w:r>
          </w:p>
          <w:p>
            <w:pPr>
              <w:jc w:val="center"/>
              <w:spacing w:after="40"/>
            </w:pPr>
            <w:r>
              <w:rPr>
                <w:rFonts w:ascii="Calibri" w:hAnsi="Calibri"/>
                <w:b/>
                <w:sz w:val="16"/>
                <w:color w:val="1B3A6B"/>
              </w:rPr>
              <w:t>CMMI Models Tested (2011–2024)</w:t>
            </w:r>
          </w:p>
        </w:tc>
        <w:tc>
          <w:tcPr>
            <w:tcW w:w="2268" w:type="dxa"/>
            <w:shd w:val="clear" w:color="auto" w:fill="E8F0FB"/>
            <w:vAlign w:val="center"/>
          </w:tcPr>
          <w:p>
            <w:pPr>
              <w:jc w:val="center"/>
              <w:spacing w:after="20" w:before="40"/>
            </w:pPr>
            <w:r>
              <w:rPr>
                <w:rFonts w:ascii="Calibri" w:hAnsi="Calibri"/>
                <w:b/>
                <w:sz w:val="16"/>
                <w:color w:val="1B3A6B"/>
              </w:rPr>
              <w:t>4 of 70</w:t>
            </w:r>
          </w:p>
          <w:p>
            <w:pPr>
              <w:jc w:val="center"/>
              <w:spacing w:after="40"/>
            </w:pPr>
            <w:r>
              <w:rPr>
                <w:rFonts w:ascii="Calibri" w:hAnsi="Calibri"/>
                <w:b/>
                <w:sz w:val="16"/>
                <w:color w:val="1B3A6B"/>
              </w:rPr>
              <w:t>Expanded Nationwide</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five-pillar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or five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roughly twelve years, founded in 2013 and closing at the end of 2025; the federal All-Payer ACO Model agreement that defined its most consequential years ran about eight of those years before its own scheduled sunset.</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pPr>
      <w:r>
        <w:t xml:space="preserve">The most fundamental problem: Vermont attempted to operate a sophisticated payment reform model — one requiring system-wide accountability — without a policy foundation that could compel every payer’s participation. Provider participation in OneCare was voluntary, and at its broadest it reached all fourteen Vermont hospitals and thousands of providers — the gap that actually undid the model was on the payer side, not a hospital walking away.</w:t>
      </w:r>
    </w:p>
    <w:p>
      <w:pPr>
        <w:pStyle w:val="BodyText"/>
      </w:pPr>
      <w:r>
        <w:t xml:space="preserve">That gap has a specific origin. In 2016 the U.S. Supreme Court decided</w:t>
      </w:r>
      <w:r>
        <w:t xml:space="preserve"> </w:t>
      </w:r>
      <w:r>
        <w:rPr>
          <w:i/>
          <w:iCs/>
        </w:rPr>
        <w:t xml:space="preserve">Gobeille v. Liberty Mutual Insurance Co.</w:t>
      </w:r>
      <w:r>
        <w:t xml:space="preserve">, 6–2, holding that ERISA preempts a state law requiring health plans — including self-insured employer plans — to report claims data into a state’s all-payer claims database. Vermont could not, after that ruling, legally compel every private payer into its data and payment infrastructure. That structural limit became concrete on January 1, 2023, when Blue Cross Blue Shield of Vermont — the state’s largest insurer — declined to renew its OneCare contract, removing roughly 93,000 enrollees, about a third of OneCare’s total enrollment, in a single step. Blue Cross cited inadequate contractual protection for its members’ claims data under OneCare’s plan to subcontract analytics to UVM Health Network (a competitor), and no evidence among its own members of progress on health outcomes or cost of care. This — a federal ruling constraining the mandate’s reach, then the state’s largest payer exercising exactly the option that ruling protected — is the documented mechanism, not a hospital protecting admission revenue.</w:t>
      </w:r>
    </w:p>
    <w:p>
      <w:pPr>
        <w:pStyle w:val="BodyText"/>
        <w:keepNext w:val="false"/>
      </w:pPr>
      <w:r>
        <w:rPr>
          <w:b/>
          <w:bCs/>
        </w:rPr>
        <w:t xml:space="preserve">WORKED EXAMPLE — ONE DECISION THROUGH THE MODEL</w:t>
      </w:r>
    </w:p>
    <w:p>
      <w:pPr>
        <w:pStyle w:val="BodyText"/>
        <w:keepNext w:val="false"/>
      </w:pPr>
      <w:r>
        <w:rPr>
          <w:i/>
          <w:iCs/>
        </w:rPr>
        <w:t xml:space="preserve">Vermont’s move to mandatory hospital global budgets (Act 68, FY2028), run through the five gates and the Equity Imperative.</w:t>
      </w:r>
    </w:p>
    <w:tbl>
      <w:tblPr>
        <w:tblStyle w:val="HTRTable"/>
        <w:tblLook w:firstRow="0" w:lastRow="0" w:firstColumn="0" w:lastColumn="0" w:noHBand="0" w:noVBand="1" w:val="0020"/>
        <w:tblW w:w="9072" w:type="dxa"/>
        <w:tblLayout w:type="fixed"/>
      </w:tblPr>
      <w:tblGrid>
        <w:gridCol w:w="1839"/>
        <w:gridCol w:w="7233"/>
      </w:tblGrid>
      <w:tr>
        <w:trPr>
          <w:tblHeader w:val="on"/>
          <w:cantSplit/>
        </w:trPr>
        <w:tc>
          <w:tcPr>
            <w:shd w:val="clear" w:color="auto" w:fill="EDF2F9"/>
            <w:tcW w:w="1839" w:type="dxa"/>
          </w:tcPr>
          <w:p>
            <w:pPr>
              <w:pStyle w:val="Compact"/>
              <w:jc w:val="left"/>
            </w:pPr>
            <w:r>
              <w:rPr>
                <w:b/>
                <w:bCs/>
                <w:color w:val="111111"/>
                <w:sz w:val="18"/>
              </w:rPr>
              <w:t xml:space="preserve">Policy</w:t>
            </w:r>
          </w:p>
        </w:tc>
        <w:tc>
          <w:tcPr>
            <w:shd w:val="clear" w:color="auto" w:fill="EDF2F9"/>
            <w:tcW w:w="7233" w:type="dxa"/>
          </w:tcPr>
          <w:p>
            <w:pPr>
              <w:pStyle w:val="Compact"/>
              <w:jc w:val="left"/>
            </w:pPr>
            <w:r>
              <w:rPr>
                <w:b/>
                <w:color w:val="111111"/>
                <w:sz w:val="18"/>
              </w:rPr>
              <w:t xml:space="preserve">Yes — Act 68 makes global budgets binding on every hospital, ending the opt-out that sank the voluntary OneCare model.</w:t>
            </w:r>
          </w:p>
        </w:tc>
      </w:tr>
      <w:tr>
        <w:trPr>
          <w:cantSplit/>
        </w:trPr>
        <w:tc>
          <w:tcPr>
            <w:tcW w:w="1839" w:type="dxa"/>
          </w:tcPr>
          <w:p>
            <w:pPr>
              <w:pStyle w:val="Compact"/>
              <w:jc w:val="left"/>
            </w:pPr>
            <w:r>
              <w:rPr>
                <w:b/>
                <w:bCs/>
                <w:sz w:val="18"/>
              </w:rPr>
              <w:t xml:space="preserve">Technology</w:t>
            </w:r>
          </w:p>
        </w:tc>
        <w:tc>
          <w:tcPr>
            <w:tcW w:w="7233" w:type="dxa"/>
          </w:tcPr>
          <w:p>
            <w:pPr>
              <w:pStyle w:val="Compact"/>
              <w:jc w:val="left"/>
            </w:pPr>
            <w:r>
              <w:rPr>
                <w:sz w:val="18"/>
              </w:rPr>
              <w:t xml:space="preserve">Only if VHCURES and AHS–GMCB analytics can set and monitor each hospital’s budget; without the data, the budget is a number no one can manage.</w:t>
            </w:r>
          </w:p>
        </w:tc>
      </w:tr>
      <w:tr>
        <w:trPr/>
        <w:tc>
          <w:tcPr>
            <w:tcW w:w="1839" w:type="dxa"/>
          </w:tcPr>
          <w:p>
            <w:pPr>
              <w:pStyle w:val="Compact"/>
              <w:jc w:val="left"/>
            </w:pPr>
            <w:r>
              <w:rPr>
                <w:b/>
                <w:bCs/>
                <w:sz w:val="18"/>
              </w:rPr>
              <w:t xml:space="preserve">Economics</w:t>
            </w:r>
          </w:p>
        </w:tc>
        <w:tc>
          <w:tcPr>
            <w:tcW w:w="7233" w:type="dxa"/>
          </w:tcPr>
          <w:p>
            <w:pPr>
              <w:pStyle w:val="Compact"/>
              <w:jc w:val="left"/>
            </w:pPr>
            <w:r>
              <w:rPr>
                <w:sz w:val="18"/>
              </w:rPr>
              <w:t xml:space="preserve">The budget flips the incentive — every avoided admission now improves margin instead of cutting revenue.</w:t>
            </w:r>
          </w:p>
        </w:tc>
      </w:tr>
      <w:tr>
        <w:trPr/>
        <w:tc>
          <w:tcPr>
            <w:tcW w:w="1839" w:type="dxa"/>
          </w:tcPr>
          <w:p>
            <w:pPr>
              <w:pStyle w:val="Compact"/>
              <w:jc w:val="left"/>
            </w:pPr>
            <w:r>
              <w:rPr>
                <w:b/>
                <w:bCs/>
                <w:sz w:val="18"/>
              </w:rPr>
              <w:t xml:space="preserve">Clinical</w:t>
            </w:r>
          </w:p>
        </w:tc>
        <w:tc>
          <w:tcPr>
            <w:tcW w:w="7233" w:type="dxa"/>
          </w:tcPr>
          <w:p>
            <w:pPr>
              <w:pStyle w:val="Compact"/>
              <w:jc w:val="left"/>
            </w:pPr>
            <w:r>
              <w:rPr>
                <w:sz w:val="18"/>
              </w:rPr>
              <w:t xml:space="preserve">Realized only when Blueprint care teams actually prevent the admissions the budget rewards.</w:t>
            </w:r>
          </w:p>
        </w:tc>
      </w:tr>
      <w:tr>
        <w:trPr>
          <w:cantSplit/>
        </w:trPr>
        <w:tc>
          <w:tcPr>
            <w:tcW w:w="1839" w:type="dxa"/>
          </w:tcPr>
          <w:p>
            <w:pPr>
              <w:pStyle w:val="Compact"/>
              <w:jc w:val="left"/>
            </w:pPr>
            <w:r>
              <w:rPr>
                <w:b/>
                <w:bCs/>
                <w:sz w:val="18"/>
              </w:rPr>
              <w:t xml:space="preserve">Operations</w:t>
            </w:r>
          </w:p>
        </w:tc>
        <w:tc>
          <w:tcPr>
            <w:tcW w:w="7233" w:type="dxa"/>
          </w:tcPr>
          <w:p>
            <w:pPr>
              <w:pStyle w:val="Compact"/>
              <w:jc w:val="left"/>
            </w:pPr>
            <w:r>
              <w:rPr>
                <w:sz w:val="18"/>
              </w:rPr>
              <w:t xml:space="preserve">Requires project-management capacity at all 14 hospitals to run the budgets, not just design them.</w:t>
            </w:r>
          </w:p>
        </w:tc>
      </w:tr>
    </w:tbl>
    <w:p>
      <w:pPr>
        <w:pStyle w:val="BodyText"/>
        <w:spacing w:before="280"/>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at the maturity real-time risk management requires. The evidence is documented from two directions rather than a single internal metric: OneCare’s own staff told Green Mountain Care Board regulators, in a budget presentation, that its data analytics system was not as effective as newer software UVM Health Network was in the process of adopting — an admission of the gap from inside the organization. Separately, the state auditor’s office found that Vermonters attributed to OneCare visited the emergency department at a rate roughly 36% higher than peer ACOs nationally and had about 18% fewer primary care visits — the utilization signature of a population being managed reactively rather than proactively. (A precise day-count for OneCare’s own internal claims lag is not independently documented in the public record; OneCare’s annual filings, cited in this chapter’s sources, are the place to confirm one if it exists.) This is the</w:t>
      </w:r>
      <w:r>
        <w:t xml:space="preserve"> </w:t>
      </w:r>
      <w:r>
        <w:t xml:space="preserve">“Managing Blind”</w:t>
      </w:r>
      <w:r>
        <w:t xml:space="preserve"> </w:t>
      </w:r>
      <w:r>
        <w:t xml:space="preserve">failure mode: assuming downside financial risk under a Total Cost of Care model without the analytics to manage that risk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p>
        </w:tc>
      </w:tr>
    </w:tbl>
    <w:p>
      <w:pPr>
        <w:spacing w:after="120" w:line="240" w:lineRule="auto"/>
        <w:rPr>
          <w:sz w:val="16"/>
        </w:rPr>
      </w:pPr>
    </w:p>
    <w:p>
      <w:pPr>
        <w:pStyle w:val="BodyText"/>
      </w:pPr>
      <w:r>
        <w:t xml:space="preserve">Vermont’s health-data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a 2016 federal ruling limited how far Vermont’s mandate could reach into self-insured payers, the state’s largest insurer could — and in 2023, did — walk away, removing about a third of the population OneCare needed in order to manage total cost of care. Because it could not manage the total cost of care for a stable population, it could not demonstrate savings cleanly. Because its own analytics lagged what its regulators expected, it could not show the underlying utilization improving either. Because neither savings nor utilization improvement was clearly demonstrated, remaining participants and regulators had less reason to invest further in the model.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i/>
                <w:iCs/>
                <w:sz w:val="18"/>
              </w:rPr>
              <w:t xml:space="preserve">Gobeille v. Liberty Mutual</w:t>
            </w:r>
            <w:r>
              <w:rPr>
                <w:sz w:val="18"/>
              </w:rPr>
              <w:t xml:space="preserve"> </w:t>
            </w:r>
            <w:r>
              <w:rPr>
                <w:sz w:val="18"/>
              </w:rPr>
              <w:t xml:space="preserve">(2016) limited the mandate’s reach into self-insured plans</w:t>
            </w:r>
          </w:p>
        </w:tc>
        <w:tc>
          <w:tcPr>
            <w:tcW w:w="2325" w:type="dxa"/>
          </w:tcPr>
          <w:p>
            <w:pPr>
              <w:pStyle w:val="Compact"/>
              <w:jc w:val="left"/>
            </w:pPr>
            <w:r>
              <w:rPr>
                <w:sz w:val="18"/>
              </w:rPr>
              <w:t xml:space="preserve">Blue Cross Blue Shield of Vermont exits (Jan. 2023) — about 93,000 enrollees, a third of the total, removed at once</w:t>
            </w:r>
          </w:p>
        </w:tc>
        <w:tc>
          <w:tcPr>
            <w:tcW w:w="3150" w:type="dxa"/>
          </w:tcPr>
          <w:p>
            <w:pPr>
              <w:pStyle w:val="Compact"/>
              <w:jc w:val="left"/>
            </w:pPr>
            <w:r>
              <w:rPr>
                <w:sz w:val="18"/>
              </w:rPr>
              <w:t xml:space="preserve">Total cost of care cannot be managed for a stable population → savings targets contested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OneCare’s own staff told GMCB its analytics lagged newer available systems</w:t>
            </w:r>
          </w:p>
        </w:tc>
        <w:tc>
          <w:tcPr>
            <w:tcW w:w="2325" w:type="dxa"/>
          </w:tcPr>
          <w:p>
            <w:pPr>
              <w:pStyle w:val="Compact"/>
              <w:jc w:val="left"/>
            </w:pPr>
            <w:r>
              <w:rPr>
                <w:sz w:val="18"/>
              </w:rPr>
              <w:t xml:space="preserve">“Managing Blind”</w:t>
            </w:r>
            <w:r>
              <w:rPr>
                <w:sz w:val="18"/>
              </w:rPr>
              <w:t xml:space="preserve"> </w:t>
            </w:r>
            <w:r>
              <w:rPr>
                <w:sz w:val="18"/>
              </w:rPr>
              <w:t xml:space="preserve">— auditor-documented 36% higher ED visits, 18% fewer primary care visits than peer ACOs</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Real total-cost risk assumed on top of both gaps above</w:t>
            </w:r>
          </w:p>
        </w:tc>
        <w:tc>
          <w:tcPr>
            <w:tcW w:w="2325" w:type="dxa"/>
          </w:tcPr>
          <w:p>
            <w:pPr>
              <w:pStyle w:val="Compact"/>
              <w:jc w:val="left"/>
            </w:pPr>
            <w:r>
              <w:rPr>
                <w:sz w:val="18"/>
              </w:rPr>
              <w:t xml:space="preserve">Independent analyses reach conflicting conclusions on net savings vs. net cost</w:t>
            </w:r>
          </w:p>
        </w:tc>
        <w:tc>
          <w:tcPr>
            <w:tcW w:w="3150" w:type="dxa"/>
          </w:tcPr>
          <w:p>
            <w:pPr>
              <w:pStyle w:val="Compact"/>
              <w:jc w:val="left"/>
            </w:pPr>
            <w:r>
              <w:rPr>
                <w:sz w:val="18"/>
              </w:rPr>
              <w:t xml:space="preserve">Contested results → harder to justify further investment in the missing capability</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compounding over the federal agreement’s ~8-year run</w:t>
            </w:r>
          </w:p>
        </w:tc>
        <w:tc>
          <w:tcPr>
            <w:tcW w:w="2325" w:type="dxa"/>
          </w:tcPr>
          <w:p>
            <w:pPr>
              <w:pStyle w:val="Compact"/>
              <w:jc w:val="left"/>
            </w:pPr>
            <w:r>
              <w:rPr>
                <w:sz w:val="18"/>
              </w:rPr>
              <w:t xml:space="preserve">Organizational wind-down at the close of 2025</w:t>
            </w:r>
          </w:p>
        </w:tc>
        <w:tc>
          <w:tcPr>
            <w:tcW w:w="3150" w:type="dxa"/>
          </w:tcPr>
          <w:p>
            <w:pPr>
              <w:pStyle w:val="Compact"/>
              <w:jc w:val="left"/>
            </w:pPr>
            <w:r>
              <w:rPr>
                <w:sz w:val="18"/>
              </w:rPr>
              <w:t xml:space="preserve">Failure was structural — no single management decision could reverse a federal court ruling or rebuild analytics overnight</w:t>
            </w:r>
          </w:p>
        </w:tc>
      </w:tr>
    </w:tbl>
    <w:p>
      <w:pPr>
        <w:pStyle w:val="Caption"/>
        <w:keepNext/>
        <w:spacing w:before="120"/>
      </w:pPr>
      <w:r>
        <w:rPr>
          <w:i/>
          <w:iCs/>
        </w:rPr>
        <w:t xml:space="preserve">Figure 1.1 — The OneCare Failure Cascade. Source: HTR Analysis (2026). Based on GMCB records, AHS November 2025 Transformation Report, OneCare Vermont public filings,</w:t>
      </w:r>
      <w:r>
        <w:rPr>
          <w:i/>
          <w:iCs/>
        </w:rPr>
        <w:t xml:space="preserve"> </w:t>
      </w:r>
      <w:r>
        <w:t xml:space="preserve">Gobeille v. Liberty Mutual Ins. Co.</w:t>
      </w:r>
      <w:r>
        <w:rPr>
          <w:i/>
          <w:iCs/>
        </w:rPr>
        <w:t xml:space="preserve">, 577 U.S. 312 (2016), and VTDigger reporting (Dec. 20, 2022; Mar. 13, 2026).</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line="240" w:lineRule="auto"/>
        <w:rPr>
          <w:sz w:val="16"/>
        </w:rPr>
      </w:pPr>
    </w:p>
    <w:p>
      <w:pPr>
        <w:pStyle w:val="Heading2"/>
        <w:pBdr>
          <w:top w:val="single" w:sz="6" w:space="10" w:color="C9D2DF"/>
        </w:pBdr>
      </w:pPr>
      <w:r>
        <w:rPr>
          <w:color w:val="161B22"/>
        </w:rPr>
        <w:t xml:space="preserve">1.3  </w:t>
      </w:r>
      <w:bookmarkStart w:id="1030" w:name="_Toc1029"/>
      <w:r>
        <w:rPr>
          <w:b/>
          <w:bCs/>
          <w:color w:val="161B22"/>
        </w:rPr>
        <w:t xml:space="preserve">The Five Pillars and the Equity Imperative</w:t>
      </w:r>
      <w:bookmarkEnd w:id="1030"/>
    </w:p>
    <w:p>
      <w:pPr>
        <w:pStyle w:val="FirstParagraph"/>
      </w:pPr>
      <w:r>
        <w:t xml:space="preserve">Transformation has five moving parts you build and run — and one test they all must pass. The five pillars are capability domains: Policy, Technology, Economics, Clinical, and Operations. Each is a subsystem you can staff, fund, and hold accountable, and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pPr>
        <w:pStyle w:val="BodyText"/>
      </w:pPr>
      <w: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So equity is not the last pillar in the line; it is the plumb line held against every pillar, at every stage. Five pillars, one imperative.</w:t>
      </w:r>
    </w:p>
    <w:p>
      <w:pPr>
        <w:pStyle w:val="BodyText"/>
        <w:keepNext w:val="false"/>
      </w:pPr>
      <w:r>
        <w:rPr>
          <w:b/>
          <w:bCs/>
        </w:rPr>
        <w:t xml:space="preserve">THE MODEL AT A GLANCE</w:t>
      </w:r>
    </w:p>
    <w:p>
      <w:pPr>
        <w:pStyle w:val="BodyText"/>
        <w:keepNext w:val="false"/>
      </w:pPr>
      <w:r>
        <w:rPr>
          <w:i/>
          <w:iCs/>
        </w:rPr>
        <w:t xml:space="preserve">Five pillars — the capabilities you build, in load-bearing order — held to one imperative.</w:t>
      </w:r>
    </w:p>
    <w:tbl>
      <w:tblPr>
        <w:tblStyle w:val="HTRTable"/>
        <w:tblLook w:firstRow="0" w:lastRow="0" w:firstColumn="0" w:lastColumn="0" w:noHBand="0" w:noVBand="1" w:val="0020"/>
        <w:tblW w:w="9072" w:type="dxa"/>
        <w:tblLayout w:type="autofit"/>
      </w:tblPr>
      <w:tblGrid>
        <w:gridCol w:w="1296"/>
        <w:gridCol w:w="7776"/>
      </w:tblGrid>
      <w:tr>
        <w:trPr>
          <w:tblHeader w:val="on"/>
          <w:cantSplit/>
        </w:trPr>
        <w:tc>
          <w:tcPr>
            <w:shd w:val="clear" w:color="auto" w:fill="EDF2F9"/>
            <w:tcW w:w="1296" w:type="dxa"/>
          </w:tcPr>
          <w:p>
            <w:pPr>
              <w:pStyle w:val="Compact"/>
              <w:jc w:val="left"/>
            </w:pPr>
            <w:r>
              <w:rPr>
                <w:b/>
                <w:bCs/>
                <w:color w:val="111111"/>
                <w:sz w:val="18"/>
              </w:rPr>
              <w:t xml:space="preserve">Policy</w:t>
            </w:r>
          </w:p>
        </w:tc>
        <w:tc>
          <w:tcPr>
            <w:shd w:val="clear" w:color="auto" w:fill="EDF2F9"/>
            <w:tcW w:w="7776" w:type="dxa"/>
          </w:tcPr>
          <w:p>
            <w:pPr>
              <w:pStyle w:val="Compact"/>
              <w:jc w:val="left"/>
            </w:pPr>
            <w:r>
              <w:rPr>
                <w:b/>
                <w:color w:val="111111"/>
                <w:sz w:val="18"/>
              </w:rPr>
              <w:t xml:space="preserve">Is it permissible? — the mandate that makes reform non-optional.</w:t>
            </w:r>
          </w:p>
        </w:tc>
      </w:tr>
      <w:tr>
        <w:trPr>
          <w:cantSplit/>
        </w:trPr>
        <w:tc>
          <w:tcPr>
            <w:tcW w:w="1296" w:type="dxa"/>
          </w:tcPr>
          <w:p>
            <w:pPr>
              <w:pStyle w:val="Compact"/>
              <w:jc w:val="left"/>
            </w:pPr>
            <w:r>
              <w:rPr>
                <w:b/>
                <w:bCs/>
                <w:sz w:val="18"/>
              </w:rPr>
              <w:t xml:space="preserve">Technology</w:t>
            </w:r>
          </w:p>
        </w:tc>
        <w:tc>
          <w:tcPr>
            <w:tcW w:w="7776" w:type="dxa"/>
          </w:tcPr>
          <w:p>
            <w:pPr>
              <w:pStyle w:val="Compact"/>
              <w:jc w:val="left"/>
            </w:pPr>
            <w:r>
              <w:rPr>
                <w:sz w:val="18"/>
              </w:rPr>
              <w:t xml:space="preserve">Is it possible? — the data substrate that makes management possible.</w:t>
            </w:r>
          </w:p>
        </w:tc>
      </w:tr>
      <w:tr>
        <w:trPr/>
        <w:tc>
          <w:tcPr>
            <w:tcW w:w="1296" w:type="dxa"/>
          </w:tcPr>
          <w:p>
            <w:pPr>
              <w:pStyle w:val="Compact"/>
              <w:jc w:val="left"/>
            </w:pPr>
            <w:r>
              <w:rPr>
                <w:b/>
                <w:bCs/>
                <w:sz w:val="18"/>
              </w:rPr>
              <w:t xml:space="preserve">Economics</w:t>
            </w:r>
          </w:p>
        </w:tc>
        <w:tc>
          <w:tcPr>
            <w:tcW w:w="7776" w:type="dxa"/>
          </w:tcPr>
          <w:p>
            <w:pPr>
              <w:pStyle w:val="Compact"/>
              <w:jc w:val="left"/>
            </w:pPr>
            <w:r>
              <w:rPr>
                <w:sz w:val="18"/>
              </w:rPr>
              <w:t xml:space="preserve">Is it sustainable? — the incentive that makes the right behavior rational.</w:t>
            </w:r>
          </w:p>
        </w:tc>
      </w:tr>
      <w:tr>
        <w:trPr/>
        <w:tc>
          <w:tcPr>
            <w:tcW w:w="1296" w:type="dxa"/>
          </w:tcPr>
          <w:p>
            <w:pPr>
              <w:pStyle w:val="Compact"/>
              <w:jc w:val="left"/>
            </w:pPr>
            <w:r>
              <w:rPr>
                <w:b/>
                <w:bCs/>
                <w:sz w:val="18"/>
              </w:rPr>
              <w:t xml:space="preserve">Clinical</w:t>
            </w:r>
          </w:p>
        </w:tc>
        <w:tc>
          <w:tcPr>
            <w:tcW w:w="7776" w:type="dxa"/>
          </w:tcPr>
          <w:p>
            <w:pPr>
              <w:pStyle w:val="Compact"/>
              <w:jc w:val="left"/>
            </w:pPr>
            <w:r>
              <w:rPr>
                <w:sz w:val="18"/>
              </w:rPr>
              <w:t xml:space="preserve">Is it effective? — the care redesign that turns incentive into outcomes.</w:t>
            </w:r>
          </w:p>
        </w:tc>
      </w:tr>
      <w:tr>
        <w:trPr>
          <w:cantSplit/>
        </w:trPr>
        <w:tc>
          <w:tcPr>
            <w:tcW w:w="1296" w:type="dxa"/>
          </w:tcPr>
          <w:p>
            <w:pPr>
              <w:pStyle w:val="Compact"/>
              <w:jc w:val="left"/>
            </w:pPr>
            <w:r>
              <w:rPr>
                <w:b/>
                <w:bCs/>
                <w:sz w:val="18"/>
              </w:rPr>
              <w:t xml:space="preserve">Operations</w:t>
            </w:r>
          </w:p>
        </w:tc>
        <w:tc>
          <w:tcPr>
            <w:tcW w:w="7776" w:type="dxa"/>
          </w:tcPr>
          <w:p>
            <w:pPr>
              <w:pStyle w:val="Compact"/>
              <w:jc w:val="left"/>
            </w:pPr>
            <w:r>
              <w:rPr>
                <w:sz w:val="18"/>
              </w:rPr>
              <w:t xml:space="preserve">Is it executable? — the capacity that turns design into sustained reality.</w:t>
            </w:r>
          </w:p>
        </w:tc>
      </w:tr>
    </w:tbl>
    <w:p>
      <w:pPr>
        <w:pStyle w:val="BodyText"/>
        <w:spacing w:before="280"/>
      </w:pPr>
      <w:r>
        <w:rPr>
          <w:b/>
          <w:bCs/>
        </w:rPr>
        <w:t xml:space="preserve">Policy —</w:t>
      </w:r>
      <w:r>
        <w:t xml:space="preserve"> </w:t>
      </w:r>
      <w:r>
        <w:t xml:space="preserve">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 —</w:t>
      </w:r>
      <w:r>
        <w:t xml:space="preserve"> </w:t>
      </w:r>
      <w:r>
        <w:t xml:space="preserve">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 —</w:t>
      </w:r>
      <w:r>
        <w:t xml:space="preserve"> </w:t>
      </w:r>
      <w:r>
        <w:t xml:space="preserve">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total-cost-of-care accountability are Vermont’s Economics pillar interventions.</w:t>
      </w:r>
    </w:p>
    <w:p>
      <w:pPr>
        <w:pStyle w:val="BodyText"/>
      </w:pPr>
      <w:r>
        <w:rPr>
          <w:b/>
          <w:bCs/>
        </w:rPr>
        <w:t xml:space="preserve">Clinical —</w:t>
      </w:r>
      <w:r>
        <w:t xml:space="preserve"> </w:t>
      </w:r>
      <w:r>
        <w:t xml:space="preserve">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Operations —</w:t>
      </w:r>
      <w:r>
        <w:t xml:space="preserve"> </w:t>
      </w:r>
      <w:r>
        <w:t xml:space="preserve">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Equity — the imperative, not a pillar.</w:t>
      </w:r>
      <w:r>
        <w:t xml:space="preserve"> </w:t>
      </w:r>
      <w:r>
        <w:t xml:space="preserve">The programs, investments, and accountability structures that ensure transformation benefits reach all populations — and especially those most harmed by the current system’s failures. Equity is not a soft afterthought, and it is not one more capability competing with the five for time and budget. It is the test each of the five must pass. A transformation that reduces average costs while widening disparities has failed the Equity Imperative — however permissible, possible, sustainable, effective, and executable it may be.</w:t>
      </w:r>
    </w:p>
    <w:p>
      <w:pPr>
        <w:pStyle w:val="BodyText"/>
      </w:pPr>
      <w:r>
        <w:rPr>
          <w:i/>
          <w:iCs/>
        </w:rPr>
        <w:t xml:space="preserve">Vermont application: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p>
    <w:p>
      <w:pPr>
        <w:pStyle w:val="BodyText"/>
        <w:keepNext w:val="false"/>
      </w:pPr>
      <w:r>
        <w:rPr>
          <w:b/>
          <w:bCs/>
        </w:rPr>
        <w:t xml:space="preserve">THE EQUITY IMPERATIVE — APPLIED AT EVERY STAGE</w:t>
      </w:r>
    </w:p>
    <w:p>
      <w:pPr>
        <w:pStyle w:val="BodyText"/>
        <w:keepNext w:val="false"/>
      </w:pPr>
      <w:r>
        <w:rPr>
          <w:i/>
          <w:iCs/>
        </w:rPr>
        <w:t xml:space="preserve">Equity is not a separate stage — it is the gate at every stage. Ask each pillar’s own question, then ask equity’s:</w:t>
      </w:r>
    </w:p>
    <w:tbl>
      <w:tblPr>
        <w:tblStyle w:val="HTRTable"/>
        <w:tblLook w:firstRow="0" w:lastRow="0" w:firstColumn="0" w:lastColumn="0" w:noHBand="0" w:noVBand="1" w:val="0020"/>
        <w:tblW w:w="9072" w:type="dxa"/>
        <w:tblLayout w:type="fixed"/>
      </w:tblPr>
      <w:tblGrid>
        <w:gridCol w:w="1640"/>
        <w:gridCol w:w="7432"/>
      </w:tblGrid>
      <w:tr>
        <w:trPr>
          <w:tblHeader w:val="on"/>
          <w:cantSplit/>
        </w:trPr>
        <w:tc>
          <w:tcPr>
            <w:shd w:val="clear" w:color="auto" w:fill="EDF2F9"/>
            <w:tcW w:w="1640" w:type="dxa"/>
          </w:tcPr>
          <w:p>
            <w:pPr>
              <w:pStyle w:val="Compact"/>
              <w:jc w:val="left"/>
            </w:pPr>
            <w:r>
              <w:rPr>
                <w:b/>
                <w:bCs/>
                <w:color w:val="111111"/>
                <w:sz w:val="18"/>
              </w:rPr>
              <w:t xml:space="preserve">Policy</w:t>
            </w:r>
          </w:p>
        </w:tc>
        <w:tc>
          <w:tcPr>
            <w:shd w:val="clear" w:color="auto" w:fill="EDF2F9"/>
            <w:tcW w:w="7432" w:type="dxa"/>
          </w:tcPr>
          <w:p>
            <w:pPr>
              <w:pStyle w:val="Compact"/>
              <w:jc w:val="left"/>
            </w:pPr>
            <w:r>
              <w:rPr>
                <w:b/>
                <w:color w:val="111111"/>
                <w:sz w:val="18"/>
              </w:rPr>
              <w:t xml:space="preserve">Permissible — and does the mandate close disparities or widen them?</w:t>
            </w:r>
          </w:p>
        </w:tc>
      </w:tr>
      <w:tr>
        <w:trPr>
          <w:cantSplit/>
        </w:trPr>
        <w:tc>
          <w:tcPr>
            <w:tcW w:w="1640" w:type="dxa"/>
          </w:tcPr>
          <w:p>
            <w:pPr>
              <w:pStyle w:val="Compact"/>
              <w:jc w:val="left"/>
            </w:pPr>
            <w:r>
              <w:rPr>
                <w:b/>
                <w:bCs/>
                <w:sz w:val="18"/>
              </w:rPr>
              <w:t xml:space="preserve">Technology</w:t>
            </w:r>
          </w:p>
        </w:tc>
        <w:tc>
          <w:tcPr>
            <w:tcW w:w="7432" w:type="dxa"/>
          </w:tcPr>
          <w:p>
            <w:pPr>
              <w:pStyle w:val="Compact"/>
              <w:jc w:val="left"/>
            </w:pPr>
            <w:r>
              <w:rPr>
                <w:sz w:val="18"/>
              </w:rPr>
              <w:t xml:space="preserve">Possible — and does the data make disparities visible, or bury them in averages?</w:t>
            </w:r>
          </w:p>
        </w:tc>
      </w:tr>
      <w:tr>
        <w:trPr/>
        <w:tc>
          <w:tcPr>
            <w:tcW w:w="1640" w:type="dxa"/>
          </w:tcPr>
          <w:p>
            <w:pPr>
              <w:pStyle w:val="Compact"/>
              <w:jc w:val="left"/>
            </w:pPr>
            <w:r>
              <w:rPr>
                <w:b/>
                <w:bCs/>
                <w:sz w:val="18"/>
              </w:rPr>
              <w:t xml:space="preserve">Economics</w:t>
            </w:r>
          </w:p>
        </w:tc>
        <w:tc>
          <w:tcPr>
            <w:tcW w:w="7432" w:type="dxa"/>
          </w:tcPr>
          <w:p>
            <w:pPr>
              <w:pStyle w:val="Compact"/>
              <w:jc w:val="left"/>
            </w:pPr>
            <w:r>
              <w:rPr>
                <w:sz w:val="18"/>
              </w:rPr>
              <w:t xml:space="preserve">Sustainable — and do the incentives reward serving the hardest-to-reach, or penalize it?</w:t>
            </w:r>
          </w:p>
        </w:tc>
      </w:tr>
      <w:tr>
        <w:trPr/>
        <w:tc>
          <w:tcPr>
            <w:tcW w:w="1640" w:type="dxa"/>
          </w:tcPr>
          <w:p>
            <w:pPr>
              <w:pStyle w:val="Compact"/>
              <w:jc w:val="left"/>
            </w:pPr>
            <w:r>
              <w:rPr>
                <w:b/>
                <w:bCs/>
                <w:sz w:val="18"/>
              </w:rPr>
              <w:t xml:space="preserve">Clinical</w:t>
            </w:r>
          </w:p>
        </w:tc>
        <w:tc>
          <w:tcPr>
            <w:tcW w:w="7432" w:type="dxa"/>
          </w:tcPr>
          <w:p>
            <w:pPr>
              <w:pStyle w:val="Compact"/>
              <w:jc w:val="left"/>
            </w:pPr>
            <w:r>
              <w:rPr>
                <w:sz w:val="18"/>
              </w:rPr>
              <w:t xml:space="preserve">Effective — and effective for whom?</w:t>
            </w:r>
          </w:p>
        </w:tc>
      </w:tr>
      <w:tr>
        <w:trPr>
          <w:cantSplit/>
        </w:trPr>
        <w:tc>
          <w:tcPr>
            <w:tcW w:w="1640" w:type="dxa"/>
          </w:tcPr>
          <w:p>
            <w:pPr>
              <w:pStyle w:val="Compact"/>
              <w:jc w:val="left"/>
            </w:pPr>
            <w:r>
              <w:rPr>
                <w:b/>
                <w:bCs/>
                <w:sz w:val="18"/>
              </w:rPr>
              <w:t xml:space="preserve">Operations</w:t>
            </w:r>
          </w:p>
        </w:tc>
        <w:tc>
          <w:tcPr>
            <w:tcW w:w="7432" w:type="dxa"/>
          </w:tcPr>
          <w:p>
            <w:pPr>
              <w:pStyle w:val="Compact"/>
              <w:jc w:val="left"/>
            </w:pPr>
            <w:r>
              <w:rPr>
                <w:sz w:val="18"/>
              </w:rPr>
              <w:t xml:space="preserve">Executable — and executable everywhere, including the rural and under-resourced?</w:t>
            </w:r>
          </w:p>
        </w:tc>
      </w:tr>
    </w:tbl>
    <w:p>
      <w:pPr>
        <w:pStyle w:val="BodyText"/>
        <w:keepNext w:val="false"/>
        <w:spacing w:before="280"/>
      </w:pPr>
      <w:r>
        <w:rPr>
          <w:b/>
          <w:bCs/>
        </w:rPr>
        <w:t xml:space="preserve">ON THE HTR PLATFORM &amp; ACADEMY</w:t>
      </w:r>
    </w:p>
    <w:p>
      <w:pPr>
        <w:pStyle w:val="BodyText"/>
        <w:keepNext w:val="false"/>
      </w:pPr>
      <w:r>
        <w:rPr>
          <w:i/>
          <w:iCs/>
        </w:rPr>
        <w:t xml:space="preserve">The book, the platform, and the Academy reinforce each other — here is where this chapter connects.</w:t>
      </w:r>
    </w:p>
    <w:tbl>
      <w:tblPr>
        <w:tblStyle w:val="HTRTable"/>
        <w:tblLook w:firstRow="0" w:lastRow="0" w:firstColumn="0" w:lastColumn="0" w:noHBand="0" w:noVBand="1" w:val="0020"/>
        <w:tblW w:w="9072" w:type="dxa"/>
        <w:tblLayout w:type="autofit"/>
      </w:tblPr>
      <w:tblGrid>
        <w:gridCol w:w="1296"/>
        <w:gridCol w:w="7776"/>
      </w:tblGrid>
      <w:tr>
        <w:trPr>
          <w:tblHeader w:val="on"/>
          <w:cantSplit/>
        </w:trPr>
        <w:tc>
          <w:tcPr>
            <w:shd w:val="clear" w:color="auto" w:fill="EDF2F9"/>
            <w:tcW w:w="1296" w:type="dxa"/>
          </w:tcPr>
          <w:p>
            <w:pPr>
              <w:pStyle w:val="Compact"/>
              <w:jc w:val="left"/>
            </w:pPr>
            <w:r>
              <w:rPr>
                <w:b/>
                <w:bCs/>
                <w:color w:val="111111"/>
                <w:sz w:val="18"/>
              </w:rPr>
              <w:t xml:space="preserve">Diagnostic</w:t>
            </w:r>
          </w:p>
        </w:tc>
        <w:tc>
          <w:tcPr>
            <w:shd w:val="clear" w:color="auto" w:fill="EDF2F9"/>
            <w:tcW w:w="7776" w:type="dxa"/>
          </w:tcPr>
          <w:p>
            <w:pPr>
              <w:pStyle w:val="Compact"/>
              <w:jc w:val="left"/>
            </w:pPr>
            <w:r>
              <w:rPr>
                <w:b/>
                <w:color w:val="111111"/>
                <w:sz w:val="18"/>
              </w:rPr>
              <w:t xml:space="preserve">Interactive five-pillar diagnostic — score any initiative against the five questions and the Equity Imperative, and see where it breaks (healthtransformationreview.org/research-lab).</w:t>
            </w:r>
          </w:p>
        </w:tc>
      </w:tr>
      <w:tr>
        <w:trPr/>
        <w:tc>
          <w:tcPr>
            <w:tcW w:w="1296" w:type="dxa"/>
          </w:tcPr>
          <w:p>
            <w:pPr>
              <w:pStyle w:val="Compact"/>
              <w:jc w:val="left"/>
            </w:pPr>
            <w:r>
              <w:rPr>
                <w:b/>
                <w:bCs/>
                <w:sz w:val="18"/>
              </w:rPr>
              <w:t xml:space="preserve">Academy</w:t>
            </w:r>
          </w:p>
        </w:tc>
        <w:tc>
          <w:tcPr>
            <w:tcW w:w="7776" w:type="dxa"/>
          </w:tcPr>
          <w:p>
            <w:pPr>
              <w:pStyle w:val="Compact"/>
              <w:jc w:val="left"/>
            </w:pPr>
            <w:r>
              <w:rPr>
                <w:sz w:val="18"/>
              </w:rPr>
              <w:t xml:space="preserve">Module 1,</w:t>
            </w:r>
            <w:r>
              <w:rPr>
                <w:sz w:val="18"/>
              </w:rPr>
              <w:t xml:space="preserve"> </w:t>
            </w:r>
            <w:r>
              <w:rPr>
                <w:sz w:val="18"/>
              </w:rPr>
              <w:t xml:space="preserve">“Five Pillars, One Imperative,”</w:t>
            </w:r>
            <w:r>
              <w:rPr>
                <w:sz w:val="18"/>
              </w:rPr>
              <w:t xml:space="preserve"> </w:t>
            </w:r>
            <w:r>
              <w:rPr>
                <w:sz w:val="18"/>
              </w:rPr>
              <w:t xml:space="preserve">walks each gate with the Vermont cases in this chapter, including the global-budget example above.</w:t>
            </w:r>
          </w:p>
        </w:tc>
      </w:tr>
      <w:tr>
        <w:trPr/>
        <w:tc>
          <w:tcPr>
            <w:tcW w:w="1296" w:type="dxa"/>
          </w:tcPr>
          <w:p>
            <w:pPr>
              <w:pStyle w:val="Compact"/>
              <w:jc w:val="left"/>
            </w:pPr>
            <w:r>
              <w:rPr>
                <w:b/>
                <w:bCs/>
                <w:sz w:val="18"/>
              </w:rPr>
              <w:t xml:space="preserve">Self-check</w:t>
            </w:r>
          </w:p>
        </w:tc>
        <w:tc>
          <w:tcPr>
            <w:tcW w:w="7776" w:type="dxa"/>
          </w:tcPr>
          <w:p>
            <w:pPr>
              <w:pStyle w:val="Compact"/>
              <w:jc w:val="left"/>
            </w:pPr>
            <w:r>
              <w:rPr>
                <w:sz w:val="18"/>
              </w:rPr>
              <w:t xml:space="preserve">The Pillar Readiness self-check returns your weakest load-bearing pillar — the one most likely to stall your sequence.</w:t>
            </w:r>
          </w:p>
        </w:tc>
      </w:tr>
    </w:tbl>
    <w:p>
      <w:pPr>
        <w:pStyle w:val="BodyText"/>
        <w:keepNext w:val="false"/>
        <w:spacing w:before="280"/>
      </w:pPr>
      <w:r>
        <w:t xml:space="preserve">The table below specifies each pillar’s diagnostic function and structural role — what it produces when it is working. Equity is not a row here; it is the Equity Imperative applied to every row (see the box above).</w:t>
      </w:r>
    </w:p>
    <w:tbl>
      <w:tblPr>
        <w:tblStyle w:val="HTRTable"/>
        <w:tblLook w:firstRow="1" w:lastRow="0" w:firstColumn="0" w:lastColumn="0" w:noHBand="0" w:noVBand="1" w:val="0020"/>
        <w:tblW w:w="9072" w:type="dxa"/>
        <w:tblLayout w:type="fixed"/>
      </w:tblPr>
      <w:tblGrid>
        <w:gridCol w:w="2265"/>
        <w:gridCol w:w="2265"/>
        <w:gridCol w:w="2266"/>
        <w:gridCol w:w="2266"/>
      </w:tblGrid>
      <w:tr>
        <w:trPr>
          <w:tblHeader w:val="on"/>
          <w:cantSplit/>
        </w:trPr>
        <w:tc>
          <w:tcPr>
            <w:shd w:val="clear" w:color="auto" w:fill="1B3A6B"/>
            <w:tcW w:w="2265" w:type="dxa"/>
          </w:tcPr>
          <w:p>
            <w:pPr>
              <w:pStyle w:val="Compact"/>
              <w:spacing w:before="0" w:after="0" w:line="240" w:lineRule="auto"/>
              <w:jc w:val="left"/>
            </w:pPr>
            <w:r>
              <w:rPr>
                <w:b/>
                <w:bCs/>
                <w:color w:val="FFFFFF"/>
                <w:sz w:val="17"/>
              </w:rPr>
              <w:t xml:space="preserve">Pillar</w:t>
            </w:r>
          </w:p>
        </w:tc>
        <w:tc>
          <w:tcPr>
            <w:shd w:val="clear" w:color="auto" w:fill="1B3A6B"/>
            <w:tcW w:w="2265" w:type="dxa"/>
          </w:tcPr>
          <w:p>
            <w:pPr>
              <w:pStyle w:val="Compact"/>
              <w:spacing w:before="0" w:after="0" w:line="240" w:lineRule="auto"/>
              <w:jc w:val="left"/>
            </w:pPr>
            <w:r>
              <w:rPr>
                <w:b/>
                <w:bCs/>
                <w:color w:val="FFFFFF"/>
                <w:sz w:val="17"/>
              </w:rPr>
              <w:t xml:space="preserve">Diagnostic question</w:t>
            </w:r>
          </w:p>
        </w:tc>
        <w:tc>
          <w:tcPr>
            <w:shd w:val="clear" w:color="auto" w:fill="1B3A6B"/>
            <w:tcW w:w="2266" w:type="dxa"/>
          </w:tcPr>
          <w:p>
            <w:pPr>
              <w:pStyle w:val="Compact"/>
              <w:spacing w:before="0" w:after="0" w:line="240" w:lineRule="auto"/>
              <w:jc w:val="left"/>
            </w:pPr>
            <w:r>
              <w:rPr>
                <w:b/>
                <w:bCs/>
                <w:color w:val="FFFFFF"/>
                <w:sz w:val="17"/>
              </w:rPr>
              <w:t xml:space="preserve">Structural role in the system</w:t>
            </w:r>
          </w:p>
        </w:tc>
        <w:tc>
          <w:tcPr>
            <w:shd w:val="clear" w:color="auto" w:fill="1B3A6B"/>
            <w:tcW w:w="2266" w:type="dxa"/>
          </w:tcPr>
          <w:p>
            <w:pPr>
              <w:pStyle w:val="Compact"/>
              <w:spacing w:before="0" w:after="0" w:line="240" w:lineRule="auto"/>
              <w:jc w:val="left"/>
            </w:pPr>
            <w:r>
              <w:rPr>
                <w:b/>
                <w:bCs/>
                <w:color w:val="FFFFFF"/>
                <w:sz w:val="17"/>
              </w:rPr>
              <w:t xml:space="preserve">What it produces when functioning</w:t>
            </w:r>
          </w:p>
        </w:tc>
      </w:tr>
      <w:tr>
        <w:trPr>
          <w:cantSplit/>
        </w:trPr>
        <w:tc>
          <w:tcPr>
            <w:tcW w:w="2265" w:type="dxa"/>
          </w:tcPr>
          <w:p>
            <w:pPr>
              <w:pStyle w:val="Compact"/>
              <w:spacing w:before="0" w:after="0" w:line="240" w:lineRule="auto"/>
              <w:jc w:val="left"/>
            </w:pPr>
            <w:r>
              <w:rPr>
                <w:b/>
                <w:bCs/>
                <w:sz w:val="17"/>
              </w:rPr>
              <w:t xml:space="preserve">Policy</w:t>
            </w:r>
          </w:p>
        </w:tc>
        <w:tc>
          <w:tcPr>
            <w:tcW w:w="2265" w:type="dxa"/>
          </w:tcPr>
          <w:p>
            <w:pPr>
              <w:pStyle w:val="Compact"/>
              <w:spacing w:before="0" w:after="0" w:line="240" w:lineRule="auto"/>
              <w:jc w:val="left"/>
            </w:pPr>
            <w:r>
              <w:rPr>
                <w:sz w:val="17"/>
              </w:rPr>
              <w:t xml:space="preserve">Is it permissible?</w:t>
            </w:r>
          </w:p>
        </w:tc>
        <w:tc>
          <w:tcPr>
            <w:tcW w:w="2266" w:type="dxa"/>
          </w:tcPr>
          <w:p>
            <w:pPr>
              <w:pStyle w:val="Compact"/>
              <w:spacing w:before="0" w:after="0" w:line="240" w:lineRule="auto"/>
              <w:jc w:val="left"/>
            </w:pPr>
            <w:r>
              <w:rPr>
                <w:sz w:val="17"/>
              </w:rPr>
              <w:t xml:space="preserve">The mandatory architecture. Converts aspirational reform into binding requirements. Without mandatory authority, the highest-cost actors opt out and voluntary reform achieves marginal results.</w:t>
            </w:r>
          </w:p>
        </w:tc>
        <w:tc>
          <w:tcPr>
            <w:tcW w:w="2266" w:type="dxa"/>
          </w:tcPr>
          <w:p>
            <w:pPr>
              <w:pStyle w:val="Compact"/>
              <w:spacing w:before="0" w:after="0" w:line="240" w:lineRule="auto"/>
              <w:jc w:val="left"/>
            </w:pPr>
            <w:r>
              <w:rPr>
                <w:sz w:val="17"/>
              </w:rPr>
              <w:t xml:space="preserve">Statutory mandates that eliminate voluntary opt-out; accountability timelines that cannot be deferred; federal-state agreements that commit both parties to specific outcomes.</w:t>
            </w:r>
          </w:p>
        </w:tc>
      </w:tr>
      <w:tr>
        <w:trPr/>
        <w:tc>
          <w:tcPr>
            <w:tcW w:w="2265" w:type="dxa"/>
          </w:tcPr>
          <w:p>
            <w:pPr>
              <w:pStyle w:val="Compact"/>
              <w:spacing w:before="0" w:after="0" w:line="240" w:lineRule="auto"/>
              <w:jc w:val="left"/>
            </w:pPr>
            <w:r>
              <w:rPr>
                <w:b/>
                <w:bCs/>
                <w:sz w:val="17"/>
              </w:rPr>
              <w:t xml:space="preserve">Technology</w:t>
            </w:r>
          </w:p>
        </w:tc>
        <w:tc>
          <w:tcPr>
            <w:tcW w:w="2265" w:type="dxa"/>
          </w:tcPr>
          <w:p>
            <w:pPr>
              <w:pStyle w:val="Compact"/>
              <w:spacing w:before="0" w:after="0" w:line="240" w:lineRule="auto"/>
              <w:jc w:val="left"/>
            </w:pPr>
            <w:r>
              <w:rPr>
                <w:sz w:val="17"/>
              </w:rPr>
              <w:t xml:space="preserve">Is it possible?</w:t>
            </w:r>
          </w:p>
        </w:tc>
        <w:tc>
          <w:tcPr>
            <w:tcW w:w="2266" w:type="dxa"/>
          </w:tcPr>
          <w:p>
            <w:pPr>
              <w:pStyle w:val="Compact"/>
              <w:spacing w:before="0" w:after="0" w:line="240" w:lineRule="auto"/>
              <w:jc w:val="left"/>
            </w:pPr>
            <w:r>
              <w:rPr>
                <w:sz w:val="17"/>
              </w:rPr>
              <w:t xml:space="preserve">The data substrate. Makes population health management, VBC contract execution, equity measurement, and strategic planning analytically feasible. Without data infrastructure, the other pillars are managed blindly.</w:t>
            </w:r>
          </w:p>
        </w:tc>
        <w:tc>
          <w:tcPr>
            <w:tcW w:w="2266" w:type="dxa"/>
          </w:tcPr>
          <w:p>
            <w:pPr>
              <w:pStyle w:val="Compact"/>
              <w:spacing w:before="0" w:after="0" w:line="240" w:lineRule="auto"/>
              <w:jc w:val="left"/>
            </w:pPr>
            <w:r>
              <w:rPr>
                <w:sz w:val="17"/>
              </w:rPr>
              <w:t xml:space="preserve">Attribution lists, TCOC measurement, HEDIS stratification, risk stratification, care-gap identification, AI-assisted clinical workflows — the analytical functions that VBC and population health management require.</w:t>
            </w:r>
          </w:p>
        </w:tc>
      </w:tr>
      <w:tr>
        <w:trPr/>
        <w:tc>
          <w:tcPr>
            <w:tcW w:w="2265" w:type="dxa"/>
          </w:tcPr>
          <w:p>
            <w:pPr>
              <w:pStyle w:val="Compact"/>
              <w:spacing w:before="0" w:after="0" w:line="240" w:lineRule="auto"/>
              <w:jc w:val="left"/>
            </w:pPr>
            <w:r>
              <w:rPr>
                <w:b/>
                <w:bCs/>
                <w:sz w:val="17"/>
              </w:rPr>
              <w:t xml:space="preserve">Economics</w:t>
            </w:r>
          </w:p>
        </w:tc>
        <w:tc>
          <w:tcPr>
            <w:tcW w:w="2265" w:type="dxa"/>
          </w:tcPr>
          <w:p>
            <w:pPr>
              <w:pStyle w:val="Compact"/>
              <w:spacing w:before="0" w:after="0" w:line="240" w:lineRule="auto"/>
              <w:jc w:val="left"/>
            </w:pPr>
            <w:r>
              <w:rPr>
                <w:sz w:val="17"/>
              </w:rPr>
              <w:t xml:space="preserve">Is it sustainable?</w:t>
            </w:r>
          </w:p>
        </w:tc>
        <w:tc>
          <w:tcPr>
            <w:tcW w:w="2266" w:type="dxa"/>
          </w:tcPr>
          <w:p>
            <w:pPr>
              <w:pStyle w:val="Compact"/>
              <w:spacing w:before="0" w:after="0" w:line="240" w:lineRule="auto"/>
              <w:jc w:val="left"/>
            </w:pPr>
            <w:r>
              <w:rPr>
                <w:sz w:val="17"/>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2266" w:type="dxa"/>
          </w:tcPr>
          <w:p>
            <w:pPr>
              <w:pStyle w:val="Compact"/>
              <w:spacing w:before="0" w:after="0" w:line="240" w:lineRule="auto"/>
              <w:jc w:val="left"/>
            </w:pPr>
            <w:r>
              <w:rPr>
                <w:sz w:val="17"/>
              </w:rPr>
              <w:t xml:space="preserve">Payment models in which population health management is financially rational; price structures that break the commercial cross-subsidy chain; accountability for total cost of care rather than encounter volume.</w:t>
            </w:r>
          </w:p>
        </w:tc>
      </w:tr>
      <w:tr>
        <w:trPr/>
        <w:tc>
          <w:tcPr>
            <w:tcW w:w="2265" w:type="dxa"/>
          </w:tcPr>
          <w:p>
            <w:pPr>
              <w:pStyle w:val="Compact"/>
              <w:spacing w:before="0" w:after="0" w:line="240" w:lineRule="auto"/>
              <w:jc w:val="left"/>
            </w:pPr>
            <w:r>
              <w:rPr>
                <w:b/>
                <w:bCs/>
                <w:sz w:val="17"/>
              </w:rPr>
              <w:t xml:space="preserve">Clinical</w:t>
            </w:r>
          </w:p>
        </w:tc>
        <w:tc>
          <w:tcPr>
            <w:tcW w:w="2265" w:type="dxa"/>
          </w:tcPr>
          <w:p>
            <w:pPr>
              <w:pStyle w:val="Compact"/>
              <w:spacing w:before="0" w:after="0" w:line="240" w:lineRule="auto"/>
              <w:jc w:val="left"/>
            </w:pPr>
            <w:r>
              <w:rPr>
                <w:sz w:val="17"/>
              </w:rPr>
              <w:t xml:space="preserve">Is it effective?</w:t>
            </w:r>
          </w:p>
        </w:tc>
        <w:tc>
          <w:tcPr>
            <w:tcW w:w="2266" w:type="dxa"/>
          </w:tcPr>
          <w:p>
            <w:pPr>
              <w:pStyle w:val="Compact"/>
              <w:spacing w:before="0" w:after="0" w:line="240" w:lineRule="auto"/>
              <w:jc w:val="left"/>
            </w:pPr>
            <w:r>
              <w:rPr>
                <w:sz w:val="17"/>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2266" w:type="dxa"/>
          </w:tcPr>
          <w:p>
            <w:pPr>
              <w:pStyle w:val="Compact"/>
              <w:spacing w:before="0" w:after="0" w:line="240" w:lineRule="auto"/>
              <w:jc w:val="left"/>
            </w:pPr>
            <w:r>
              <w:rPr>
                <w:sz w:val="17"/>
              </w:rPr>
              <w:t xml:space="preserve">Primary care transformation that prevents hospitalizations; behavioral health integration that reduces crisis presentations; care management that closes gaps before they become acute episodes.</w:t>
            </w:r>
          </w:p>
        </w:tc>
      </w:tr>
      <w:tr>
        <w:trPr>
          <w:cantSplit/>
        </w:trPr>
        <w:tc>
          <w:tcPr>
            <w:tcW w:w="2265" w:type="dxa"/>
          </w:tcPr>
          <w:p>
            <w:pPr>
              <w:pStyle w:val="Compact"/>
              <w:spacing w:before="0" w:after="0" w:line="240" w:lineRule="auto"/>
              <w:jc w:val="left"/>
            </w:pPr>
            <w:r>
              <w:rPr>
                <w:b/>
                <w:bCs/>
                <w:sz w:val="17"/>
              </w:rPr>
              <w:t xml:space="preserve">Operations</w:t>
            </w:r>
          </w:p>
        </w:tc>
        <w:tc>
          <w:tcPr>
            <w:tcW w:w="2265" w:type="dxa"/>
          </w:tcPr>
          <w:p>
            <w:pPr>
              <w:pStyle w:val="Compact"/>
              <w:spacing w:before="0" w:after="0" w:line="240" w:lineRule="auto"/>
              <w:jc w:val="left"/>
            </w:pPr>
            <w:r>
              <w:rPr>
                <w:sz w:val="17"/>
              </w:rPr>
              <w:t xml:space="preserve">Is it executable?</w:t>
            </w:r>
          </w:p>
        </w:tc>
        <w:tc>
          <w:tcPr>
            <w:tcW w:w="2266" w:type="dxa"/>
          </w:tcPr>
          <w:p>
            <w:pPr>
              <w:pStyle w:val="Compact"/>
              <w:spacing w:before="0" w:after="0" w:line="240" w:lineRule="auto"/>
              <w:jc w:val="left"/>
            </w:pPr>
            <w:r>
              <w:rPr>
                <w:sz w:val="17"/>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2266" w:type="dxa"/>
          </w:tcPr>
          <w:p>
            <w:pPr>
              <w:pStyle w:val="Compact"/>
              <w:spacing w:before="0" w:after="0" w:line="240" w:lineRule="auto"/>
              <w:jc w:val="left"/>
            </w:pPr>
            <w:r>
              <w:rPr>
                <w:sz w:val="17"/>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five pillars: diagnostic questions and structural roles. Sources: Acts 167 (2022) and 68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Dependency Matrix</w:t>
      </w:r>
      <w:bookmarkEnd w:id="1031"/>
    </w:p>
    <w:p>
      <w:pPr>
        <w:pStyle w:val="FirstParagraph"/>
      </w:pPr>
      <w:r>
        <w:t xml:space="preserve">The five pillars do not operate independently. They interact through a set of directed dependencies — some that set the build order, a few that run back as feedback once the system is live. Understanding these interactions is the core analytical skill this book develops.</w:t>
      </w:r>
    </w:p>
    <w:p>
      <w:pPr>
        <w:pStyle w:val="BodyText"/>
        <w:keepNext/>
      </w:pPr>
      <w:r>
        <w:t xml:space="preserve">Figure 1.3 renders them as a single matrix: read each cell as</w:t>
      </w:r>
      <w:r>
        <w:t xml:space="preserve"> </w:t>
      </w:r>
      <w:r>
        <w:t xml:space="preserve">“row-pillar → column-pillar.”</w:t>
      </w:r>
      <w:r>
        <w:t xml:space="preserve"> </w:t>
      </w:r>
      <w:r>
        <w:t xml:space="preserve">The verb names the kind of dependency — ENABLES (makes possible), REQUIRES (cannot function without), DRIVES (actively forces change in) — and ⟲ marks a feedback loop that runs after the build. Equity is not a row in the grid; it is the Equity Imperative applied to every cell (is it just?). The sections that follow take the dependencies one source pillar at a time — the mechanism, the failure mode when it is ignored, and the Vermont evidence that confirms it. (The same map is on the Health Transformation Review platform: healthtransformationreview.org/research-lab.)</w:t>
      </w:r>
    </w:p>
    <w:p>
      <w:pPr>
        <w:pStyle w:val="BodyText"/>
        <w:keepNext w:val="false"/>
      </w:pPr>
      <w:r>
        <w:rPr>
          <w:i/>
          <w:iCs/>
        </w:rPr>
        <w:t xml:space="preserve">Read each cell as</w:t>
      </w:r>
      <w:r>
        <w:rPr>
          <w:i/>
          <w:iCs/>
        </w:rPr>
        <w:t xml:space="preserve"> </w:t>
      </w:r>
      <w:r>
        <w:rPr>
          <w:i/>
          <w:iCs/>
        </w:rPr>
        <w:t xml:space="preserve">“row-pillar → column-pillar.”</w:t>
      </w:r>
      <w:r>
        <w:rPr>
          <w:i/>
          <w:iCs/>
        </w:rPr>
        <w:t xml:space="preserve"> </w:t>
      </w:r>
      <w:r>
        <w:rPr>
          <w:i/>
          <w:iCs/>
        </w:rPr>
        <w:t xml:space="preserve">Each relationship appears once; ⟲ marks a feedback loop. Equity is not a row — it is the Equity Imperative applied to every cell (is it just?).</w:t>
      </w:r>
    </w:p>
    <w:tbl>
      <w:tblPr>
        <w:tblStyle w:val="HTRTable"/>
        <w:tblLook w:firstRow="1" w:lastRow="0" w:firstColumn="0" w:lastColumn="0" w:noHBand="0" w:noVBand="1" w:val="0020"/>
        <w:tblW w:w="9072" w:type="dxa"/>
        <w:tblLayout w:type="autofit"/>
      </w:tblPr>
      <w:tblGrid>
        <w:gridCol w:w="556"/>
        <w:gridCol w:w="1497"/>
        <w:gridCol w:w="1797"/>
        <w:gridCol w:w="1711"/>
        <w:gridCol w:w="1711"/>
        <w:gridCol w:w="1797"/>
      </w:tblGrid>
      <w:tr>
        <w:trPr>
          <w:tblHeader w:val="on"/>
          <w:cantSplit/>
        </w:trPr>
        <w:tc>
          <w:tcPr>
            <w:shd w:val="clear" w:color="auto" w:fill="1B3A6B"/>
            <w:tcW w:w="556" w:type="dxa"/>
          </w:tcPr>
          <w:p>
            <w:pPr>
              <w:pStyle w:val="Compact"/>
              <w:jc w:val="left"/>
            </w:pPr>
            <w:r>
              <w:rPr>
                <w:b/>
                <w:bCs/>
                <w:color w:val="FFFFFF"/>
                <w:sz w:val="18"/>
              </w:rPr>
              <w:t xml:space="preserve">FROM ↓ / TO →</w:t>
            </w:r>
          </w:p>
        </w:tc>
        <w:tc>
          <w:tcPr>
            <w:shd w:val="clear" w:color="auto" w:fill="1B3A6B"/>
            <w:tcW w:w="1497" w:type="dxa"/>
          </w:tcPr>
          <w:p>
            <w:pPr>
              <w:pStyle w:val="Compact"/>
              <w:jc w:val="left"/>
            </w:pPr>
            <w:r>
              <w:rPr>
                <w:b/>
                <w:bCs/>
                <w:color w:val="FFFFFF"/>
                <w:sz w:val="18"/>
              </w:rPr>
              <w:t xml:space="preserve">Policy</w:t>
            </w:r>
          </w:p>
        </w:tc>
        <w:tc>
          <w:tcPr>
            <w:shd w:val="clear" w:color="auto" w:fill="1B3A6B"/>
            <w:tcW w:w="1797" w:type="dxa"/>
          </w:tcPr>
          <w:p>
            <w:pPr>
              <w:pStyle w:val="Compact"/>
              <w:jc w:val="left"/>
            </w:pPr>
            <w:r>
              <w:rPr>
                <w:b/>
                <w:bCs/>
                <w:color w:val="FFFFFF"/>
                <w:sz w:val="18"/>
              </w:rPr>
              <w:t xml:space="preserve">Technology</w:t>
            </w:r>
          </w:p>
        </w:tc>
        <w:tc>
          <w:tcPr>
            <w:shd w:val="clear" w:color="auto" w:fill="1B3A6B"/>
            <w:tcW w:w="1711" w:type="dxa"/>
          </w:tcPr>
          <w:p>
            <w:pPr>
              <w:pStyle w:val="Compact"/>
              <w:jc w:val="left"/>
            </w:pPr>
            <w:r>
              <w:rPr>
                <w:b/>
                <w:bCs/>
                <w:color w:val="FFFFFF"/>
                <w:sz w:val="18"/>
              </w:rPr>
              <w:t xml:space="preserve">Economics</w:t>
            </w:r>
          </w:p>
        </w:tc>
        <w:tc>
          <w:tcPr>
            <w:shd w:val="clear" w:color="auto" w:fill="1B3A6B"/>
            <w:tcW w:w="1711" w:type="dxa"/>
          </w:tcPr>
          <w:p>
            <w:pPr>
              <w:pStyle w:val="Compact"/>
              <w:jc w:val="left"/>
            </w:pPr>
            <w:r>
              <w:rPr>
                <w:b/>
                <w:bCs/>
                <w:color w:val="FFFFFF"/>
                <w:sz w:val="18"/>
              </w:rPr>
              <w:t xml:space="preserve">Clinical</w:t>
            </w:r>
          </w:p>
        </w:tc>
        <w:tc>
          <w:tcPr>
            <w:shd w:val="clear" w:color="auto" w:fill="1B3A6B"/>
            <w:tcW w:w="1797" w:type="dxa"/>
          </w:tcPr>
          <w:p>
            <w:pPr>
              <w:pStyle w:val="Compact"/>
              <w:jc w:val="left"/>
            </w:pPr>
            <w:r>
              <w:rPr>
                <w:b/>
                <w:bCs/>
                <w:color w:val="FFFFFF"/>
                <w:sz w:val="18"/>
              </w:rPr>
              <w:t xml:space="preserve">Operations</w:t>
            </w:r>
          </w:p>
        </w:tc>
      </w:tr>
      <w:tr>
        <w:trPr>
          <w:cantSplit/>
        </w:trPr>
        <w:tc>
          <w:tcPr>
            <w:tcW w:w="556" w:type="dxa"/>
          </w:tcPr>
          <w:p>
            <w:pPr>
              <w:pStyle w:val="Compact"/>
              <w:jc w:val="left"/>
            </w:pPr>
            <w:r>
              <w:rPr>
                <w:b/>
                <w:bCs/>
                <w:sz w:val="18"/>
              </w:rPr>
              <w:t xml:space="preserve">Policy</w:t>
            </w:r>
          </w:p>
        </w:tc>
        <w:tc>
          <w:tcPr>
            <w:tcW w:w="1497" w:type="dxa"/>
          </w:tcPr>
          <w:p>
            <w:pPr>
              <w:pStyle w:val="Compact"/>
              <w:jc w:val="left"/>
            </w:pPr>
            <w:r>
              <w:rPr>
                <w:sz w:val="18"/>
              </w:rPr>
              <w:t xml:space="preserve">—</w:t>
            </w:r>
          </w:p>
        </w:tc>
        <w:tc>
          <w:tcPr>
            <w:tcW w:w="1797" w:type="dxa"/>
          </w:tcPr>
          <w:p>
            <w:pPr>
              <w:pStyle w:val="Compact"/>
              <w:jc w:val="left"/>
            </w:pPr>
            <w:r>
              <w:rPr>
                <w:sz w:val="18"/>
              </w:rPr>
              <w:t xml:space="preserve">ENABLES: funds &amp; authorizes the data build</w:t>
            </w:r>
          </w:p>
        </w:tc>
        <w:tc>
          <w:tcPr>
            <w:tcW w:w="1711" w:type="dxa"/>
          </w:tcPr>
          <w:p>
            <w:pPr>
              <w:pStyle w:val="Compact"/>
              <w:jc w:val="left"/>
            </w:pPr>
            <w:r>
              <w:rPr>
                <w:sz w:val="18"/>
              </w:rPr>
              <w:t xml:space="preserve">ENABLES: makes payment reform binding</w:t>
            </w:r>
          </w:p>
        </w:tc>
        <w:tc>
          <w:tcPr>
            <w:tcW w:w="1711" w:type="dxa"/>
          </w:tcPr>
          <w:p>
            <w:pPr>
              <w:pStyle w:val="Compact"/>
            </w:pPr>
          </w:p>
        </w:tc>
        <w:tc>
          <w:tcPr>
            <w:tcW w:w="1797" w:type="dxa"/>
          </w:tcPr>
          <w:p>
            <w:pPr>
              <w:pStyle w:val="Compact"/>
              <w:jc w:val="left"/>
            </w:pPr>
            <w:r>
              <w:rPr>
                <w:sz w:val="18"/>
              </w:rPr>
              <w:t xml:space="preserve">DRIVES: statutory deadlines force capacity</w:t>
            </w:r>
          </w:p>
        </w:tc>
      </w:tr>
      <w:tr>
        <w:trPr/>
        <w:tc>
          <w:tcPr>
            <w:tcW w:w="556" w:type="dxa"/>
          </w:tcPr>
          <w:p>
            <w:pPr>
              <w:pStyle w:val="Compact"/>
              <w:jc w:val="left"/>
            </w:pPr>
            <w:r>
              <w:rPr>
                <w:b/>
                <w:bCs/>
                <w:sz w:val="18"/>
              </w:rPr>
              <w:t xml:space="preserve">Technology</w:t>
            </w:r>
          </w:p>
        </w:tc>
        <w:tc>
          <w:tcPr>
            <w:tcW w:w="1497" w:type="dxa"/>
          </w:tcPr>
          <w:p>
            <w:pPr>
              <w:pStyle w:val="Compact"/>
            </w:pPr>
          </w:p>
        </w:tc>
        <w:tc>
          <w:tcPr>
            <w:tcW w:w="1797" w:type="dxa"/>
          </w:tcPr>
          <w:p>
            <w:pPr>
              <w:pStyle w:val="Compact"/>
              <w:jc w:val="left"/>
            </w:pPr>
            <w:r>
              <w:rPr>
                <w:sz w:val="18"/>
              </w:rPr>
              <w:t xml:space="preserve">—</w:t>
            </w:r>
          </w:p>
        </w:tc>
        <w:tc>
          <w:tcPr>
            <w:tcW w:w="1711" w:type="dxa"/>
          </w:tcPr>
          <w:p>
            <w:pPr>
              <w:pStyle w:val="Compact"/>
              <w:jc w:val="left"/>
            </w:pPr>
            <w:r>
              <w:rPr>
                <w:sz w:val="18"/>
              </w:rPr>
              <w:t xml:space="preserve">ENABLES: analytics run the payment model</w:t>
            </w:r>
          </w:p>
        </w:tc>
        <w:tc>
          <w:tcPr>
            <w:tcW w:w="1711" w:type="dxa"/>
          </w:tcPr>
          <w:p>
            <w:pPr>
              <w:pStyle w:val="Compact"/>
              <w:jc w:val="left"/>
            </w:pPr>
            <w:r>
              <w:rPr>
                <w:sz w:val="18"/>
              </w:rPr>
              <w:t xml:space="preserve">ENABLES: data enables population health</w:t>
            </w:r>
          </w:p>
        </w:tc>
        <w:tc>
          <w:tcPr>
            <w:tcW w:w="1797" w:type="dxa"/>
          </w:tcPr>
          <w:p>
            <w:pPr>
              <w:pStyle w:val="Compact"/>
            </w:pPr>
          </w:p>
        </w:tc>
      </w:tr>
      <w:tr>
        <w:trPr/>
        <w:tc>
          <w:tcPr>
            <w:tcW w:w="556" w:type="dxa"/>
          </w:tcPr>
          <w:p>
            <w:pPr>
              <w:pStyle w:val="Compact"/>
              <w:jc w:val="left"/>
            </w:pPr>
            <w:r>
              <w:rPr>
                <w:b/>
                <w:bCs/>
                <w:sz w:val="18"/>
              </w:rPr>
              <w:t xml:space="preserve">Economics</w:t>
            </w:r>
          </w:p>
        </w:tc>
        <w:tc>
          <w:tcPr>
            <w:tcW w:w="1497" w:type="dxa"/>
          </w:tcPr>
          <w:p>
            <w:pPr>
              <w:pStyle w:val="Compact"/>
            </w:pPr>
          </w:p>
        </w:tc>
        <w:tc>
          <w:tcPr>
            <w:tcW w:w="1797" w:type="dxa"/>
          </w:tcPr>
          <w:p>
            <w:pPr>
              <w:pStyle w:val="Compact"/>
            </w:pPr>
          </w:p>
        </w:tc>
        <w:tc>
          <w:tcPr>
            <w:tcW w:w="1711" w:type="dxa"/>
          </w:tcPr>
          <w:p>
            <w:pPr>
              <w:pStyle w:val="Compact"/>
              <w:jc w:val="left"/>
            </w:pPr>
            <w:r>
              <w:rPr>
                <w:sz w:val="18"/>
              </w:rPr>
              <w:t xml:space="preserve">—</w:t>
            </w:r>
          </w:p>
        </w:tc>
        <w:tc>
          <w:tcPr>
            <w:tcW w:w="1711" w:type="dxa"/>
          </w:tcPr>
          <w:p>
            <w:pPr>
              <w:pStyle w:val="Compact"/>
              <w:jc w:val="left"/>
            </w:pPr>
            <w:r>
              <w:rPr>
                <w:sz w:val="18"/>
              </w:rPr>
              <w:t xml:space="preserve">DRIVES: incentives reshape care delivery</w:t>
            </w:r>
          </w:p>
        </w:tc>
        <w:tc>
          <w:tcPr>
            <w:tcW w:w="1797" w:type="dxa"/>
          </w:tcPr>
          <w:p>
            <w:pPr>
              <w:pStyle w:val="Compact"/>
            </w:pPr>
          </w:p>
        </w:tc>
      </w:tr>
      <w:tr>
        <w:trPr/>
        <w:tc>
          <w:tcPr>
            <w:tcW w:w="556" w:type="dxa"/>
          </w:tcPr>
          <w:p>
            <w:pPr>
              <w:pStyle w:val="Compact"/>
              <w:jc w:val="left"/>
            </w:pPr>
            <w:r>
              <w:rPr>
                <w:b/>
                <w:bCs/>
                <w:sz w:val="18"/>
              </w:rPr>
              <w:t xml:space="preserve">Clinical</w:t>
            </w:r>
          </w:p>
        </w:tc>
        <w:tc>
          <w:tcPr>
            <w:tcW w:w="1497" w:type="dxa"/>
          </w:tcPr>
          <w:p>
            <w:pPr>
              <w:pStyle w:val="Compact"/>
            </w:pPr>
          </w:p>
        </w:tc>
        <w:tc>
          <w:tcPr>
            <w:tcW w:w="1797" w:type="dxa"/>
          </w:tcPr>
          <w:p>
            <w:pPr>
              <w:pStyle w:val="Compact"/>
            </w:pPr>
          </w:p>
        </w:tc>
        <w:tc>
          <w:tcPr>
            <w:tcW w:w="1711" w:type="dxa"/>
          </w:tcPr>
          <w:p>
            <w:pPr>
              <w:pStyle w:val="Compact"/>
            </w:pPr>
          </w:p>
        </w:tc>
        <w:tc>
          <w:tcPr>
            <w:tcW w:w="1711" w:type="dxa"/>
          </w:tcPr>
          <w:p>
            <w:pPr>
              <w:pStyle w:val="Compact"/>
              <w:jc w:val="left"/>
            </w:pPr>
            <w:r>
              <w:rPr>
                <w:sz w:val="18"/>
              </w:rPr>
              <w:t xml:space="preserve">—</w:t>
            </w:r>
          </w:p>
        </w:tc>
        <w:tc>
          <w:tcPr>
            <w:tcW w:w="1797" w:type="dxa"/>
          </w:tcPr>
          <w:p>
            <w:pPr>
              <w:pStyle w:val="Compact"/>
              <w:jc w:val="left"/>
            </w:pPr>
            <w:r>
              <w:rPr>
                <w:sz w:val="18"/>
              </w:rPr>
              <w:t xml:space="preserve">REQUIRES: care models need execution infra</w:t>
            </w:r>
          </w:p>
        </w:tc>
      </w:tr>
      <w:tr>
        <w:trPr>
          <w:cantSplit/>
        </w:trPr>
        <w:tc>
          <w:tcPr>
            <w:tcW w:w="556" w:type="dxa"/>
          </w:tcPr>
          <w:p>
            <w:pPr>
              <w:pStyle w:val="Compact"/>
              <w:jc w:val="left"/>
            </w:pPr>
            <w:r>
              <w:rPr>
                <w:b/>
                <w:bCs/>
                <w:sz w:val="18"/>
              </w:rPr>
              <w:t xml:space="preserve">Operations</w:t>
            </w:r>
          </w:p>
        </w:tc>
        <w:tc>
          <w:tcPr>
            <w:tcW w:w="1497" w:type="dxa"/>
          </w:tcPr>
          <w:p>
            <w:pPr>
              <w:pStyle w:val="Compact"/>
              <w:jc w:val="left"/>
            </w:pPr>
            <w:r>
              <w:rPr>
                <w:sz w:val="18"/>
              </w:rPr>
              <w:t xml:space="preserve">INFORMS ⟲: data refines the mandate</w:t>
            </w:r>
          </w:p>
        </w:tc>
        <w:tc>
          <w:tcPr>
            <w:tcW w:w="1797" w:type="dxa"/>
          </w:tcPr>
          <w:p>
            <w:pPr>
              <w:pStyle w:val="Compact"/>
              <w:jc w:val="left"/>
            </w:pPr>
            <w:r>
              <w:rPr>
                <w:sz w:val="18"/>
              </w:rPr>
              <w:t xml:space="preserve">RUNS ⟲: workforce runs the infrastructure</w:t>
            </w:r>
          </w:p>
        </w:tc>
        <w:tc>
          <w:tcPr>
            <w:tcW w:w="1711" w:type="dxa"/>
          </w:tcPr>
          <w:p>
            <w:pPr>
              <w:pStyle w:val="Compact"/>
            </w:pPr>
          </w:p>
        </w:tc>
        <w:tc>
          <w:tcPr>
            <w:tcW w:w="1711" w:type="dxa"/>
          </w:tcPr>
          <w:p>
            <w:pPr>
              <w:pStyle w:val="Compact"/>
            </w:pPr>
          </w:p>
        </w:tc>
        <w:tc>
          <w:tcPr>
            <w:tcW w:w="1797" w:type="dxa"/>
          </w:tcPr>
          <w:p>
            <w:pPr>
              <w:pStyle w:val="Compact"/>
              <w:jc w:val="left"/>
            </w:pPr>
            <w:r>
              <w:rPr>
                <w:sz w:val="18"/>
              </w:rPr>
              <w:t xml:space="preserve">—</w:t>
            </w:r>
          </w:p>
        </w:tc>
      </w:tr>
    </w:tbl>
    <w:p>
      <w:pPr>
        <w:pStyle w:val="Caption"/>
        <w:spacing w:before="120"/>
      </w:pPr>
      <w:r>
        <w:rPr>
          <w:i/>
          <w:iCs/>
        </w:rPr>
        <w:t xml:space="preserve">Figure 1.3 — The Dependency Matrix. Read each cell as row-pillar → column-pillar. Sources: Acts 167 (2022) and 68 (2025).</w:t>
      </w:r>
    </w:p>
    <w:p>
      <w:pPr>
        <w:pStyle w:val="BodyText"/>
      </w:pPr>
      <w:r>
        <w:rPr>
          <w:i/>
          <w:iCs/>
        </w:rPr>
        <w:t xml:space="preserve">ENABLES = precondition (cannot start without it) · DRIVES = actively forces behavior change · REQUIRES = cannot function without · ⟲ = feedback loop (runs after the build). Where two pillars affect each other, the two arrows carry different content — a genuine loop, not the same fact counted twice.</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outbound dependencies — to Economics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p>
          <w:p>
            <w:pPr>
              <w:spacing w:after="60" w:line="264" w:lineRule="auto"/>
            </w:pPr>
            <w:r>
              <w:rPr>
                <w:sz w:val="20"/>
                <w:szCs w:val="2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p>
          <w:p>
            <w:pPr>
              <w:spacing w:after="60" w:line="264" w:lineRule="auto"/>
            </w:pPr>
            <w:r>
              <w:rPr>
                <w:sz w:val="20"/>
                <w:szCs w:val="20"/>
              </w:rPr>
              <w:t xml:space="preserve">The lesson that transfers is narrower than</w:t>
            </w:r>
            <w:r>
              <w:rPr>
                <w:sz w:val="20"/>
                <w:szCs w:val="20"/>
              </w:rPr>
              <w:t xml:space="preserve"> </w:t>
            </w:r>
            <w:r>
              <w:rPr>
                <w:sz w:val="20"/>
                <w:szCs w:val="20"/>
              </w:rPr>
              <w:t xml:space="preserve">“global budgets work.”</w:t>
            </w:r>
            <w:r>
              <w:rPr>
                <w:sz w:val="20"/>
                <w:szCs w:val="20"/>
              </w:rPr>
              <w:t xml:space="preserve"> </w:t>
            </w:r>
            <w:r>
              <w:rPr>
                <w:sz w:val="20"/>
                <w:szCs w:val="20"/>
              </w:rPr>
              <w:t xml:space="preserve">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p>
        </w:tc>
      </w:tr>
    </w:tbl>
    <w:p>
      <w:pPr>
        <w:spacing w:after="120" w:line="240" w:lineRule="auto"/>
        <w:rPr>
          <w:sz w:val="16"/>
        </w:rPr>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and the Equity Imperative: statutory mandates embed equity accountability</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imperative’s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p>
        </w:tc>
      </w:tr>
    </w:tbl>
    <w:p>
      <w:pPr>
        <w:spacing w:after="120" w:line="240" w:lineRule="auto"/>
        <w:rPr>
          <w:sz w:val="16"/>
        </w:rPr>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enabling relationships to Economics and Clinical, and to the equity imperative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Act 68’s hospital global budgets take effect will be able to manage those budgets proactively rather than reactively.</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This dependency is where most states are structurally disqualified before they begin. Roughly 24 states operate an established all-payer claims database; the other half of the country does not have one. Vermont’s VHCURES is not an unusual advantage in kind — it is an unusual advantage in</w:t>
            </w:r>
            <w:r>
              <w:rPr>
                <w:sz w:val="20"/>
                <w:szCs w:val="20"/>
              </w:rPr>
              <w:t xml:space="preserve"> </w:t>
            </w:r>
            <w:r>
              <w:rPr>
                <w:i/>
                <w:iCs/>
                <w:sz w:val="20"/>
                <w:szCs w:val="20"/>
              </w:rPr>
              <w:t xml:space="preserve">timing</w:t>
            </w:r>
            <w:r>
              <w:rPr>
                <w:sz w:val="20"/>
                <w:szCs w:val="20"/>
              </w:rPr>
              <w:t xml:space="preserve">, built years before the payment model that now needs it.</w:t>
            </w:r>
          </w:p>
          <w:p>
            <w:pPr>
              <w:spacing w:after="60" w:line="264" w:lineRule="auto"/>
            </w:pPr>
            <w:r>
              <w:rPr>
                <w:sz w:val="20"/>
                <w:szCs w:val="2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p>
          <w:p>
            <w:pPr>
              <w:spacing w:after="60" w:line="264" w:lineRule="auto"/>
            </w:pPr>
            <w:r>
              <w:rPr>
                <w:sz w:val="20"/>
                <w:szCs w:val="20"/>
              </w:rPr>
              <w:t xml:space="preserve">Read against the Policy → Economics box above, this is the practical test for any state reading Vermont’s playbook: mandatory authority is necessary but it is not sufficient, and the Technology gate is the one that cannot be opened by a vote.</w:t>
            </w:r>
          </w:p>
        </w:tc>
      </w:tr>
    </w:tbl>
    <w:p>
      <w:pPr>
        <w:spacing w:after="120" w:line="240" w:lineRule="auto"/>
        <w:rPr>
          <w:sz w:val="16"/>
        </w:rPr>
      </w:pPr>
    </w:p>
    <w:p>
      <w:pPr>
        <w:pStyle w:val="BodyText"/>
        <w:keepNext w:val="false"/>
      </w:pPr>
      <w:r>
        <w:rPr>
          <w:b/>
          <w:bCs/>
        </w:rPr>
        <w:t xml:space="preserve">Technology and the Equity Imperative: disaggregated data reveals disparities hidden in averages (critical)</w:t>
      </w:r>
    </w:p>
    <w:p>
      <w:pPr>
        <w:pStyle w:val="BodyText"/>
        <w:keepNext w:val="false"/>
      </w:pPr>
      <w:r>
        <w:t xml:space="preserve">The equity imperative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p>
        </w:tc>
      </w:tr>
    </w:tbl>
    <w:p>
      <w:pPr>
        <w:spacing w:after="120" w:line="240" w:lineRule="auto"/>
        <w:rPr>
          <w:sz w:val="16"/>
        </w:rPr>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line="240" w:lineRule="auto"/>
        <w:rPr>
          <w:sz w:val="16"/>
        </w:rPr>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outbound dependencies — to Clinical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p>
        </w:tc>
      </w:tr>
    </w:tbl>
    <w:p>
      <w:pPr>
        <w:spacing w:after="120" w:line="240" w:lineRule="auto"/>
        <w:rPr>
          <w:sz w:val="16"/>
        </w:rPr>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Signing a contract you cannot read</w:t>
            </w:r>
          </w:p>
          <w:p>
            <w:pPr>
              <w:spacing w:after="60" w:line="264" w:lineRule="auto"/>
            </w:pPr>
            <w:r>
              <w:rPr>
                <w:sz w:val="20"/>
                <w:szCs w:val="2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w:t>
            </w:r>
          </w:p>
          <w:p>
            <w:pPr>
              <w:spacing w:after="60" w:line="264" w:lineRule="auto"/>
            </w:pPr>
            <w:r>
              <w:rPr>
                <w:sz w:val="20"/>
                <w:szCs w:val="20"/>
              </w:rPr>
              <w:t xml:space="preserve">In month fourteen, the payer’s reconciliation arrives: her system is $2.1 million over benchmark and owes a share of it back.</w:t>
            </w:r>
          </w:p>
          <w:p>
            <w:pPr>
              <w:spacing w:after="60" w:line="264" w:lineRule="auto"/>
            </w:pPr>
            <w:r>
              <w:rPr>
                <w:sz w:val="20"/>
                <w:szCs w:val="2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w:t>
            </w:r>
          </w:p>
          <w:p>
            <w:pPr>
              <w:spacing w:after="60" w:line="264" w:lineRule="auto"/>
            </w:pPr>
            <w:r>
              <w:rPr>
                <w:sz w:val="20"/>
                <w:szCs w:val="20"/>
              </w:rPr>
              <w:t xml:space="preserve">So she pays. Not because her system performed badly — she still does not know whether it did — but because she entered an argument she had no evidence to make. The clinical work was never the problem. The Technology gate was closed before she signed, and signing did not open it.</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Act 68 requires GMCB, beginning in FY2028, to set prospective annual hospital global budgets based on historical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global-budget implementation analytically executable.</w:t>
            </w:r>
          </w:p>
        </w:tc>
      </w:tr>
    </w:tbl>
    <w:p>
      <w:pPr>
        <w:spacing w:after="120" w:line="240" w:lineRule="auto"/>
        <w:rPr>
          <w:sz w:val="16"/>
        </w:rPr>
      </w:pPr>
    </w:p>
    <w:p>
      <w:pPr>
        <w:pStyle w:val="BodyText"/>
        <w:keepNext w:val="false"/>
      </w:pPr>
      <w:r>
        <w:rPr>
          <w:b/>
          <w:bCs/>
        </w:rPr>
        <w:t xml:space="preserve">Economics and the Equity Imperative: VBC design must include social risk adjustment</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p>
        </w:tc>
      </w:tr>
    </w:tbl>
    <w:p>
      <w:pPr>
        <w:spacing w:after="120" w:line="240" w:lineRule="auto"/>
        <w:rPr>
          <w:sz w:val="16"/>
        </w:rPr>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outbound dependency — to Operations — describes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line="240" w:lineRule="auto"/>
        <w:rPr>
          <w:sz w:val="16"/>
        </w:rPr>
      </w:pPr>
    </w:p>
    <w:p>
      <w:pPr>
        <w:pStyle w:val="BodyText"/>
        <w:keepNext w:val="false"/>
      </w:pPr>
      <w:r>
        <w:rPr>
          <w:b/>
          <w:bCs/>
        </w:rPr>
        <w:t xml:space="preserve">Clinical and the Equity Imperative: care delivery expansion is the primary access gap mechanism</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imperative’s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imperative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but unaddressed.</w:t>
            </w:r>
          </w:p>
        </w:tc>
      </w:tr>
    </w:tbl>
    <w:p>
      <w:pPr>
        <w:spacing w:after="120" w:line="240" w:lineRule="auto"/>
        <w:rPr>
          <w:sz w:val="16"/>
        </w:rPr>
      </w:pPr>
    </w:p>
    <w:p>
      <w:pPr>
        <w:pStyle w:val="Heading3"/>
      </w:pPr>
      <w:r>
        <w:rPr>
          <w:color w:val="161B22"/>
        </w:rPr>
        <w:t xml:space="preserve">1.4.5  </w:t>
      </w:r>
      <w:bookmarkStart w:id="1036" w:name="_Toc1035"/>
      <w:r>
        <w:rPr>
          <w:b/>
          <w:bCs/>
          <w:color w:val="161B22"/>
        </w:rPr>
        <w:t xml:space="preserve">The Equity Imperative: Applying the Justice Test to Every Pillar</w:t>
      </w:r>
      <w:bookmarkEnd w:id="1036"/>
    </w:p>
    <w:p>
      <w:pPr>
        <w:pStyle w:val="FirstParagraph"/>
      </w:pPr>
      <w:r>
        <w:t xml:space="preserve">Equity is not a pillar with its own dependencies — it is the Equity Imperative every pillar is held to. The justice test (is it just?) applies to all five, designed in from the beginning rather than retrofitted. Two applications matter most, because they are where equity is most often lost: the design of policy, and the delivery of care.</w:t>
      </w:r>
    </w:p>
    <w:p>
      <w:pPr>
        <w:pStyle w:val="BodyText"/>
      </w:pPr>
      <w:r>
        <w:rPr>
          <w:b/>
          <w:bCs/>
          <w:i/>
          <w:iCs/>
        </w:rPr>
        <w:t xml:space="preserve">The Equity Imperative on Policy — does the mandate close disparities or widen them?</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i/>
          <w:iCs/>
        </w:rPr>
        <w:t xml:space="preserve">The Equity Imperative on Clinical — effective, and effective for whom?</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Imperative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9</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5</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Sources: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Act 68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Five Pillars in One System</w:t>
      </w:r>
      <w:bookmarkEnd w:id="1040"/>
    </w:p>
    <w:p>
      <w:pPr>
        <w:pStyle w:val="FirstParagraph"/>
        <w:keepNext w:val="false"/>
      </w:pPr>
      <w: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five-pillar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line="240" w:lineRule="auto"/>
        <w:rPr>
          <w:sz w:val="16"/>
        </w:rPr>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Five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$195-million-per-year Rural Health Transformation Program. Because that capital is time-limited, Vermont’s standing source for community health investment beyond the RHT period is not yet settled.</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The Equity Imperative: A Constraint Across Every Stage</w:t>
      </w:r>
      <w:bookmarkEnd w:id="1052"/>
    </w:p>
    <w:p>
      <w:pPr>
        <w:pStyle w:val="FirstParagraph"/>
      </w:pPr>
      <w: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pPr>
        <w:pStyle w:val="BodyText"/>
      </w:pPr>
      <w: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5: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left"/>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left"/>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left"/>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left"/>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left"/>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cantSplit/>
        </w:trPr>
        <w:tc>
          <w:tcPr>
            <w:tcW w:w="345" w:type="dxa"/>
          </w:tcPr>
          <w:p>
            <w:pPr>
              <w:pStyle w:val="Compact"/>
              <w:jc w:val="left"/>
            </w:pPr>
            <w:r>
              <w:rPr>
                <w:sz w:val="18"/>
              </w:rPr>
              <w:t xml:space="preserve">5</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Five-Stage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five-stage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line="240" w:lineRule="auto"/>
        <w:rPr>
          <w:sz w:val="16"/>
        </w:rPr>
      </w:pPr>
    </w:p>
    <w:p>
      <w:pPr>
        <w:pStyle w:val="BodyText"/>
      </w:pPr>
      <w:r>
        <w:t xml:space="preserve">Vermont’s critical-path sequence for hospital global-budget implementation under Act 68 reads as four gates in order:</w:t>
      </w:r>
    </w:p>
    <w:p>
      <w:pPr>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Act 68’s hospital global budgets take effect in FY2028.</w:t>
      </w:r>
    </w:p>
    <w:p>
      <w:pPr>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GO DEEPER — ACADEMY</w:t>
            </w:r>
          </w:p>
          <w:p>
            <w:pPr>
              <w:spacing w:after="60" w:line="264" w:lineRule="auto"/>
            </w:pPr>
            <w:r>
              <w:rPr>
                <w:sz w:val="20"/>
                <w:szCs w:val="20"/>
              </w:rPr>
              <w:t xml:space="preserve">The dependency mechanics behind these three principles are the subject of the Academy’s</w:t>
            </w:r>
            <w:r>
              <w:rPr>
                <w:sz w:val="20"/>
                <w:szCs w:val="20"/>
              </w:rPr>
              <w:t xml:space="preserve"> </w:t>
            </w:r>
            <w:r>
              <w:rPr>
                <w:b/>
                <w:bCs/>
                <w:sz w:val="20"/>
                <w:szCs w:val="20"/>
              </w:rPr>
              <w:t xml:space="preserve">Five Pillars, One Imperative</w:t>
            </w:r>
            <w:r>
              <w:rPr>
                <w:sz w:val="20"/>
                <w:szCs w:val="20"/>
              </w:rPr>
              <w:t xml:space="preserve"> </w:t>
            </w:r>
            <w:r>
              <w:rPr>
                <w:sz w:val="20"/>
                <w:szCs w:val="20"/>
              </w:rPr>
              <w:t xml:space="preserve">course — specifically Lesson 4,</w:t>
            </w:r>
            <w:r>
              <w:rPr>
                <w:sz w:val="20"/>
                <w:szCs w:val="20"/>
              </w:rPr>
              <w:t xml:space="preserve"> </w:t>
            </w:r>
            <w:r>
              <w:rPr>
                <w:sz w:val="20"/>
                <w:szCs w:val="20"/>
              </w:rPr>
              <w:t xml:space="preserve">“Dependency Logic and the Execution Sequence,”</w:t>
            </w:r>
            <w:r>
              <w:rPr>
                <w:sz w:val="20"/>
                <w:szCs w:val="20"/>
              </w:rPr>
              <w:t xml:space="preserve"> </w:t>
            </w:r>
            <w:r>
              <w:rPr>
                <w:sz w:val="20"/>
                <w:szCs w:val="20"/>
              </w:rPr>
              <w:t xml:space="preserve">and Lesson 5,</w:t>
            </w:r>
            <w:r>
              <w:rPr>
                <w:sz w:val="20"/>
                <w:szCs w:val="20"/>
              </w:rPr>
              <w:t xml:space="preserve"> </w:t>
            </w:r>
            <w:r>
              <w:rPr>
                <w:sz w:val="20"/>
                <w:szCs w:val="20"/>
              </w:rPr>
              <w:t xml:space="preserve">“Sequencing Failure — The OneCare Autopsy.”</w:t>
            </w:r>
            <w:r>
              <w:rPr>
                <w:sz w:val="20"/>
                <w:szCs w:val="20"/>
              </w:rPr>
              <w:t xml:space="preserve"> </w:t>
            </w:r>
            <w:r>
              <w:rPr>
                <w:sz w:val="20"/>
                <w:szCs w:val="20"/>
              </w:rPr>
              <w:t xml:space="preserve">Start there before applying the sequencing framework to your own organization or state.</w:t>
            </w:r>
          </w:p>
        </w:tc>
      </w:tr>
    </w:tbl>
    <w:p>
      <w:pPr>
        <w:spacing w:after="120" w:line="240" w:lineRule="auto"/>
        <w:rPr>
          <w:sz w:val="16"/>
        </w:rPr>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payers or providers stay out; redesigns driven by adverse selection</w:t>
            </w:r>
          </w:p>
        </w:tc>
        <w:tc>
          <w:tcPr>
            <w:tcW w:w="2925" w:type="dxa"/>
          </w:tcPr>
          <w:p>
            <w:pPr>
              <w:pStyle w:val="Compact"/>
              <w:jc w:val="left"/>
            </w:pPr>
            <w:r>
              <w:rPr>
                <w:sz w:val="18"/>
              </w:rPr>
              <w:t xml:space="preserve">OneCare Vermont (voluntary architecture normalized over roughly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Act 68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RBP finalization, and the Strategic Plan at once — capacity Oliver Wyman flagged as insufficient</w:t>
            </w:r>
          </w:p>
        </w:tc>
        <w:tc>
          <w:tcPr>
            <w:tcW w:w="1860" w:type="dxa"/>
          </w:tcPr>
          <w:p>
            <w:pPr>
              <w:pStyle w:val="Compact"/>
              <w:jc w:val="left"/>
            </w:pPr>
            <w:r>
              <w:rPr>
                <w:sz w:val="18"/>
              </w:rPr>
              <w:t xml:space="preserve">RHRC builds hospital-level capacity before global-budget accountability takes full effect</w:t>
            </w:r>
          </w:p>
        </w:tc>
      </w:tr>
    </w:tbl>
    <w:p>
      <w:pPr>
        <w:pStyle w:val="Caption"/>
        <w:spacing w:before="120"/>
      </w:pPr>
      <w:r>
        <w:rPr>
          <w:i/>
          <w:iCs/>
        </w:rPr>
        <w:t xml:space="preserve">Figure 1.7 — Five sequencing errors: the diagnostic pattern, early-warning signals, and correction for each. Sources: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cantSplit/>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bl>
    <w:p>
      <w:pPr>
        <w:pStyle w:val="Caption"/>
        <w:spacing w:before="120"/>
      </w:pPr>
      <w:r>
        <w:rPr>
          <w:i/>
          <w:iCs/>
        </w:rPr>
        <w:t xml:space="preserve">Figure 1.8 — Vermont’s transformation timeline, by pillar. Sources: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the FY2028 start of Act 68’s hospital global budgets and the analytics-capability deployment timeline. Vermont hospitals will begin bearing global-budget financial accountability in January 2028. If the AHS-GMCB analytics capability is not fully operational by that date, hospitals will be making financial management decisions based on incomplete or lagged data for the first year of full Act 68 global-budget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EXPLORE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9 dependency relationships between the five pillars and see which downstream pillars a given gap disables</w:t>
            </w:r>
          </w:p>
        </w:tc>
        <w:tc>
          <w:tcPr>
            <w:tcW w:w="2736" w:type="dxa"/>
          </w:tcPr>
          <w:p>
            <w:pPr>
              <w:pStyle w:val="Compact"/>
              <w:jc w:val="left"/>
            </w:pPr>
            <w:r>
              <w:rPr>
                <w:b/>
                <w:bCs/>
                <w:sz w:val="18"/>
              </w:rPr>
              <w:t xml:space="preserve">Five-Pillar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five pillars and watch the composite readiness number respond</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four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line="240" w:lineRule="auto"/>
        <w:rPr>
          <w:sz w:val="16"/>
        </w:rPr>
      </w:pPr>
    </w:p>
    <w:p>
      <w:pPr>
        <w:pStyle w:val="Heading2"/>
        <w:pBdr>
          <w:top w:val="single" w:sz="6" w:space="10" w:color="C9D2DF"/>
        </w:pBdr>
        <w:keepNext w:val="false"/>
      </w:pPr>
      <w:r>
        <w:rPr>
          <w:color w:val="161B22"/>
        </w:rPr>
        <w:t xml:space="preserve">1.16  </w:t>
      </w:r>
      <w:bookmarkStart w:id="1062" w:name="_Toc1061"/>
      <w:r>
        <w:rPr>
          <w:b/>
          <w:bCs/>
          <w:color w:val="161B22"/>
        </w:rPr>
        <w:t xml:space="preserve">GO DEEPER — ACADEMY</w:t>
      </w:r>
      <w:bookmarkEnd w:id="1062"/>
    </w:p>
    <w:p>
      <w:pPr>
        <w:pStyle w:val="FirstParagraph"/>
        <w:keepNext w:val="false"/>
      </w:pPr>
      <w:r>
        <w:t xml:space="preserve">This chapter is the subject of Track 1,</w:t>
      </w:r>
      <w:r>
        <w:t xml:space="preserve"> </w:t>
      </w:r>
      <w:r>
        <w:t xml:space="preserve">“Foundations: The Framework,”</w:t>
      </w:r>
      <w:r>
        <w:t xml:space="preserve"> </w:t>
      </w:r>
      <w:r>
        <w:t xml:space="preserve">in the Academy’s</w:t>
      </w:r>
      <w:r>
        <w:t xml:space="preserve"> </w:t>
      </w:r>
      <w:r>
        <w:rPr>
          <w:b/>
          <w:bCs/>
        </w:rPr>
        <w:t xml:space="preserve">Five Pillars, One Imperative</w:t>
      </w:r>
      <w:r>
        <w:t xml:space="preserve"> </w:t>
      </w:r>
      <w:r>
        <w:t xml:space="preserve">course:</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Lesson</w:t>
            </w:r>
          </w:p>
        </w:tc>
        <w:tc>
          <w:tcPr>
            <w:shd w:val="clear" w:color="auto" w:fill="1B3A6B"/>
            <w:tcW w:w="4903" w:type="dxa"/>
          </w:tcPr>
          <w:p>
            <w:pPr>
              <w:pStyle w:val="Compact"/>
              <w:jc w:val="left"/>
            </w:pPr>
            <w:r>
              <w:rPr>
                <w:b/>
                <w:color w:val="FFFFFF"/>
                <w:sz w:val="18"/>
              </w:rPr>
              <w:t xml:space="preserve">What it covers</w:t>
            </w:r>
          </w:p>
        </w:tc>
      </w:tr>
      <w:tr>
        <w:trPr>
          <w:cantSplit/>
        </w:trPr>
        <w:tc>
          <w:tcPr>
            <w:tcW w:w="4168" w:type="dxa"/>
          </w:tcPr>
          <w:p>
            <w:pPr>
              <w:pStyle w:val="Compact"/>
              <w:jc w:val="left"/>
            </w:pPr>
            <w:r>
              <w:rPr>
                <w:sz w:val="18"/>
              </w:rPr>
              <w:t xml:space="preserve">1 — Why Single-Pillar Thinking Fails</w:t>
            </w:r>
          </w:p>
        </w:tc>
        <w:tc>
          <w:tcPr>
            <w:tcW w:w="4903" w:type="dxa"/>
          </w:tcPr>
          <w:p>
            <w:pPr>
              <w:pStyle w:val="Compact"/>
              <w:jc w:val="left"/>
            </w:pPr>
            <w:r>
              <w:rPr>
                <w:sz w:val="18"/>
              </w:rPr>
              <w:t xml:space="preserve">The CMMI record and why isolated interventions run into the constraints the other pillars create</w:t>
            </w:r>
          </w:p>
        </w:tc>
      </w:tr>
      <w:tr>
        <w:trPr/>
        <w:tc>
          <w:tcPr>
            <w:tcW w:w="4168" w:type="dxa"/>
          </w:tcPr>
          <w:p>
            <w:pPr>
              <w:pStyle w:val="Compact"/>
              <w:jc w:val="left"/>
            </w:pPr>
            <w:r>
              <w:rPr>
                <w:sz w:val="18"/>
              </w:rPr>
              <w:t xml:space="preserve">2 — The Five Pillars and Their Diagnostic Questions</w:t>
            </w:r>
          </w:p>
        </w:tc>
        <w:tc>
          <w:tcPr>
            <w:tcW w:w="4903" w:type="dxa"/>
          </w:tcPr>
          <w:p>
            <w:pPr>
              <w:pStyle w:val="Compact"/>
              <w:jc w:val="left"/>
            </w:pPr>
            <w:r>
              <w:rPr>
                <w:sz w:val="18"/>
              </w:rPr>
              <w:t xml:space="preserve">The five-question framework this chapter defines</w:t>
            </w:r>
          </w:p>
        </w:tc>
      </w:tr>
      <w:tr>
        <w:trPr/>
        <w:tc>
          <w:tcPr>
            <w:tcW w:w="4168" w:type="dxa"/>
          </w:tcPr>
          <w:p>
            <w:pPr>
              <w:pStyle w:val="Compact"/>
              <w:jc w:val="left"/>
            </w:pPr>
            <w:r>
              <w:rPr>
                <w:sz w:val="18"/>
              </w:rPr>
              <w:t xml:space="preserve">3 — The Equity Imperative: Is It Just?</w:t>
            </w:r>
          </w:p>
        </w:tc>
        <w:tc>
          <w:tcPr>
            <w:tcW w:w="4903" w:type="dxa"/>
          </w:tcPr>
          <w:p>
            <w:pPr>
              <w:pStyle w:val="Compact"/>
              <w:jc w:val="left"/>
            </w:pPr>
            <w:r>
              <w:rPr>
                <w:sz w:val="18"/>
              </w:rPr>
              <w:t xml:space="preserve">Why equity is a cross-cutting test, not a sixth pillar</w:t>
            </w:r>
          </w:p>
        </w:tc>
      </w:tr>
      <w:tr>
        <w:trPr/>
        <w:tc>
          <w:tcPr>
            <w:tcW w:w="4168" w:type="dxa"/>
          </w:tcPr>
          <w:p>
            <w:pPr>
              <w:pStyle w:val="Compact"/>
              <w:jc w:val="left"/>
            </w:pPr>
            <w:r>
              <w:rPr>
                <w:sz w:val="18"/>
              </w:rPr>
              <w:t xml:space="preserve">4 — Dependency Logic and the Execution Sequence</w:t>
            </w:r>
          </w:p>
        </w:tc>
        <w:tc>
          <w:tcPr>
            <w:tcW w:w="4903" w:type="dxa"/>
          </w:tcPr>
          <w:p>
            <w:pPr>
              <w:pStyle w:val="Compact"/>
              <w:jc w:val="left"/>
            </w:pPr>
            <w:r>
              <w:rPr>
                <w:sz w:val="18"/>
              </w:rPr>
              <w:t xml:space="preserve">The dependency matrix and the ENABLES/REQUIRES/DRIVES/⟲ vocabulary</w:t>
            </w:r>
          </w:p>
        </w:tc>
      </w:tr>
      <w:tr>
        <w:trPr>
          <w:cantSplit/>
        </w:trPr>
        <w:tc>
          <w:tcPr>
            <w:tcW w:w="4168" w:type="dxa"/>
          </w:tcPr>
          <w:p>
            <w:pPr>
              <w:pStyle w:val="Compact"/>
              <w:jc w:val="left"/>
            </w:pPr>
            <w:r>
              <w:rPr>
                <w:sz w:val="18"/>
              </w:rPr>
              <w:t xml:space="preserve">5 — Sequencing Failure — The OneCare Autopsy</w:t>
            </w:r>
          </w:p>
        </w:tc>
        <w:tc>
          <w:tcPr>
            <w:tcW w:w="4903" w:type="dxa"/>
          </w:tcPr>
          <w:p>
            <w:pPr>
              <w:pStyle w:val="Compact"/>
              <w:jc w:val="left"/>
            </w:pPr>
            <w:r>
              <w:rPr>
                <w:sz w:val="18"/>
              </w:rPr>
              <w:t xml:space="preserve">The three-part failure this chapter opens with, worked in full</w:t>
            </w:r>
          </w:p>
        </w:tc>
      </w:tr>
    </w:tbl>
    <w:p>
      <w:pPr>
        <w:pStyle w:val="Caption"/>
        <w:spacing w:before="120"/>
      </w:pPr>
      <w:r>
        <w:rPr>
          <w:i/>
          <w:iCs/>
        </w:rPr>
        <w:t xml:space="preserve">Figure 1.10 — Academy Track 1 lessons mapped to this chapter.</w:t>
      </w:r>
    </w:p>
    <w:p>
      <w:pPr>
        <w:pStyle w:val="BodyText"/>
      </w:pPr>
      <w:r>
        <w:t xml:space="preserve">Start at</w:t>
      </w:r>
      <w:r>
        <w:t xml:space="preserve"> </w:t>
      </w:r>
      <w:hyperlink r:id="rId22">
        <w:r>
          <w:rPr>
            <w:rStyle w:val="Hyperlink"/>
          </w:rPr>
          <w:t xml:space="preserve">/academy</w:t>
        </w:r>
      </w:hyperlink>
      <w:r>
        <w:t xml:space="preserve"> </w:t>
      </w:r>
      <w:r>
        <w:t xml:space="preserve">— Track 1 is built to be worked alongside this chapter, not after it.</w:t>
      </w:r>
    </w:p>
    <w:p>
      <w:pPr>
        <w:pStyle w:val="Heading2"/>
        <w:pBdr>
          <w:top w:val="single" w:sz="6" w:space="10" w:color="C9D2DF"/>
        </w:pBdr>
      </w:pPr>
      <w:r>
        <w:rPr>
          <w:color w:val="161B22"/>
        </w:rPr>
        <w:t xml:space="preserve">1.17  </w:t>
      </w:r>
      <w:bookmarkStart w:id="1063" w:name="_Toc1062"/>
      <w:r>
        <w:rPr>
          <w:b/>
          <w:bCs/>
          <w:color w:val="161B22"/>
        </w:rPr>
        <w:t xml:space="preserve">Implications for You</w:t>
      </w:r>
      <w:bookmarkEnd w:id="1063"/>
    </w:p>
    <w:p>
      <w:pPr>
        <w:pStyle w:val="FirstParagraph"/>
      </w:pPr>
      <w: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1.18  </w:t>
      </w:r>
      <w:bookmarkStart w:id="1064" w:name="_Toc1063"/>
      <w:r>
        <w:rPr>
          <w:b/>
          <w:bCs/>
          <w:color w:val="161B22"/>
        </w:rPr>
        <w:t xml:space="preserve">Key Concepts in This Chapter</w:t>
      </w:r>
      <w:bookmarkEnd w:id="1064"/>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t xml:space="preserve"> </w:t>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t xml:space="preserve"> </w:t>
      </w:r>
      <w:r>
        <w:rPr>
          <w:rFonts w:ascii="Calibri" w:hAnsi="Calibri"/>
          <w:color w:val="000000"/>
          <w:sz w:val="18"/>
        </w:rPr>
        <w:t xml:space="preserve">The order in which the five pillars must be built: Policy, Technology, Economics, Clinical,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t xml:space="preserve"> </w:t>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t xml:space="preserve"> </w:t>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t xml:space="preserve"> </w:t>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t xml:space="preserve"> </w:t>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t xml:space="preserve"> </w:t>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t xml:space="preserve"> </w:t>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t xml:space="preserve"> </w:t>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t xml:space="preserve"> </w:t>
      </w:r>
      <w:r>
        <w:rPr>
          <w:rFonts w:ascii="Calibri" w:hAnsi="Calibri"/>
          <w:color w:val="000000"/>
          <w:sz w:val="18"/>
        </w:rPr>
        <w:t xml:space="preserve">The highest-ROI pre-global-budget analytics investment: completing hierarchical condition category documentation for all Medicare-attributed patients before global budgets take effect.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t xml:space="preserve"> </w:t>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t xml:space="preserve"> </w:t>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Gobeille v. Liberty Mutual Ins. Co.</w:t>
      </w:r>
      <w:r>
        <w:rPr>
          <w:rFonts w:ascii="Garamond" w:hAnsi="Garamond" w:cs="Garamond"/>
          <w:rFonts w:ascii="Garamond" w:hAnsi="Garamond"/>
          <w:b w:val="0"/>
          <w:i/>
          <w:color w:val="404040"/>
          <w:sz w:val="18"/>
        </w:rPr>
        <w:t xml:space="preserve">, 577 U.S. 312 (2016); VTDigger,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“Vermont’s largest health insurer steps away from OneCare”</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(Dec. 20, 2022); VTDigger,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“Vermont’s 8-year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‘all-payer’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health care experiment sunset at the end of 2025. What did it teach us?”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 13, 2026); Vermont State Auditor performance audits of OneCare Vermont (2019, 2021).</w:t>
      </w:r>
    </w:p>
    <w:p>
      <w:r>
        <w:br w:type="page"/>
      </w:r>
    </w:p>
    <w:p>
      <w:pPr>
        <w:pStyle w:val="Heading1"/>
      </w:pPr>
      <w:bookmarkStart w:id="1065" w:name="_Toc1064"/>
      <w:r>
        <w:rPr>
          <w:b/>
          <w:bCs/>
          <w:color w:val="161B22"/>
        </w:rPr>
        <w:t xml:space="preserve">Chapter 2: The Policy Pillar — Legislative Architecture for Structural Reform</w:t>
      </w:r>
      <w:bookmarkEnd w:id="1065"/>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FirstParagraph"/>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6" w:name="_Toc1065"/>
      <w:r>
        <w:rPr>
          <w:b/>
          <w:bCs/>
          <w:color w:val="161B22"/>
        </w:rPr>
        <w:t xml:space="preserve">The Anatomy of a System-Level Reform Mandate</w:t>
      </w:r>
      <w:bookmarkEnd w:id="1066"/>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spacing w:before="0" w:after="0" w:line="240" w:lineRule="auto"/>
              <w:jc w:val="left"/>
            </w:pPr>
            <w:r>
              <w:rPr>
                <w:b/>
                <w:color w:val="FFFFFF"/>
                <w:sz w:val="17"/>
              </w:rPr>
              <w:t xml:space="preserve">Year</w:t>
            </w:r>
          </w:p>
        </w:tc>
        <w:tc>
          <w:tcPr>
            <w:shd w:val="clear" w:color="auto" w:fill="1B3A6B"/>
            <w:tcW w:w="2752" w:type="dxa"/>
          </w:tcPr>
          <w:p>
            <w:pPr>
              <w:pStyle w:val="Compact"/>
              <w:spacing w:before="0" w:after="0" w:line="240" w:lineRule="auto"/>
              <w:jc w:val="left"/>
            </w:pPr>
            <w:r>
              <w:rPr>
                <w:b/>
                <w:color w:val="FFFFFF"/>
                <w:sz w:val="17"/>
              </w:rPr>
              <w:t xml:space="preserve">Milestone</w:t>
            </w:r>
          </w:p>
        </w:tc>
        <w:tc>
          <w:tcPr>
            <w:shd w:val="clear" w:color="auto" w:fill="1B3A6B"/>
            <w:tcW w:w="1501" w:type="dxa"/>
          </w:tcPr>
          <w:p>
            <w:pPr>
              <w:pStyle w:val="Compact"/>
              <w:spacing w:before="0" w:after="0" w:line="240" w:lineRule="auto"/>
              <w:jc w:val="left"/>
            </w:pPr>
            <w:r>
              <w:rPr>
                <w:b/>
                <w:color w:val="FFFFFF"/>
                <w:sz w:val="17"/>
              </w:rPr>
              <w:t xml:space="preserve">Pillar</w:t>
            </w:r>
          </w:p>
        </w:tc>
        <w:tc>
          <w:tcPr>
            <w:shd w:val="clear" w:color="auto" w:fill="1B3A6B"/>
            <w:tcW w:w="3754" w:type="dxa"/>
          </w:tcPr>
          <w:p>
            <w:pPr>
              <w:pStyle w:val="Compact"/>
              <w:spacing w:before="0" w:after="0" w:line="240" w:lineRule="auto"/>
              <w:jc w:val="left"/>
            </w:pPr>
            <w:r>
              <w:rPr>
                <w:b/>
                <w:color w:val="FFFFFF"/>
                <w:sz w:val="17"/>
              </w:rPr>
              <w:t xml:space="preserve">Significance</w:t>
            </w:r>
          </w:p>
        </w:tc>
      </w:tr>
      <w:tr>
        <w:trPr>
          <w:cantSplit/>
        </w:trPr>
        <w:tc>
          <w:tcPr>
            <w:tcW w:w="1063" w:type="dxa"/>
          </w:tcPr>
          <w:p>
            <w:pPr>
              <w:pStyle w:val="Compact"/>
              <w:spacing w:before="0" w:after="0" w:line="240" w:lineRule="auto"/>
              <w:jc w:val="left"/>
            </w:pPr>
            <w:r>
              <w:rPr>
                <w:sz w:val="17"/>
              </w:rPr>
              <w:t xml:space="preserve">2022</w:t>
            </w:r>
          </w:p>
        </w:tc>
        <w:tc>
          <w:tcPr>
            <w:tcW w:w="2752" w:type="dxa"/>
          </w:tcPr>
          <w:p>
            <w:pPr>
              <w:pStyle w:val="Compact"/>
              <w:spacing w:before="0" w:after="0" w:line="240" w:lineRule="auto"/>
              <w:jc w:val="left"/>
            </w:pPr>
            <w:r>
              <w:rPr>
                <w:sz w:val="17"/>
              </w:rPr>
              <w:t xml:space="preserve">Act 167 of 2022 enacted</w:t>
            </w:r>
          </w:p>
        </w:tc>
        <w:tc>
          <w:tcPr>
            <w:tcW w:w="1501" w:type="dxa"/>
          </w:tcPr>
          <w:p>
            <w:pPr>
              <w:pStyle w:val="Compact"/>
              <w:spacing w:before="0" w:after="0" w:line="240" w:lineRule="auto"/>
              <w:jc w:val="left"/>
            </w:pPr>
            <w:r>
              <w:rPr>
                <w:sz w:val="17"/>
              </w:rPr>
              <w:t xml:space="preserve">Policy</w:t>
            </w:r>
          </w:p>
        </w:tc>
        <w:tc>
          <w:tcPr>
            <w:tcW w:w="3754" w:type="dxa"/>
          </w:tcPr>
          <w:p>
            <w:pPr>
              <w:pStyle w:val="Compact"/>
              <w:spacing w:before="0" w:after="0" w:line="240" w:lineRule="auto"/>
              <w:jc w:val="left"/>
            </w:pPr>
            <w:r>
              <w:rPr>
                <w:sz w:val="17"/>
              </w:rPr>
              <w:t xml:space="preserve">Commissioned Oliver Wyman analysis; mandated system-wide diagnostic</w:t>
            </w:r>
          </w:p>
        </w:tc>
      </w:tr>
      <w:tr>
        <w:trPr/>
        <w:tc>
          <w:tcPr>
            <w:tcW w:w="1063" w:type="dxa"/>
          </w:tcPr>
          <w:p>
            <w:pPr>
              <w:pStyle w:val="Compact"/>
              <w:spacing w:before="0" w:after="0" w:line="240" w:lineRule="auto"/>
              <w:jc w:val="left"/>
            </w:pPr>
            <w:r>
              <w:rPr>
                <w:sz w:val="17"/>
              </w:rPr>
              <w:t xml:space="preserve">2023</w:t>
            </w:r>
          </w:p>
        </w:tc>
        <w:tc>
          <w:tcPr>
            <w:tcW w:w="2752" w:type="dxa"/>
          </w:tcPr>
          <w:p>
            <w:pPr>
              <w:pStyle w:val="Compact"/>
              <w:spacing w:before="0" w:after="0" w:line="240" w:lineRule="auto"/>
              <w:jc w:val="left"/>
            </w:pPr>
            <w:r>
              <w:rPr>
                <w:sz w:val="17"/>
              </w:rPr>
              <w:t xml:space="preserve">Act 51 of 2023 enacted</w:t>
            </w:r>
          </w:p>
        </w:tc>
        <w:tc>
          <w:tcPr>
            <w:tcW w:w="1501" w:type="dxa"/>
          </w:tcPr>
          <w:p>
            <w:pPr>
              <w:pStyle w:val="Compact"/>
              <w:spacing w:before="0" w:after="0" w:line="240" w:lineRule="auto"/>
              <w:jc w:val="left"/>
            </w:pPr>
            <w:r>
              <w:rPr>
                <w:sz w:val="17"/>
              </w:rPr>
              <w:t xml:space="preserve">Policy</w:t>
            </w:r>
          </w:p>
        </w:tc>
        <w:tc>
          <w:tcPr>
            <w:tcW w:w="3754" w:type="dxa"/>
          </w:tcPr>
          <w:p>
            <w:pPr>
              <w:pStyle w:val="Compact"/>
              <w:spacing w:before="0" w:after="0" w:line="240" w:lineRule="auto"/>
              <w:jc w:val="left"/>
            </w:pPr>
            <w:r>
              <w:rPr>
                <w:sz w:val="17"/>
              </w:rPr>
              <w:t xml:space="preserve">Authorized AHS hospital transformation planning pilots with up to four hospitals (amending Act 167); Medicaid and DVHA program changes</w:t>
            </w:r>
          </w:p>
        </w:tc>
      </w:tr>
      <w:tr>
        <w:trPr/>
        <w:tc>
          <w:tcPr>
            <w:tcW w:w="1063" w:type="dxa"/>
          </w:tcPr>
          <w:p>
            <w:pPr>
              <w:pStyle w:val="Compact"/>
              <w:spacing w:before="0" w:after="0" w:line="240" w:lineRule="auto"/>
              <w:jc w:val="left"/>
            </w:pPr>
            <w:r>
              <w:rPr>
                <w:sz w:val="17"/>
              </w:rPr>
              <w:t xml:space="preserve">Aug 2024</w:t>
            </w:r>
          </w:p>
        </w:tc>
        <w:tc>
          <w:tcPr>
            <w:tcW w:w="2752" w:type="dxa"/>
          </w:tcPr>
          <w:p>
            <w:pPr>
              <w:pStyle w:val="Compact"/>
              <w:spacing w:before="0" w:after="0" w:line="240" w:lineRule="auto"/>
              <w:jc w:val="left"/>
            </w:pPr>
            <w:r>
              <w:rPr>
                <w:sz w:val="17"/>
              </w:rPr>
              <w:t xml:space="preserve">Oliver Wyman Act 167 Report</w:t>
            </w:r>
          </w:p>
        </w:tc>
        <w:tc>
          <w:tcPr>
            <w:tcW w:w="1501" w:type="dxa"/>
          </w:tcPr>
          <w:p>
            <w:pPr>
              <w:pStyle w:val="Compact"/>
              <w:spacing w:before="0" w:after="0" w:line="240" w:lineRule="auto"/>
              <w:jc w:val="left"/>
            </w:pPr>
            <w:r>
              <w:rPr>
                <w:sz w:val="17"/>
              </w:rPr>
              <w:t xml:space="preserve">Policy / Economics</w:t>
            </w:r>
          </w:p>
        </w:tc>
        <w:tc>
          <w:tcPr>
            <w:tcW w:w="3754" w:type="dxa"/>
          </w:tcPr>
          <w:p>
            <w:pPr>
              <w:pStyle w:val="Compact"/>
              <w:spacing w:before="0" w:after="0" w:line="240" w:lineRule="auto"/>
              <w:jc w:val="left"/>
            </w:pPr>
            <w:r>
              <w:rPr>
                <w:sz w:val="17"/>
              </w:rPr>
              <w:t xml:space="preserve">Documented 9/14 hospitals in losses; $2.4B 5-year deficit projection; triggered legislative action</w:t>
            </w:r>
          </w:p>
        </w:tc>
      </w:tr>
      <w:tr>
        <w:trPr/>
        <w:tc>
          <w:tcPr>
            <w:tcW w:w="1063" w:type="dxa"/>
          </w:tcPr>
          <w:p>
            <w:pPr>
              <w:pStyle w:val="Compact"/>
              <w:spacing w:before="0" w:after="0" w:line="240" w:lineRule="auto"/>
              <w:jc w:val="left"/>
            </w:pPr>
            <w:r>
              <w:rPr>
                <w:sz w:val="17"/>
              </w:rPr>
              <w:t xml:space="preserve">Sept 2024</w:t>
            </w:r>
          </w:p>
        </w:tc>
        <w:tc>
          <w:tcPr>
            <w:tcW w:w="2752" w:type="dxa"/>
          </w:tcPr>
          <w:p>
            <w:pPr>
              <w:pStyle w:val="Compact"/>
              <w:spacing w:before="0" w:after="0" w:line="240" w:lineRule="auto"/>
              <w:jc w:val="left"/>
            </w:pPr>
            <w:r>
              <w:rPr>
                <w:sz w:val="17"/>
              </w:rPr>
              <w:t xml:space="preserve">Oliver Wyman presentation to GMCB</w:t>
            </w:r>
          </w:p>
        </w:tc>
        <w:tc>
          <w:tcPr>
            <w:tcW w:w="1501" w:type="dxa"/>
          </w:tcPr>
          <w:p>
            <w:pPr>
              <w:pStyle w:val="Compact"/>
              <w:spacing w:before="0" w:after="0" w:line="240" w:lineRule="auto"/>
              <w:jc w:val="left"/>
            </w:pPr>
            <w:r>
              <w:rPr>
                <w:sz w:val="17"/>
              </w:rPr>
              <w:t xml:space="preserve">Policy</w:t>
            </w:r>
          </w:p>
        </w:tc>
        <w:tc>
          <w:tcPr>
            <w:tcW w:w="3754" w:type="dxa"/>
          </w:tcPr>
          <w:p>
            <w:pPr>
              <w:pStyle w:val="Compact"/>
              <w:spacing w:before="0" w:after="0" w:line="240" w:lineRule="auto"/>
              <w:jc w:val="left"/>
            </w:pPr>
            <w:r>
              <w:rPr>
                <w:sz w:val="17"/>
              </w:rPr>
              <w:t xml:space="preserve">Room full of stakeholders; financial trajectory confirmed publicly; political inflection point</w:t>
            </w:r>
          </w:p>
        </w:tc>
      </w:tr>
      <w:tr>
        <w:trPr/>
        <w:tc>
          <w:tcPr>
            <w:tcW w:w="1063" w:type="dxa"/>
          </w:tcPr>
          <w:p>
            <w:pPr>
              <w:pStyle w:val="Compact"/>
              <w:spacing w:before="0" w:after="0" w:line="240" w:lineRule="auto"/>
              <w:jc w:val="left"/>
            </w:pPr>
            <w:r>
              <w:rPr>
                <w:sz w:val="17"/>
              </w:rPr>
              <w:t xml:space="preserve">Jan 2025</w:t>
            </w:r>
          </w:p>
        </w:tc>
        <w:tc>
          <w:tcPr>
            <w:tcW w:w="2752" w:type="dxa"/>
          </w:tcPr>
          <w:p>
            <w:pPr>
              <w:pStyle w:val="Compact"/>
              <w:spacing w:before="0" w:after="0" w:line="240" w:lineRule="auto"/>
              <w:jc w:val="left"/>
            </w:pPr>
            <w:r>
              <w:rPr>
                <w:sz w:val="17"/>
              </w:rPr>
              <w:t xml:space="preserve">Vermont AHEAD State Agreement signed</w:t>
            </w:r>
          </w:p>
        </w:tc>
        <w:tc>
          <w:tcPr>
            <w:tcW w:w="1501" w:type="dxa"/>
          </w:tcPr>
          <w:p>
            <w:pPr>
              <w:pStyle w:val="Compact"/>
              <w:spacing w:before="0" w:after="0" w:line="240" w:lineRule="auto"/>
              <w:jc w:val="left"/>
            </w:pPr>
            <w:r>
              <w:rPr>
                <w:sz w:val="17"/>
              </w:rPr>
              <w:t xml:space="preserve">Policy / Economics</w:t>
            </w:r>
          </w:p>
        </w:tc>
        <w:tc>
          <w:tcPr>
            <w:tcW w:w="3754" w:type="dxa"/>
          </w:tcPr>
          <w:p>
            <w:pPr>
              <w:pStyle w:val="Compact"/>
              <w:spacing w:before="0" w:after="0" w:line="240" w:lineRule="auto"/>
              <w:jc w:val="left"/>
            </w:pPr>
            <w:r>
              <w:rPr>
                <w:sz w:val="17"/>
              </w:rPr>
              <w:t xml:space="preserve">Committed Vermont to Cohort 2; up to $150M/year EAST Fund; 8-year performance period</w:t>
            </w:r>
          </w:p>
        </w:tc>
      </w:tr>
      <w:tr>
        <w:trPr/>
        <w:tc>
          <w:tcPr>
            <w:tcW w:w="1063" w:type="dxa"/>
          </w:tcPr>
          <w:p>
            <w:pPr>
              <w:pStyle w:val="Compact"/>
              <w:spacing w:before="0" w:after="0" w:line="240" w:lineRule="auto"/>
              <w:jc w:val="left"/>
            </w:pPr>
            <w:r>
              <w:rPr>
                <w:sz w:val="17"/>
              </w:rPr>
              <w:t xml:space="preserve">2025</w:t>
            </w:r>
          </w:p>
        </w:tc>
        <w:tc>
          <w:tcPr>
            <w:tcW w:w="2752" w:type="dxa"/>
          </w:tcPr>
          <w:p>
            <w:pPr>
              <w:pStyle w:val="Compact"/>
              <w:spacing w:before="0" w:after="0" w:line="240" w:lineRule="auto"/>
              <w:jc w:val="left"/>
            </w:pPr>
            <w:r>
              <w:rPr>
                <w:sz w:val="17"/>
              </w:rPr>
              <w:t xml:space="preserve">Act 68 of 2025 enacted</w:t>
            </w:r>
          </w:p>
        </w:tc>
        <w:tc>
          <w:tcPr>
            <w:tcW w:w="1501" w:type="dxa"/>
          </w:tcPr>
          <w:p>
            <w:pPr>
              <w:pStyle w:val="Compact"/>
              <w:spacing w:before="0" w:after="0" w:line="240" w:lineRule="auto"/>
              <w:jc w:val="left"/>
            </w:pPr>
            <w:r>
              <w:rPr>
                <w:sz w:val="17"/>
              </w:rPr>
              <w:t xml:space="preserve">Policy / Economics</w:t>
            </w:r>
          </w:p>
        </w:tc>
        <w:tc>
          <w:tcPr>
            <w:tcW w:w="3754" w:type="dxa"/>
          </w:tcPr>
          <w:p>
            <w:pPr>
              <w:pStyle w:val="Compact"/>
              <w:spacing w:before="0" w:after="0" w:line="240" w:lineRule="auto"/>
              <w:jc w:val="left"/>
            </w:pPr>
            <w:r>
              <w:rPr>
                <w:sz w:val="17"/>
              </w:rPr>
              <w:t xml:space="preserve">Mandatory RBP (FY2027), global budgets (FY2028), Dec 2028 Strategic Plan deadline</w:t>
            </w:r>
          </w:p>
        </w:tc>
      </w:tr>
      <w:tr>
        <w:trPr/>
        <w:tc>
          <w:tcPr>
            <w:tcW w:w="1063" w:type="dxa"/>
          </w:tcPr>
          <w:p>
            <w:pPr>
              <w:pStyle w:val="Compact"/>
              <w:spacing w:before="0" w:after="0" w:line="240" w:lineRule="auto"/>
              <w:jc w:val="left"/>
            </w:pPr>
            <w:r>
              <w:rPr>
                <w:sz w:val="17"/>
              </w:rPr>
              <w:t xml:space="preserve">Jul 4, 2025</w:t>
            </w:r>
          </w:p>
        </w:tc>
        <w:tc>
          <w:tcPr>
            <w:tcW w:w="2752" w:type="dxa"/>
          </w:tcPr>
          <w:p>
            <w:pPr>
              <w:pStyle w:val="Compact"/>
              <w:spacing w:before="0" w:after="0" w:line="240" w:lineRule="auto"/>
              <w:jc w:val="left"/>
            </w:pPr>
            <w:r>
              <w:rPr>
                <w:sz w:val="17"/>
              </w:rPr>
              <w:t xml:space="preserve">H.R. 1 signed (One Big Beautiful Bill Act)</w:t>
            </w:r>
          </w:p>
        </w:tc>
        <w:tc>
          <w:tcPr>
            <w:tcW w:w="1501" w:type="dxa"/>
          </w:tcPr>
          <w:p>
            <w:pPr>
              <w:pStyle w:val="Compact"/>
              <w:spacing w:before="0" w:after="0" w:line="240" w:lineRule="auto"/>
              <w:jc w:val="left"/>
            </w:pPr>
            <w:r>
              <w:rPr>
                <w:sz w:val="17"/>
              </w:rPr>
              <w:t xml:space="preserve">Policy</w:t>
            </w:r>
          </w:p>
        </w:tc>
        <w:tc>
          <w:tcPr>
            <w:tcW w:w="3754" w:type="dxa"/>
          </w:tcPr>
          <w:p>
            <w:pPr>
              <w:pStyle w:val="Compact"/>
              <w:spacing w:before="0" w:after="0" w:line="240" w:lineRule="auto"/>
              <w:jc w:val="left"/>
            </w:pPr>
            <w:r>
              <w:rPr>
                <w:sz w:val="17"/>
              </w:rPr>
              <w:t xml:space="preserve">$911B Medicaid cuts over 10 years; work requirements; 10M additional uninsured by 2034</w:t>
            </w:r>
          </w:p>
        </w:tc>
      </w:tr>
      <w:tr>
        <w:trPr/>
        <w:tc>
          <w:tcPr>
            <w:tcW w:w="1063" w:type="dxa"/>
          </w:tcPr>
          <w:p>
            <w:pPr>
              <w:pStyle w:val="Compact"/>
              <w:spacing w:before="0" w:after="0" w:line="240" w:lineRule="auto"/>
              <w:jc w:val="left"/>
            </w:pPr>
            <w:r>
              <w:rPr>
                <w:sz w:val="17"/>
              </w:rPr>
              <w:t xml:space="preserve">Nov 2025</w:t>
            </w:r>
          </w:p>
        </w:tc>
        <w:tc>
          <w:tcPr>
            <w:tcW w:w="2752" w:type="dxa"/>
          </w:tcPr>
          <w:p>
            <w:pPr>
              <w:pStyle w:val="Compact"/>
              <w:spacing w:before="0" w:after="0" w:line="240" w:lineRule="auto"/>
              <w:jc w:val="left"/>
            </w:pPr>
            <w:r>
              <w:rPr>
                <w:sz w:val="17"/>
              </w:rPr>
              <w:t xml:space="preserve">Vermont RHT Program Application submitted</w:t>
            </w:r>
          </w:p>
        </w:tc>
        <w:tc>
          <w:tcPr>
            <w:tcW w:w="1501" w:type="dxa"/>
          </w:tcPr>
          <w:p>
            <w:pPr>
              <w:pStyle w:val="Compact"/>
              <w:spacing w:before="0" w:after="0" w:line="240" w:lineRule="auto"/>
              <w:jc w:val="left"/>
            </w:pPr>
            <w:r>
              <w:rPr>
                <w:sz w:val="17"/>
              </w:rPr>
              <w:t xml:space="preserve">Policy / Operations</w:t>
            </w:r>
          </w:p>
        </w:tc>
        <w:tc>
          <w:tcPr>
            <w:tcW w:w="3754" w:type="dxa"/>
          </w:tcPr>
          <w:p>
            <w:pPr>
              <w:pStyle w:val="Compact"/>
              <w:spacing w:before="0" w:after="0" w:line="240" w:lineRule="auto"/>
              <w:jc w:val="left"/>
            </w:pPr>
            <w:r>
              <w:rPr>
                <w:sz w:val="17"/>
              </w:rPr>
              <w:t xml:space="preserve">$195M/year award application; 19 HTR tools; 370-FTE workforce plan</w:t>
            </w:r>
          </w:p>
        </w:tc>
      </w:tr>
      <w:tr>
        <w:trPr/>
        <w:tc>
          <w:tcPr>
            <w:tcW w:w="1063" w:type="dxa"/>
          </w:tcPr>
          <w:p>
            <w:pPr>
              <w:pStyle w:val="Compact"/>
              <w:spacing w:before="0" w:after="0" w:line="240" w:lineRule="auto"/>
              <w:jc w:val="left"/>
            </w:pPr>
            <w:r>
              <w:rPr>
                <w:sz w:val="17"/>
              </w:rPr>
              <w:t xml:space="preserve">Dec 2025</w:t>
            </w:r>
          </w:p>
        </w:tc>
        <w:tc>
          <w:tcPr>
            <w:tcW w:w="2752" w:type="dxa"/>
          </w:tcPr>
          <w:p>
            <w:pPr>
              <w:pStyle w:val="Compact"/>
              <w:spacing w:before="0" w:after="0" w:line="240" w:lineRule="auto"/>
              <w:jc w:val="left"/>
            </w:pPr>
            <w:r>
              <w:rPr>
                <w:sz w:val="17"/>
              </w:rPr>
              <w:t xml:space="preserve">CMS BALANCE Model announced</w:t>
            </w:r>
          </w:p>
        </w:tc>
        <w:tc>
          <w:tcPr>
            <w:tcW w:w="1501" w:type="dxa"/>
          </w:tcPr>
          <w:p>
            <w:pPr>
              <w:pStyle w:val="Compact"/>
              <w:spacing w:before="0" w:after="0" w:line="240" w:lineRule="auto"/>
              <w:jc w:val="left"/>
            </w:pPr>
            <w:r>
              <w:rPr>
                <w:sz w:val="17"/>
              </w:rPr>
              <w:t xml:space="preserve">Economics / Clinical</w:t>
            </w:r>
          </w:p>
        </w:tc>
        <w:tc>
          <w:tcPr>
            <w:tcW w:w="3754" w:type="dxa"/>
          </w:tcPr>
          <w:p>
            <w:pPr>
              <w:pStyle w:val="Compact"/>
              <w:spacing w:before="0" w:after="0" w:line="240" w:lineRule="auto"/>
              <w:jc w:val="left"/>
            </w:pPr>
            <w:r>
              <w:rPr>
                <w:sz w:val="17"/>
              </w:rPr>
              <w:t xml:space="preserve">GLP-1 coverage at negotiated prices; Vermont DVHA opt-in decision pending</w:t>
            </w:r>
          </w:p>
        </w:tc>
      </w:tr>
      <w:tr>
        <w:trPr/>
        <w:tc>
          <w:tcPr>
            <w:tcW w:w="1063" w:type="dxa"/>
          </w:tcPr>
          <w:p>
            <w:pPr>
              <w:pStyle w:val="Compact"/>
              <w:spacing w:before="0" w:after="0" w:line="240" w:lineRule="auto"/>
              <w:jc w:val="left"/>
            </w:pPr>
            <w:r>
              <w:rPr>
                <w:sz w:val="17"/>
              </w:rPr>
              <w:t xml:space="preserve">Dec 29, 2025</w:t>
            </w:r>
          </w:p>
        </w:tc>
        <w:tc>
          <w:tcPr>
            <w:tcW w:w="2752" w:type="dxa"/>
          </w:tcPr>
          <w:p>
            <w:pPr>
              <w:pStyle w:val="Compact"/>
              <w:spacing w:before="0" w:after="0" w:line="240" w:lineRule="auto"/>
              <w:jc w:val="left"/>
            </w:pPr>
            <w:r>
              <w:rPr>
                <w:sz w:val="17"/>
              </w:rPr>
              <w:t xml:space="preserve">Vermont receives RHT award</w:t>
            </w:r>
          </w:p>
        </w:tc>
        <w:tc>
          <w:tcPr>
            <w:tcW w:w="1501" w:type="dxa"/>
          </w:tcPr>
          <w:p>
            <w:pPr>
              <w:pStyle w:val="Compact"/>
              <w:spacing w:before="0" w:after="0" w:line="240" w:lineRule="auto"/>
              <w:jc w:val="left"/>
            </w:pPr>
            <w:r>
              <w:rPr>
                <w:sz w:val="17"/>
              </w:rPr>
              <w:t xml:space="preserve">Policy / Technology</w:t>
            </w:r>
          </w:p>
        </w:tc>
        <w:tc>
          <w:tcPr>
            <w:tcW w:w="3754" w:type="dxa"/>
          </w:tcPr>
          <w:p>
            <w:pPr>
              <w:pStyle w:val="Compact"/>
              <w:spacing w:before="0" w:after="0" w:line="240" w:lineRule="auto"/>
              <w:jc w:val="left"/>
            </w:pPr>
            <w:r>
              <w:rPr>
                <w:sz w:val="17"/>
              </w:rPr>
              <w:t xml:space="preserve">$195M/year for 5 years — largest per-capita rural transformation award; funds CIN, telehealth, workforce</w:t>
            </w:r>
          </w:p>
        </w:tc>
      </w:tr>
      <w:tr>
        <w:trPr/>
        <w:tc>
          <w:tcPr>
            <w:tcW w:w="1063" w:type="dxa"/>
          </w:tcPr>
          <w:p>
            <w:pPr>
              <w:pStyle w:val="Compact"/>
              <w:spacing w:before="0" w:after="0" w:line="240" w:lineRule="auto"/>
              <w:jc w:val="left"/>
            </w:pPr>
            <w:r>
              <w:rPr>
                <w:sz w:val="17"/>
              </w:rPr>
              <w:t xml:space="preserve">Jul 2026</w:t>
            </w:r>
          </w:p>
        </w:tc>
        <w:tc>
          <w:tcPr>
            <w:tcW w:w="2752" w:type="dxa"/>
          </w:tcPr>
          <w:p>
            <w:pPr>
              <w:pStyle w:val="Compact"/>
              <w:spacing w:before="0" w:after="0" w:line="240" w:lineRule="auto"/>
              <w:jc w:val="left"/>
            </w:pPr>
            <w:r>
              <w:rPr>
                <w:sz w:val="17"/>
              </w:rPr>
              <w:t xml:space="preserve">Vermont withdraws from AHEAD</w:t>
            </w:r>
          </w:p>
        </w:tc>
        <w:tc>
          <w:tcPr>
            <w:tcW w:w="1501" w:type="dxa"/>
          </w:tcPr>
          <w:p>
            <w:pPr>
              <w:pStyle w:val="Compact"/>
              <w:spacing w:before="0" w:after="0" w:line="240" w:lineRule="auto"/>
              <w:jc w:val="left"/>
            </w:pPr>
            <w:r>
              <w:rPr>
                <w:sz w:val="17"/>
              </w:rPr>
              <w:t xml:space="preserve">Policy / Economics</w:t>
            </w:r>
          </w:p>
        </w:tc>
        <w:tc>
          <w:tcPr>
            <w:tcW w:w="3754" w:type="dxa"/>
          </w:tcPr>
          <w:p>
            <w:pPr>
              <w:pStyle w:val="Compact"/>
              <w:spacing w:before="0" w:after="0" w:line="240" w:lineRule="auto"/>
              <w:jc w:val="left"/>
            </w:pPr>
            <w:r>
              <w:rPr>
                <w:sz w:val="17"/>
              </w:rPr>
              <w:t xml:space="preserve">CMS renegotiation cut expected EAST Fund from ~$138M to a ~$10M cap; Vermont exits before its Cohort 2 performance period (Jan 2028) ever began. Act 68’s state-authority framework is unaffected — see</w:t>
            </w:r>
            <w:r>
              <w:rPr>
                <w:sz w:val="17"/>
              </w:rPr>
              <w:t xml:space="preserve"> </w:t>
            </w:r>
            <w:r>
              <w:rPr>
                <w:sz w:val="17"/>
              </w:rPr>
              <w:t xml:space="preserve">“The AHEAD Model”</w:t>
            </w:r>
            <w:r>
              <w:rPr>
                <w:sz w:val="17"/>
              </w:rPr>
              <w:t xml:space="preserve"> </w:t>
            </w:r>
            <w:r>
              <w:rPr>
                <w:sz w:val="17"/>
              </w:rPr>
              <w:t xml:space="preserve">in the Economics chapter.</w:t>
            </w:r>
          </w:p>
        </w:tc>
      </w:tr>
      <w:tr>
        <w:trPr/>
        <w:tc>
          <w:tcPr>
            <w:tcW w:w="1063" w:type="dxa"/>
          </w:tcPr>
          <w:p>
            <w:pPr>
              <w:pStyle w:val="Compact"/>
              <w:spacing w:before="0" w:after="0" w:line="240" w:lineRule="auto"/>
              <w:jc w:val="left"/>
            </w:pPr>
            <w:r>
              <w:rPr>
                <w:sz w:val="17"/>
              </w:rPr>
              <w:t xml:space="preserve">FY2027 (Oct 2026)</w:t>
            </w:r>
          </w:p>
        </w:tc>
        <w:tc>
          <w:tcPr>
            <w:tcW w:w="2752" w:type="dxa"/>
          </w:tcPr>
          <w:p>
            <w:pPr>
              <w:pStyle w:val="Compact"/>
              <w:spacing w:before="0" w:after="0" w:line="240" w:lineRule="auto"/>
              <w:jc w:val="left"/>
            </w:pPr>
            <w:r>
              <w:rPr>
                <w:sz w:val="17"/>
              </w:rPr>
              <w:t xml:space="preserve">RBP mandatory for all Vermont hospitals</w:t>
            </w:r>
          </w:p>
        </w:tc>
        <w:tc>
          <w:tcPr>
            <w:tcW w:w="1501" w:type="dxa"/>
          </w:tcPr>
          <w:p>
            <w:pPr>
              <w:pStyle w:val="Compact"/>
              <w:spacing w:before="0" w:after="0" w:line="240" w:lineRule="auto"/>
              <w:jc w:val="left"/>
            </w:pPr>
            <w:r>
              <w:rPr>
                <w:sz w:val="17"/>
              </w:rPr>
              <w:t xml:space="preserve">Economics</w:t>
            </w:r>
          </w:p>
        </w:tc>
        <w:tc>
          <w:tcPr>
            <w:tcW w:w="3754" w:type="dxa"/>
          </w:tcPr>
          <w:p>
            <w:pPr>
              <w:pStyle w:val="Compact"/>
              <w:spacing w:before="0" w:after="0" w:line="240" w:lineRule="auto"/>
              <w:jc w:val="left"/>
            </w:pPr>
            <w:r>
              <w:rPr>
                <w:sz w:val="17"/>
              </w:rPr>
              <w:t xml:space="preserve">First mandatory all-payer price cap in modern Vermont history; ≤200% Medicare target</w:t>
            </w:r>
          </w:p>
        </w:tc>
      </w:tr>
      <w:tr>
        <w:trPr/>
        <w:tc>
          <w:tcPr>
            <w:tcW w:w="1063" w:type="dxa"/>
          </w:tcPr>
          <w:p>
            <w:pPr>
              <w:pStyle w:val="Compact"/>
              <w:spacing w:before="0" w:after="0" w:line="240" w:lineRule="auto"/>
              <w:jc w:val="left"/>
            </w:pPr>
            <w:r>
              <w:rPr>
                <w:sz w:val="17"/>
              </w:rPr>
              <w:t xml:space="preserve">FY2028 (Oct 2027)</w:t>
            </w:r>
          </w:p>
        </w:tc>
        <w:tc>
          <w:tcPr>
            <w:tcW w:w="2752" w:type="dxa"/>
          </w:tcPr>
          <w:p>
            <w:pPr>
              <w:pStyle w:val="Compact"/>
              <w:spacing w:before="0" w:after="0" w:line="240" w:lineRule="auto"/>
              <w:jc w:val="left"/>
            </w:pPr>
            <w:r>
              <w:rPr>
                <w:sz w:val="17"/>
              </w:rPr>
              <w:t xml:space="preserve">Global budgets mandatory (non-CAH hospitals)</w:t>
            </w:r>
          </w:p>
        </w:tc>
        <w:tc>
          <w:tcPr>
            <w:tcW w:w="1501" w:type="dxa"/>
          </w:tcPr>
          <w:p>
            <w:pPr>
              <w:pStyle w:val="Compact"/>
              <w:spacing w:before="0" w:after="0" w:line="240" w:lineRule="auto"/>
              <w:jc w:val="left"/>
            </w:pPr>
            <w:r>
              <w:rPr>
                <w:sz w:val="17"/>
              </w:rPr>
              <w:t xml:space="preserve">Economics</w:t>
            </w:r>
          </w:p>
        </w:tc>
        <w:tc>
          <w:tcPr>
            <w:tcW w:w="3754" w:type="dxa"/>
          </w:tcPr>
          <w:p>
            <w:pPr>
              <w:pStyle w:val="Compact"/>
              <w:spacing w:before="0" w:after="0" w:line="240" w:lineRule="auto"/>
              <w:jc w:val="left"/>
            </w:pPr>
            <w:r>
              <w:rPr>
                <w:sz w:val="17"/>
              </w:rPr>
              <w:t xml:space="preserve">Fixed revenue envelopes; transforms financial incentive from volume to population health</w:t>
            </w:r>
          </w:p>
        </w:tc>
      </w:tr>
      <w:tr>
        <w:trPr/>
        <w:tc>
          <w:tcPr>
            <w:tcW w:w="1063" w:type="dxa"/>
          </w:tcPr>
          <w:p>
            <w:pPr>
              <w:pStyle w:val="Compact"/>
              <w:spacing w:before="0" w:after="0" w:line="240" w:lineRule="auto"/>
              <w:jc w:val="left"/>
            </w:pPr>
            <w:r>
              <w:rPr>
                <w:sz w:val="17"/>
              </w:rPr>
              <w:t xml:space="preserve">Jan 2028</w:t>
            </w:r>
          </w:p>
        </w:tc>
        <w:tc>
          <w:tcPr>
            <w:tcW w:w="2752" w:type="dxa"/>
          </w:tcPr>
          <w:p>
            <w:pPr>
              <w:pStyle w:val="Compact"/>
              <w:spacing w:before="0" w:after="0" w:line="240" w:lineRule="auto"/>
              <w:jc w:val="left"/>
            </w:pPr>
            <w:r>
              <w:rPr>
                <w:sz w:val="17"/>
              </w:rPr>
              <w:t xml:space="preserve">Act 68 hospital global budgets take effect (FY2028)</w:t>
            </w:r>
          </w:p>
        </w:tc>
        <w:tc>
          <w:tcPr>
            <w:tcW w:w="1501" w:type="dxa"/>
          </w:tcPr>
          <w:p>
            <w:pPr>
              <w:pStyle w:val="Compact"/>
              <w:spacing w:before="0" w:after="0" w:line="240" w:lineRule="auto"/>
              <w:jc w:val="left"/>
            </w:pPr>
            <w:r>
              <w:rPr>
                <w:sz w:val="17"/>
              </w:rPr>
              <w:t xml:space="preserve">Economics / Technology</w:t>
            </w:r>
          </w:p>
        </w:tc>
        <w:tc>
          <w:tcPr>
            <w:tcW w:w="3754" w:type="dxa"/>
          </w:tcPr>
          <w:p>
            <w:pPr>
              <w:pStyle w:val="Compact"/>
              <w:spacing w:before="0" w:after="0" w:line="240" w:lineRule="auto"/>
              <w:jc w:val="left"/>
            </w:pPr>
            <w:r>
              <w:rPr>
                <w:sz w:val="17"/>
              </w:rPr>
              <w:t xml:space="preserve">Updated per CMS Sept 2025; Vermont hospitals begin Act 68 global-budget accountability (FY2028)</w:t>
            </w:r>
          </w:p>
        </w:tc>
      </w:tr>
      <w:tr>
        <w:trPr/>
        <w:tc>
          <w:tcPr>
            <w:tcW w:w="1063" w:type="dxa"/>
          </w:tcPr>
          <w:p>
            <w:pPr>
              <w:pStyle w:val="Compact"/>
              <w:spacing w:before="0" w:after="0" w:line="240" w:lineRule="auto"/>
              <w:jc w:val="left"/>
            </w:pPr>
            <w:r>
              <w:rPr>
                <w:sz w:val="17"/>
              </w:rPr>
              <w:t xml:space="preserve">Dec 2028</w:t>
            </w:r>
          </w:p>
        </w:tc>
        <w:tc>
          <w:tcPr>
            <w:tcW w:w="2752" w:type="dxa"/>
          </w:tcPr>
          <w:p>
            <w:pPr>
              <w:pStyle w:val="Compact"/>
              <w:spacing w:before="0" w:after="0" w:line="240" w:lineRule="auto"/>
              <w:jc w:val="left"/>
            </w:pPr>
            <w:r>
              <w:rPr>
                <w:sz w:val="17"/>
              </w:rPr>
              <w:t xml:space="preserve">Statewide Strategic Plan due to legislature</w:t>
            </w:r>
          </w:p>
        </w:tc>
        <w:tc>
          <w:tcPr>
            <w:tcW w:w="1501" w:type="dxa"/>
          </w:tcPr>
          <w:p>
            <w:pPr>
              <w:pStyle w:val="Compact"/>
              <w:spacing w:before="0" w:after="0" w:line="240" w:lineRule="auto"/>
              <w:jc w:val="left"/>
            </w:pPr>
            <w:r>
              <w:rPr>
                <w:sz w:val="17"/>
              </w:rPr>
              <w:t xml:space="preserve">Operations / All pillars</w:t>
            </w:r>
          </w:p>
        </w:tc>
        <w:tc>
          <w:tcPr>
            <w:tcW w:w="3754" w:type="dxa"/>
          </w:tcPr>
          <w:p>
            <w:pPr>
              <w:pStyle w:val="Compact"/>
              <w:spacing w:before="0" w:after="0" w:line="240" w:lineRule="auto"/>
              <w:jc w:val="left"/>
            </w:pPr>
            <w:r>
              <w:rPr>
                <w:sz w:val="17"/>
              </w:rPr>
              <w:t xml:space="preserve">Act 68 binding deadline; must commit to specific targets, timelines, accountable owners</w:t>
            </w:r>
          </w:p>
        </w:tc>
      </w:tr>
      <w:tr>
        <w:trPr>
          <w:cantSplit/>
        </w:trPr>
        <w:tc>
          <w:tcPr>
            <w:tcW w:w="1063" w:type="dxa"/>
          </w:tcPr>
          <w:p>
            <w:pPr>
              <w:pStyle w:val="Compact"/>
              <w:spacing w:before="0" w:after="0" w:line="240" w:lineRule="auto"/>
              <w:jc w:val="left"/>
            </w:pPr>
            <w:r>
              <w:rPr>
                <w:sz w:val="17"/>
              </w:rPr>
              <w:t xml:space="preserve">FY2030 (Oct 2029)</w:t>
            </w:r>
          </w:p>
        </w:tc>
        <w:tc>
          <w:tcPr>
            <w:tcW w:w="2752" w:type="dxa"/>
          </w:tcPr>
          <w:p>
            <w:pPr>
              <w:pStyle w:val="Compact"/>
              <w:spacing w:before="0" w:after="0" w:line="240" w:lineRule="auto"/>
              <w:jc w:val="left"/>
            </w:pPr>
            <w:r>
              <w:rPr>
                <w:sz w:val="17"/>
              </w:rPr>
              <w:t xml:space="preserve">Global budgets mandatory — all 14 hospitals</w:t>
            </w:r>
          </w:p>
        </w:tc>
        <w:tc>
          <w:tcPr>
            <w:tcW w:w="1501" w:type="dxa"/>
          </w:tcPr>
          <w:p>
            <w:pPr>
              <w:pStyle w:val="Compact"/>
              <w:spacing w:before="0" w:after="0" w:line="240" w:lineRule="auto"/>
              <w:jc w:val="left"/>
            </w:pPr>
            <w:r>
              <w:rPr>
                <w:sz w:val="17"/>
              </w:rPr>
              <w:t xml:space="preserve">Economics</w:t>
            </w:r>
          </w:p>
        </w:tc>
        <w:tc>
          <w:tcPr>
            <w:tcW w:w="3754" w:type="dxa"/>
          </w:tcPr>
          <w:p>
            <w:pPr>
              <w:pStyle w:val="Compact"/>
              <w:spacing w:before="0" w:after="0" w:line="240" w:lineRule="auto"/>
              <w:jc w:val="left"/>
            </w:pPr>
            <w:r>
              <w:rPr>
                <w:sz w:val="17"/>
              </w:rPr>
              <w:t xml:space="preserve">Full all-payer global budget coverage; complete transition from fee-for-service signal</w:t>
            </w:r>
          </w:p>
        </w:tc>
      </w:tr>
    </w:tbl>
    <w:p>
      <w:pPr>
        <w:pStyle w:val="Caption"/>
        <w:spacing w:before="280"/>
      </w:pPr>
      <w:r>
        <w:rPr>
          <w:i/>
          <w:iCs/>
        </w:rPr>
        <w:t xml:space="preserve">Figure T.1 — Vermont Healthcare Transformation Timeline: 2022–2035. Source: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7" w:name="_Toc1066"/>
      <w:r>
        <w:rPr>
          <w:b/>
          <w:bCs/>
          <w:color w:val="161B22"/>
        </w:rPr>
        <w:t xml:space="preserve">The Three Imperatives: Oliver Wyman’s Central Finding</w:t>
      </w:r>
      <w:bookmarkEnd w:id="1067"/>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line="240" w:lineRule="auto"/>
        <w:rPr>
          <w:sz w:val="16"/>
        </w:rPr>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line="240" w:lineRule="auto"/>
        <w:rPr>
          <w:sz w:val="16"/>
        </w:rPr>
      </w:pPr>
    </w:p>
    <w:p>
      <w:pPr>
        <w:pStyle w:val="Heading2"/>
        <w:pBdr>
          <w:top w:val="single" w:sz="6" w:space="10" w:color="C9D2DF"/>
        </w:pBdr>
      </w:pPr>
      <w:r>
        <w:rPr>
          <w:color w:val="161B22"/>
        </w:rPr>
        <w:t xml:space="preserve">2.3  </w:t>
      </w:r>
      <w:bookmarkStart w:id="1068" w:name="_Toc1067"/>
      <w:r>
        <w:rPr>
          <w:b/>
          <w:bCs/>
          <w:color w:val="161B22"/>
        </w:rPr>
        <w:t xml:space="preserve">The Platform for Change: Vermont’s System in Crisis</w:t>
      </w:r>
      <w:bookmarkEnd w:id="1068"/>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9" w:name="_Toc1068"/>
      <w:r>
        <w:rPr>
          <w:b/>
          <w:bCs/>
          <w:color w:val="161B22"/>
        </w:rPr>
        <w:t xml:space="preserve">Decreasing Affordability</w:t>
      </w:r>
      <w:bookmarkEnd w:id="1069"/>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70" w:name="_Toc1069"/>
      <w:r>
        <w:rPr>
          <w:b/>
          <w:bCs/>
          <w:color w:val="161B22"/>
        </w:rPr>
        <w:t xml:space="preserve">Deteriorating Hospital Financial Sustainability</w:t>
      </w:r>
      <w:bookmarkEnd w:id="1070"/>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$948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line="240" w:lineRule="auto"/>
        <w:rPr>
          <w:sz w:val="16"/>
        </w:rPr>
      </w:pPr>
    </w:p>
    <w:p>
      <w:pPr>
        <w:pStyle w:val="Heading3"/>
      </w:pPr>
      <w:r>
        <w:rPr>
          <w:color w:val="161B22"/>
        </w:rPr>
        <w:t xml:space="preserve">2.3.3  </w:t>
      </w:r>
      <w:bookmarkStart w:id="1071" w:name="_Toc1070"/>
      <w:r>
        <w:rPr>
          <w:b/>
          <w:bCs/>
          <w:color w:val="161B22"/>
        </w:rPr>
        <w:t xml:space="preserve">The Demographic Trap</w:t>
      </w:r>
      <w:bookmarkEnd w:id="1071"/>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2" w:name="_Toc1071"/>
      <w:r>
        <w:rPr>
          <w:b/>
          <w:bCs/>
          <w:color w:val="161B22"/>
        </w:rPr>
        <w:t xml:space="preserve">The Interconnected Failure System</w:t>
      </w:r>
      <w:bookmarkEnd w:id="1072"/>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3" w:name="_Toc1072"/>
      <w:r>
        <w:rPr>
          <w:b/>
          <w:bCs/>
          <w:color w:val="161B22"/>
        </w:rPr>
        <w:t xml:space="preserve">Healthcare Equity Gaps</w:t>
      </w:r>
      <w:bookmarkEnd w:id="1073"/>
    </w:p>
    <w:p>
      <w:pPr>
        <w:pStyle w:val="FirstParagraph"/>
      </w:pPr>
      <w: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4" w:name="_Toc1073"/>
      <w:r>
        <w:rPr>
          <w:b/>
          <w:bCs/>
          <w:color w:val="161B22"/>
        </w:rPr>
        <w:t xml:space="preserve">The Perception vs. Reality Problem</w:t>
      </w:r>
      <w:bookmarkEnd w:id="1074"/>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Sources: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5" w:name="_Toc1074"/>
      <w:r>
        <w:rPr>
          <w:b/>
          <w:bCs/>
          <w:color w:val="161B22"/>
        </w:rPr>
        <w:t xml:space="preserve">Act 167 (2022): The Diagnostic Mandate</w:t>
      </w:r>
      <w:bookmarkEnd w:id="1075"/>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6" w:name="_Toc1075"/>
      <w:r>
        <w:rPr>
          <w:b/>
          <w:bCs/>
          <w:color w:val="161B22"/>
        </w:rPr>
        <w:t xml:space="preserve">The Oliver Wyman Process: A Template for System-Level Reform</w:t>
      </w:r>
      <w:bookmarkEnd w:id="1076"/>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7" w:name="_Toc1076"/>
      <w:r>
        <w:rPr>
          <w:b/>
          <w:bCs/>
          <w:color w:val="161B22"/>
        </w:rPr>
        <w:t xml:space="preserve">The Five Act 167 Goals as an Accountability Framework</w:t>
      </w:r>
      <w:bookmarkEnd w:id="1077"/>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line="240" w:lineRule="auto"/>
        <w:rPr>
          <w:sz w:val="16"/>
        </w:rPr>
      </w:pPr>
    </w:p>
    <w:p>
      <w:pPr>
        <w:pStyle w:val="Heading2"/>
        <w:pBdr>
          <w:top w:val="single" w:sz="6" w:space="10" w:color="C9D2DF"/>
        </w:pBdr>
      </w:pPr>
      <w:r>
        <w:rPr>
          <w:color w:val="161B22"/>
        </w:rPr>
        <w:t xml:space="preserve">2.6  </w:t>
      </w:r>
      <w:bookmarkStart w:id="1078" w:name="_Toc1077"/>
      <w:r>
        <w:rPr>
          <w:b/>
          <w:bCs/>
          <w:color w:val="161B22"/>
        </w:rPr>
        <w:t xml:space="preserve">The Oliver Wyman System Redesign Blueprint</w:t>
      </w:r>
      <w:bookmarkEnd w:id="1078"/>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9" w:name="_Toc1078"/>
      <w:r>
        <w:rPr>
          <w:b/>
          <w:bCs/>
          <w:color w:val="161B22"/>
        </w:rPr>
        <w:t xml:space="preserve">State-Level Recommendations: Infrastructure and Governance</w:t>
      </w:r>
      <w:bookmarkEnd w:id="1079"/>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80" w:name="_Toc1079"/>
      <w:r>
        <w:rPr>
          <w:b/>
          <w:bCs/>
          <w:color w:val="161B22"/>
        </w:rPr>
        <w:t xml:space="preserve">System-Level Recommendations: Regionalization</w:t>
      </w:r>
      <w:bookmarkEnd w:id="1080"/>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1" w:name="_Toc1080"/>
      <w:r>
        <w:rPr>
          <w:b/>
          <w:bCs/>
          <w:color w:val="161B22"/>
        </w:rPr>
        <w:t xml:space="preserve">Hospital-Level Recommendations: Repurposing or Closure</w:t>
      </w:r>
      <w:bookmarkEnd w:id="1081"/>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line="240" w:lineRule="auto"/>
        <w:rPr>
          <w:sz w:val="16"/>
        </w:rPr>
      </w:pPr>
    </w:p>
    <w:p>
      <w:pPr>
        <w:pStyle w:val="Heading2"/>
        <w:pBdr>
          <w:top w:val="single" w:sz="6" w:space="10" w:color="C9D2DF"/>
        </w:pBdr>
        <w:keepNext w:val="false"/>
      </w:pPr>
      <w:r>
        <w:rPr>
          <w:color w:val="161B22"/>
        </w:rPr>
        <w:t xml:space="preserve">2.7  </w:t>
      </w:r>
      <w:bookmarkStart w:id="1082" w:name="_Toc1081"/>
      <w:r>
        <w:rPr>
          <w:b/>
          <w:bCs/>
          <w:color w:val="161B22"/>
        </w:rPr>
        <w:t xml:space="preserve">Act 68 (2025): The Operational Mandate</w:t>
      </w:r>
      <w:bookmarkEnd w:id="1082"/>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Act 68 commercial hospital global budgets take effect (FY2028)</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3" w:name="_Toc1082"/>
      <w:r>
        <w:rPr>
          <w:b/>
          <w:bCs/>
          <w:color w:val="161B22"/>
        </w:rPr>
        <w:t xml:space="preserve">The Reference-Based Pricing Architecture</w:t>
      </w:r>
      <w:bookmarkEnd w:id="1083"/>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4" w:name="_Toc1083"/>
      <w:r>
        <w:rPr>
          <w:b/>
          <w:bCs/>
          <w:color w:val="161B22"/>
        </w:rPr>
        <w:t xml:space="preserve">The Global Budget Mandate</w:t>
      </w:r>
      <w:bookmarkEnd w:id="1084"/>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5" w:name="_Toc1084"/>
      <w:r>
        <w:rPr>
          <w:b/>
          <w:bCs/>
          <w:color w:val="161B22"/>
        </w:rPr>
        <w:t xml:space="preserve">The Statewide Health Care Delivery Strategic Plan and AHS Restructuring</w:t>
      </w:r>
      <w:bookmarkEnd w:id="1085"/>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operates under the Global Commitment to Health demonstration</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line="240" w:lineRule="auto"/>
        <w:rPr>
          <w:sz w:val="16"/>
        </w:rPr>
      </w:pPr>
    </w:p>
    <w:p>
      <w:pPr>
        <w:pStyle w:val="Heading2"/>
        <w:pBdr>
          <w:top w:val="single" w:sz="6" w:space="10" w:color="C9D2DF"/>
        </w:pBdr>
      </w:pPr>
      <w:r>
        <w:rPr>
          <w:color w:val="161B22"/>
        </w:rPr>
        <w:t xml:space="preserve">2.8  </w:t>
      </w:r>
      <w:bookmarkStart w:id="1086" w:name="_Toc1085"/>
      <w:r>
        <w:rPr>
          <w:b/>
          <w:bCs/>
          <w:color w:val="161B22"/>
        </w:rPr>
        <w:t xml:space="preserve">The Rural Health Transformation Program: Capital for an Operational Strategy</w:t>
      </w:r>
      <w:bookmarkEnd w:id="1086"/>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7" w:name="_Toc1086"/>
      <w:r>
        <w:rPr>
          <w:b/>
          <w:bCs/>
          <w:color w:val="161B22"/>
        </w:rPr>
        <w:t xml:space="preserve">Cross-State Lessons: What Vermont’s Model Generalizes</w:t>
      </w:r>
      <w:bookmarkEnd w:id="1087"/>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keepNext w:val="false"/>
      </w:pPr>
      <w:r>
        <w:rPr>
          <w:color w:val="161B22"/>
        </w:rPr>
        <w:t xml:space="preserve">2.10  </w:t>
      </w:r>
      <w:bookmarkStart w:id="1088" w:name="_Toc1087"/>
      <w:r>
        <w:rPr>
          <w:b/>
          <w:bCs/>
          <w:color w:val="161B22"/>
        </w:rPr>
        <w:t xml:space="preserve">Work This Chapter on the Platform</w:t>
      </w:r>
      <w:bookmarkEnd w:id="1088"/>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9" w:name="_Toc1088"/>
      <w:r>
        <w:rPr>
          <w:b/>
          <w:bCs/>
          <w:color w:val="161B22"/>
        </w:rPr>
        <w:t xml:space="preserve">Implications for You</w:t>
      </w:r>
      <w:bookmarkEnd w:id="1089"/>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Heading2"/>
        <w:pBdr>
          <w:top w:val="single" w:sz="6" w:space="10" w:color="C9D2DF"/>
        </w:pBdr>
      </w:pPr>
      <w:r>
        <w:rPr>
          <w:color w:val="161B22"/>
        </w:rPr>
        <w:t xml:space="preserve">2.12  </w:t>
      </w:r>
      <w:bookmarkStart w:id="1090" w:name="_Toc1089"/>
      <w:r>
        <w:rPr>
          <w:b/>
          <w:bCs/>
          <w:color w:val="161B22"/>
        </w:rPr>
        <w:t xml:space="preserve">Key Concepts in This Chapter</w:t>
      </w:r>
      <w:bookmarkEnd w:id="1090"/>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t xml:space="preserve"> </w:t>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t xml:space="preserve"> </w:t>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t xml:space="preserve"> </w:t>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t xml:space="preserve"> </w:t>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t xml:space="preserve"> </w:t>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t xml:space="preserve"> </w:t>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1" w:name="_Toc1090"/>
      <w:r>
        <w:rPr>
          <w:b/>
          <w:bCs/>
          <w:color w:val="161B22"/>
        </w:rPr>
        <w:t xml:space="preserve">Chapter 3: The Policy Pillar in Practice — CMMI Models, Waiver Strategy, and the Federal-State Interface</w:t>
      </w:r>
      <w:bookmarkEnd w:id="1091"/>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FirstParagraph"/>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2" w:name="_Toc1091"/>
      <w:r>
        <w:rPr>
          <w:b/>
          <w:bCs/>
          <w:color w:val="161B22"/>
        </w:rPr>
        <w:t xml:space="preserve">From Policy Architecture to Policy Practice</w:t>
      </w:r>
      <w:bookmarkEnd w:id="1092"/>
    </w:p>
    <w:p>
      <w:pPr>
        <w:pStyle w:val="FirstParagraph"/>
      </w:pPr>
      <w: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3" w:name="_Toc1092"/>
      <w:r>
        <w:rPr>
          <w:b/>
          <w:bCs/>
          <w:color w:val="161B22"/>
        </w:rPr>
        <w:t xml:space="preserve">The CMMI Landscape — What Exists, What Works, and What Has Been Discontinued</w:t>
      </w:r>
      <w:bookmarkEnd w:id="1093"/>
    </w:p>
    <w:p>
      <w:pPr>
        <w:pStyle w:val="FirstParagraph"/>
      </w:pPr>
      <w: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4" w:name="_Toc1093"/>
      <w:r>
        <w:rPr>
          <w:b/>
          <w:bCs/>
          <w:color w:val="161B22"/>
        </w:rPr>
        <w:t xml:space="preserve">The CMMI Track Record — An Honest Assessment</w:t>
      </w:r>
      <w:bookmarkEnd w:id="1094"/>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Sources: HTR analysis of CMMI evaluation literature; CMS model documentation.</w:t>
      </w:r>
    </w:p>
    <w:p>
      <w:pPr>
        <w:pStyle w:val="Heading3"/>
        <w:keepNext w:val="false"/>
      </w:pPr>
      <w:r>
        <w:rPr>
          <w:color w:val="161B22"/>
        </w:rPr>
        <w:t xml:space="preserve">3.2.2  </w:t>
      </w:r>
      <w:bookmarkStart w:id="1095" w:name="_Toc1094"/>
      <w:r>
        <w:rPr>
          <w:b/>
          <w:bCs/>
          <w:color w:val="161B22"/>
        </w:rPr>
        <w:t xml:space="preserve">The Current Active CMMI Model Landscape (2026)</w:t>
      </w:r>
      <w:bookmarkEnd w:id="1095"/>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6" w:name="_Toc1095"/>
      <w:r>
        <w:rPr>
          <w:b/>
          <w:bCs/>
          <w:color w:val="161B22"/>
        </w:rPr>
        <w:t xml:space="preserve">Section 1115 Waivers — The State’s Primary Federal Policy Tool</w:t>
      </w:r>
      <w:bookmarkEnd w:id="1096"/>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7" w:name="_Toc1096"/>
      <w:r>
        <w:rPr>
          <w:b/>
          <w:bCs/>
          <w:color w:val="161B22"/>
        </w:rPr>
        <w:t xml:space="preserve">What 1115 Waivers Can and Cannot Do</w:t>
      </w:r>
      <w:bookmarkEnd w:id="1097"/>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8" w:name="_Toc1097"/>
      <w:r>
        <w:rPr>
          <w:b/>
          <w:bCs/>
          <w:color w:val="161B22"/>
        </w:rPr>
        <w:t xml:space="preserve">1115 Waiver Authorities: What States Can Accomplish</w:t>
      </w:r>
      <w:bookmarkEnd w:id="1098"/>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Medicaid global budgets are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9" w:name="_Toc1098"/>
      <w:r>
        <w:rPr>
          <w:b/>
          <w:bCs/>
          <w:color w:val="161B22"/>
        </w:rPr>
        <w:t xml:space="preserve">The Vermont 1115 Waiver Portfolio</w:t>
      </w:r>
      <w:bookmarkEnd w:id="1099"/>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100" w:name="_Toc1099"/>
      <w:r>
        <w:rPr>
          <w:b/>
          <w:bCs/>
          <w:color w:val="161B22"/>
        </w:rPr>
        <w:t xml:space="preserve">Budget Neutrality — The Binding Constraint</w:t>
      </w:r>
      <w:bookmarkEnd w:id="1100"/>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p>
        </w:tc>
      </w:tr>
    </w:tbl>
    <w:p>
      <w:pPr>
        <w:spacing w:after="120" w:line="240" w:lineRule="auto"/>
        <w:rPr>
          <w:sz w:val="16"/>
        </w:rPr>
      </w:pPr>
    </w:p>
    <w:p>
      <w:pPr>
        <w:pStyle w:val="Heading2"/>
        <w:pBdr>
          <w:top w:val="single" w:sz="6" w:space="10" w:color="C9D2DF"/>
        </w:pBdr>
      </w:pPr>
      <w:r>
        <w:rPr>
          <w:color w:val="161B22"/>
        </w:rPr>
        <w:t xml:space="preserve">3.4  </w:t>
      </w:r>
      <w:bookmarkStart w:id="1101" w:name="_Toc1100"/>
      <w:r>
        <w:rPr>
          <w:b/>
          <w:bCs/>
          <w:color w:val="161B22"/>
        </w:rPr>
        <w:t xml:space="preserve">Prior Authorization Reform — The Administrative Pillar of Policy Strategy</w:t>
      </w:r>
      <w:bookmarkEnd w:id="1101"/>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13 hours per week on prior authorization tasks. Prior authorization denials delay care for a substantial share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2" w:name="_Toc1101"/>
      <w:r>
        <w:rPr>
          <w:b/>
          <w:bCs/>
          <w:color w:val="161B22"/>
        </w:rPr>
        <w:t xml:space="preserve">Federal Prior Authorization Reform: What H.R. 1 and CMS Rules Require</w:t>
      </w:r>
      <w:bookmarkEnd w:id="1102"/>
    </w:p>
    <w:p>
      <w:pPr>
        <w:pStyle w:val="FirstParagraph"/>
      </w:pPr>
      <w: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3" w:name="_Toc1102"/>
      <w:r>
        <w:rPr>
          <w:b/>
          <w:bCs/>
          <w:color w:val="161B22"/>
        </w:rPr>
        <w:t xml:space="preserve">Vermont’s Prior Authorization Reform — Act 167’s Provisions</w:t>
      </w:r>
      <w:bookmarkEnd w:id="1103"/>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4" w:name="_Toc1103"/>
      <w:r>
        <w:rPr>
          <w:b/>
          <w:bCs/>
          <w:color w:val="161B22"/>
        </w:rPr>
        <w:t xml:space="preserve">The State-Federal Policy Interface — Navigating the Relationship</w:t>
      </w:r>
      <w:bookmarkEnd w:id="1104"/>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5" w:name="_Toc1104"/>
      <w:r>
        <w:rPr>
          <w:b/>
          <w:bCs/>
          <w:color w:val="161B22"/>
        </w:rPr>
        <w:t xml:space="preserve">Managing Federal Policy Risk — Vermont’s Approach</w:t>
      </w:r>
      <w:bookmarkEnd w:id="1105"/>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6" w:name="_Toc1105"/>
      <w:r>
        <w:rPr>
          <w:b/>
          <w:bCs/>
          <w:color w:val="161B22"/>
        </w:rPr>
        <w:t xml:space="preserve">The Policy Strategy Framework for Healthcare Organizations</w:t>
      </w:r>
      <w:bookmarkEnd w:id="1106"/>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7" w:name="_Toc1106"/>
      <w:r>
        <w:rPr>
          <w:b/>
          <w:bCs/>
          <w:color w:val="161B22"/>
        </w:rPr>
        <w:t xml:space="preserve">The Medicaid Policy Landscape — What H.R. 1 Changes and What It Does Not</w:t>
      </w:r>
      <w:bookmarkEnd w:id="1107"/>
    </w:p>
    <w:p>
      <w:pPr>
        <w:pStyle w:val="FirstParagraph"/>
      </w:pPr>
      <w:r>
        <w:rPr>
          <w:b/>
          <w:bCs/>
        </w:rPr>
        <w:t xml:space="preserve">H.R. 1 (One Big Beautiful Bill Act, July 2025) — Key Healthcare Provisions</w:t>
      </w:r>
    </w:p>
    <w:p>
      <w:pPr>
        <w:numPr>
          <w:ilvl w:val="0"/>
          <w:numId w:val="1007"/>
        </w:numPr>
        <w:keepLines w:val="true"/>
        <w:keepNext w:val="true"/>
      </w:pPr>
      <w:r>
        <w:t xml:space="preserve">$911 billion in Medicaid cuts over 10 years — the largest reduction in federal health spending in American history.</w:t>
      </w:r>
    </w:p>
    <w:p>
      <w:pPr>
        <w:numPr>
          <w:ilvl w:val="0"/>
          <w:numId w:val="1007"/>
        </w:numPr>
        <w:keepLines w:val="true"/>
        <w:keepNext w:val="true"/>
      </w:pPr>
      <w:r>
        <w:t xml:space="preserve">10 million additional Americans projected uninsured by 2034 (CBO estimate).</w:t>
      </w:r>
    </w:p>
    <w:p>
      <w:pPr>
        <w:numPr>
          <w:ilvl w:val="0"/>
          <w:numId w:val="1007"/>
        </w:numPr>
        <w:keepLines w:val="true"/>
        <w:keepNext w:val="true"/>
      </w:pPr>
      <w:r>
        <w:t xml:space="preserve">Work requirements (80 hours/month) for Medicaid expansion enrollees beginning late 2026.</w:t>
      </w:r>
    </w:p>
    <w:p>
      <w:pPr>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8" w:name="_Toc1107"/>
      <w:r>
        <w:rPr>
          <w:b/>
          <w:bCs/>
          <w:color w:val="161B22"/>
        </w:rPr>
        <w:t xml:space="preserve">Policy Strategy for Healthcare Leaders — The Practitioner Framework</w:t>
      </w:r>
      <w:bookmarkEnd w:id="1108"/>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9" w:name="_Toc1108"/>
      <w:r>
        <w:rPr>
          <w:b/>
          <w:bCs/>
          <w:color w:val="161B22"/>
        </w:rPr>
        <w:t xml:space="preserve">The Policy Monitoring Framework</w:t>
      </w:r>
      <w:bookmarkEnd w:id="1109"/>
    </w:p>
    <w:p>
      <w:pPr>
        <w:pStyle w:val="FirstParagraph"/>
      </w:pPr>
      <w:r>
        <w:t xml:space="preserve">Every healthcare organization needs a policy monitoring infrastructure proportionate to its size and regulatory exposure. The minimum viable policy monitoring framework includes four functions:</w:t>
      </w:r>
    </w:p>
    <w:p>
      <w:pPr>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10" w:name="_Toc1109"/>
      <w:r>
        <w:rPr>
          <w:b/>
          <w:bCs/>
          <w:color w:val="161B22"/>
        </w:rPr>
        <w:t xml:space="preserve">The Policy Impact Assessment Framework</w:t>
      </w:r>
      <w:bookmarkEnd w:id="1110"/>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pPr>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numPr>
          <w:ilvl w:val="0"/>
          <w:numId w:val="1009"/>
        </w:numPr>
        <w:keepLines w:val="true"/>
      </w:pPr>
      <w:r>
        <w:t xml:space="preserve">Response strategy: What is the optimal response — compliance roadmap, comment letter participation, CMMI model application, advocacy engagement?</w:t>
      </w:r>
    </w:p>
    <w:p>
      <w:pPr>
        <w:pStyle w:val="FirstParagraph"/>
      </w:pPr>
      <w: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keepNext w:val="false"/>
      </w:pPr>
      <w:r>
        <w:rPr>
          <w:color w:val="161B22"/>
        </w:rPr>
        <w:t xml:space="preserve">3.8  </w:t>
      </w:r>
      <w:bookmarkStart w:id="1111" w:name="_Toc1110"/>
      <w:r>
        <w:rPr>
          <w:b/>
          <w:bCs/>
          <w:color w:val="161B22"/>
        </w:rPr>
        <w:t xml:space="preserve">Work This Chapter on the Platform</w:t>
      </w:r>
      <w:bookmarkEnd w:id="1111"/>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imperatives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2" w:name="_Toc1111"/>
      <w:r>
        <w:rPr>
          <w:b/>
          <w:bCs/>
          <w:color w:val="161B22"/>
        </w:rPr>
        <w:t xml:space="preserve">Implications for You</w:t>
      </w:r>
      <w:bookmarkEnd w:id="1112"/>
    </w:p>
    <w:p>
      <w:pPr>
        <w:pStyle w:val="FirstParagraph"/>
      </w:pPr>
      <w:r>
        <w:t xml:space="preserve">If you are a Vermont hospital executive: Vermont’s Act 68 mandate means your organization will be operating under prospective hospital global budgets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Heading2"/>
        <w:pBdr>
          <w:top w:val="single" w:sz="6" w:space="10" w:color="C9D2DF"/>
        </w:pBdr>
      </w:pPr>
      <w:r>
        <w:rPr>
          <w:color w:val="161B22"/>
        </w:rPr>
        <w:t xml:space="preserve">3.10  </w:t>
      </w:r>
      <w:bookmarkStart w:id="1113" w:name="_Toc1112"/>
      <w:r>
        <w:rPr>
          <w:b/>
          <w:bCs/>
          <w:color w:val="161B22"/>
        </w:rPr>
        <w:t xml:space="preserve">Key Concepts in This Chapter</w:t>
      </w:r>
      <w:bookmarkEnd w:id="1113"/>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t xml:space="preserve"> </w:t>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t xml:space="preserve"> </w:t>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t xml:space="preserve"> </w:t>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t xml:space="preserve"> </w:t>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t xml:space="preserve"> </w:t>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t xml:space="preserve"> </w:t>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t xml:space="preserve"> </w:t>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4" w:name="_Toc1113"/>
      <w:r>
        <w:rPr>
          <w:b/>
          <w:bCs/>
          <w:color w:val="161B22"/>
        </w:rPr>
        <w:t xml:space="preserve">Chapter 4: The Technology Pillar — Data Infrastructure for a Transformed Health System</w:t>
      </w:r>
      <w:bookmarkEnd w:id="1114"/>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FirstParagraph"/>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5" w:name="_Toc1114"/>
      <w:r>
        <w:rPr>
          <w:b/>
          <w:bCs/>
          <w:color w:val="161B22"/>
        </w:rPr>
        <w:t xml:space="preserve">The Technology Pillar: Why Data Infrastructure Is the Foundation of Everything Else</w:t>
      </w:r>
      <w:bookmarkEnd w:id="1115"/>
    </w:p>
    <w:p>
      <w:pPr>
        <w:pStyle w:val="Heading3"/>
        <w:keepNext w:val="false"/>
      </w:pPr>
      <w:r>
        <w:rPr>
          <w:color w:val="161B22"/>
        </w:rPr>
        <w:t xml:space="preserve">4.1.1  </w:t>
      </w:r>
      <w:bookmarkStart w:id="1116" w:name="_Toc1115"/>
      <w:r>
        <w:rPr>
          <w:b/>
          <w:bCs/>
          <w:color w:val="161B22"/>
        </w:rPr>
        <w:t xml:space="preserve">Vermont’s Health Data Infrastructure — Three Layers</w:t>
      </w:r>
      <w:bookmarkEnd w:id="1116"/>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jc w:val="left"/>
            </w:pPr>
            <w:r>
              <w:rPr>
                <w:b/>
                <w:color w:val="FFFFFF"/>
                <w:sz w:val="18"/>
              </w:rPr>
              <w:t xml:space="preserve">Layer</w:t>
            </w:r>
          </w:p>
        </w:tc>
        <w:tc>
          <w:tcPr>
            <w:shd w:val="clear" w:color="auto" w:fill="1B3A6B"/>
            <w:tcW w:w="5835" w:type="dxa"/>
          </w:tcPr>
          <w:p>
            <w:pPr>
              <w:pStyle w:val="Compact"/>
              <w:jc w:val="left"/>
            </w:pPr>
            <w:r>
              <w:rPr>
                <w:b/>
                <w:color w:val="FFFFFF"/>
                <w:sz w:val="18"/>
              </w:rPr>
              <w:t xml:space="preserve">Role in the data stack</w:t>
            </w:r>
          </w:p>
        </w:tc>
      </w:tr>
      <w:tr>
        <w:trPr>
          <w:cantSplit/>
        </w:trPr>
        <w:tc>
          <w:tcPr>
            <w:tcW w:w="3225" w:type="dxa"/>
          </w:tcPr>
          <w:p>
            <w:pPr>
              <w:pStyle w:val="Compact"/>
              <w:jc w:val="left"/>
            </w:pPr>
            <w:r>
              <w:rPr>
                <w:b/>
                <w:bCs/>
                <w:sz w:val="18"/>
              </w:rPr>
              <w:t xml:space="preserve">Layer 1</w:t>
            </w:r>
            <w:r>
              <w:rPr>
                <w:sz w:val="18"/>
              </w:rPr>
              <w:t xml:space="preserve"> </w:t>
            </w:r>
            <w:r>
              <w:rPr>
                <w:sz w:val="18"/>
              </w:rPr>
              <w:t xml:space="preserve">— VHCURES (All-Payer Claims Database)</w:t>
            </w:r>
          </w:p>
        </w:tc>
        <w:tc>
          <w:tcPr>
            <w:tcW w:w="5835" w:type="dxa"/>
          </w:tcPr>
          <w:p>
            <w:pPr>
              <w:pStyle w:val="Compact"/>
              <w:jc w:val="left"/>
            </w:pPr>
            <w:r>
              <w:rPr>
                <w:sz w:val="18"/>
              </w:rPr>
              <w:t xml:space="preserve">Foundation for total-cost-of-care measurement and HEDIS stratification. Gap: race/ethnicity data incomplete in commercial claims.</w:t>
            </w:r>
          </w:p>
        </w:tc>
      </w:tr>
      <w:tr>
        <w:trPr/>
        <w:tc>
          <w:tcPr>
            <w:tcW w:w="3225" w:type="dxa"/>
          </w:tcPr>
          <w:p>
            <w:pPr>
              <w:pStyle w:val="Compact"/>
              <w:jc w:val="left"/>
            </w:pPr>
            <w:r>
              <w:rPr>
                <w:b/>
                <w:bCs/>
                <w:sz w:val="18"/>
              </w:rPr>
              <w:t xml:space="preserve">Layer 2</w:t>
            </w:r>
            <w:r>
              <w:rPr>
                <w:sz w:val="18"/>
              </w:rPr>
              <w:t xml:space="preserve"> </w:t>
            </w:r>
            <w:r>
              <w:rPr>
                <w:sz w:val="18"/>
              </w:rPr>
              <w:t xml:space="preserve">— VITL / VHIE (Health Information Exchange)</w:t>
            </w:r>
          </w:p>
        </w:tc>
        <w:tc>
          <w:tcPr>
            <w:tcW w:w="5835" w:type="dxa"/>
          </w:tcPr>
          <w:p>
            <w:pPr>
              <w:pStyle w:val="Compact"/>
              <w:jc w:val="left"/>
            </w:pPr>
            <w:r>
              <w:rPr>
                <w:sz w:val="18"/>
              </w:rPr>
              <w:t xml:space="preserve">Clinical data substrate — diagnoses, labs, medications, care plans. Voluntary participation means not all providers are connected.</w:t>
            </w:r>
          </w:p>
        </w:tc>
      </w:tr>
      <w:tr>
        <w:trPr>
          <w:cantSplit/>
        </w:trPr>
        <w:tc>
          <w:tcPr>
            <w:tcW w:w="3225" w:type="dxa"/>
          </w:tcPr>
          <w:p>
            <w:pPr>
              <w:pStyle w:val="Compact"/>
              <w:jc w:val="left"/>
            </w:pPr>
            <w:r>
              <w:rPr>
                <w:b/>
                <w:bCs/>
                <w:sz w:val="18"/>
              </w:rPr>
              <w:t xml:space="preserve">Layer 3</w:t>
            </w:r>
            <w:r>
              <w:rPr>
                <w:sz w:val="18"/>
              </w:rPr>
              <w:t xml:space="preserve"> </w:t>
            </w:r>
            <w:r>
              <w:rPr>
                <w:sz w:val="18"/>
              </w:rPr>
              <w:t xml:space="preserve">— AHS-GMCB Analytics Vendor (procurement underway)</w:t>
            </w:r>
          </w:p>
        </w:tc>
        <w:tc>
          <w:tcPr>
            <w:tcW w:w="5835" w:type="dxa"/>
          </w:tcPr>
          <w:p>
            <w:pPr>
              <w:pStyle w:val="Compact"/>
              <w:jc w:val="left"/>
            </w:pPr>
            <w:r>
              <w:rPr>
                <w:sz w:val="18"/>
              </w:rPr>
              <w:t xml:space="preserve">Modeling layer for global budget design, TCOC tracking, risk stratification, and equity monitoring. Act 68 global budgets take effect FY2028.</w:t>
            </w:r>
          </w:p>
        </w:tc>
      </w:tr>
    </w:tbl>
    <w:p>
      <w:pPr>
        <w:pStyle w:val="Caption"/>
        <w:spacing w:before="120"/>
      </w:pPr>
      <w:r>
        <w:rPr>
          <w:i/>
          <w:iCs/>
        </w:rPr>
        <w:t xml:space="preserve">Figure 4.1 — Vermont’s three-layer health data infrastructure. Sources: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7" w:name="_Toc1116"/>
      <w:r>
        <w:rPr>
          <w:b/>
          <w:bCs/>
          <w:color w:val="161B22"/>
        </w:rPr>
        <w:t xml:space="preserve">VHCURES — Vermont’s All-Payer Claims Database</w:t>
      </w:r>
      <w:bookmarkEnd w:id="1117"/>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8" w:name="_Toc1117"/>
      <w:r>
        <w:rPr>
          <w:b/>
          <w:bCs/>
          <w:color w:val="161B22"/>
        </w:rPr>
        <w:t xml:space="preserve">What VHCURES Contains and What It Can Do</w:t>
      </w:r>
      <w:bookmarkEnd w:id="1118"/>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9" w:name="_Toc1118"/>
      <w:r>
        <w:rPr>
          <w:b/>
          <w:bCs/>
          <w:color w:val="161B22"/>
        </w:rPr>
        <w:t xml:space="preserve">VHCURES Limitations — Where the Gaps Are</w:t>
      </w:r>
      <w:bookmarkEnd w:id="1119"/>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Act 68 global budgets require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20" w:name="_Toc1119"/>
      <w:r>
        <w:rPr>
          <w:b/>
          <w:bCs/>
          <w:color w:val="161B22"/>
        </w:rPr>
        <w:t xml:space="preserve">The Vermont HIE — VITL, the Governance Shift, and the Integration Imperative</w:t>
      </w:r>
      <w:bookmarkEnd w:id="1120"/>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1" w:name="_Toc1120"/>
      <w:r>
        <w:rPr>
          <w:b/>
          <w:bCs/>
          <w:color w:val="161B22"/>
        </w:rPr>
        <w:t xml:space="preserve">Perception vs. Reality — What the Exchange Actually Delivers</w:t>
      </w:r>
      <w:bookmarkEnd w:id="1121"/>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numPr>
          <w:ilvl w:val="0"/>
          <w:numId w:val="1010"/>
        </w:numPr>
        <w:keepLines w:val="true"/>
        <w:keepNext w:val="true"/>
      </w:pPr>
      <w:r>
        <w:t xml:space="preserve">Perception: Vermont has a statewide Health Information Exchange, operated under exclusive statutory designation by VITL.</w:t>
      </w:r>
    </w:p>
    <w:p>
      <w:pPr>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line="240" w:lineRule="auto"/>
        <w:rPr>
          <w:sz w:val="16"/>
        </w:rPr>
      </w:pPr>
    </w:p>
    <w:p>
      <w:pPr>
        <w:pStyle w:val="Heading3"/>
      </w:pPr>
      <w:r>
        <w:rPr>
          <w:color w:val="161B22"/>
        </w:rPr>
        <w:t xml:space="preserve">4.3.2  </w:t>
      </w:r>
      <w:bookmarkStart w:id="1122" w:name="_Toc1121"/>
      <w:r>
        <w:rPr>
          <w:b/>
          <w:bCs/>
          <w:color w:val="161B22"/>
        </w:rPr>
        <w:t xml:space="preserve">The 2025 Governance Shift: Act 62 Transfers HIE Authority to DVHA</w:t>
      </w:r>
      <w:bookmarkEnd w:id="1122"/>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3" w:name="_Toc1122"/>
      <w:r>
        <w:rPr>
          <w:b/>
          <w:bCs/>
          <w:color w:val="161B22"/>
        </w:rPr>
        <w:t xml:space="preserve">The Exclusive-Operator Problem — Why the Statutory Monopoly Has to End</w:t>
      </w:r>
      <w:bookmarkEnd w:id="1123"/>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4" w:name="_Toc1123"/>
      <w:r>
        <w:rPr>
          <w:b/>
          <w:bCs/>
          <w:color w:val="161B22"/>
        </w:rPr>
        <w:t xml:space="preserve">The Integration Mandate: One Health Record Per Person</w:t>
      </w:r>
      <w:bookmarkEnd w:id="1124"/>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Act 68 global budgets require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5" w:name="_Toc1124"/>
      <w:r>
        <w:rPr>
          <w:b/>
          <w:bCs/>
          <w:color w:val="161B22"/>
        </w:rPr>
        <w:t xml:space="preserve">The Unified Health Data Space — The Vehicle for the Integration Mandate</w:t>
      </w:r>
      <w:bookmarkEnd w:id="1125"/>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6" w:name="_Toc1125"/>
      <w:r>
        <w:rPr>
          <w:b/>
          <w:bCs/>
          <w:color w:val="161B22"/>
        </w:rPr>
        <w:t xml:space="preserve">The Three-Layer Architecture</w:t>
      </w:r>
      <w:bookmarkEnd w:id="1126"/>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4.4 — The UHDS three-layer architecture. Each layer is dependent on the one below it. Sources: Vermont UHDS Transition Plan; DVHA HIE program documentation.</w:t>
      </w:r>
    </w:p>
    <w:p>
      <w:pPr>
        <w:pStyle w:val="Heading3"/>
      </w:pPr>
      <w:r>
        <w:rPr>
          <w:color w:val="161B22"/>
        </w:rPr>
        <w:t xml:space="preserve">4.3.7  </w:t>
      </w:r>
      <w:bookmarkStart w:id="1127" w:name="_Toc1126"/>
      <w:r>
        <w:rPr>
          <w:b/>
          <w:bCs/>
          <w:color w:val="161B22"/>
        </w:rPr>
        <w:t xml:space="preserve">Why Integration Is the Load-Bearing Element</w:t>
      </w:r>
      <w:bookmarkEnd w:id="1127"/>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8" w:name="_Toc1127"/>
      <w:r>
        <w:rPr>
          <w:b/>
          <w:bCs/>
          <w:color w:val="161B22"/>
        </w:rPr>
        <w:t xml:space="preserve">The MDWAS-First Path and Why Multi-Payer Scaling Is Not Optional</w:t>
      </w:r>
      <w:bookmarkEnd w:id="1128"/>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9" w:name="_Toc1128"/>
      <w:r>
        <w:rPr>
          <w:b/>
          <w:bCs/>
          <w:color w:val="161B22"/>
        </w:rPr>
        <w:t xml:space="preserve">The Privacy Shield</w:t>
      </w:r>
      <w:bookmarkEnd w:id="1129"/>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30" w:name="_Toc1129"/>
      <w:r>
        <w:rPr>
          <w:b/>
          <w:bCs/>
          <w:color w:val="161B22"/>
        </w:rPr>
        <w:t xml:space="preserve">The RHT Dependency</w:t>
      </w:r>
      <w:bookmarkEnd w:id="1130"/>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1" w:name="_Toc1130"/>
      <w:r>
        <w:rPr>
          <w:b/>
          <w:bCs/>
          <w:color w:val="161B22"/>
        </w:rPr>
        <w:t xml:space="preserve">The Statewide EHR Question — Vermont’s Active Feasibility Assessment</w:t>
      </w:r>
      <w:bookmarkEnd w:id="1131"/>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4.5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2" w:name="_Toc1131"/>
      <w:r>
        <w:rPr>
          <w:b/>
          <w:bCs/>
          <w:color w:val="161B22"/>
        </w:rPr>
        <w:t xml:space="preserve">The Vermont Clinically Integrated Network — A New Technology Institution</w:t>
      </w:r>
      <w:bookmarkEnd w:id="1132"/>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3" w:name="_Toc1132"/>
      <w:r>
        <w:rPr>
          <w:b/>
          <w:bCs/>
          <w:color w:val="161B22"/>
        </w:rPr>
        <w:t xml:space="preserve">What a Clinically Integrated Network Does</w:t>
      </w:r>
      <w:bookmarkEnd w:id="1133"/>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4" w:name="_Toc1133"/>
      <w:r>
        <w:rPr>
          <w:b/>
          <w:bCs/>
          <w:color w:val="161B22"/>
        </w:rPr>
        <w:t xml:space="preserve">What the Vermont CIN Will Provide</w:t>
      </w:r>
      <w:bookmarkEnd w:id="1134"/>
    </w:p>
    <w:p>
      <w:pPr>
        <w:pStyle w:val="FirstParagraph"/>
      </w:pPr>
      <w:r>
        <w:t xml:space="preserve">Vermont’s RHT Program application describes the Shared Services initiative — which includes the CIN infrastructure — as providing five specific functions for participating hospitals and providers:</w:t>
      </w:r>
    </w:p>
    <w:p>
      <w:pPr>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5" w:name="_Toc1134"/>
      <w:r>
        <w:rPr>
          <w:b/>
          <w:bCs/>
          <w:color w:val="161B22"/>
        </w:rPr>
        <w:t xml:space="preserve">FHIR Interoperability — The National Standard and Vermont’s Compliance Path</w:t>
      </w:r>
      <w:bookmarkEnd w:id="1135"/>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6" w:name="_Toc1135"/>
      <w:r>
        <w:rPr>
          <w:b/>
          <w:bCs/>
          <w:color w:val="161B22"/>
        </w:rPr>
        <w:t xml:space="preserve">What FHIR Enables That Vermont Currently Cannot Do</w:t>
      </w:r>
      <w:bookmarkEnd w:id="1136"/>
    </w:p>
    <w:p>
      <w:pPr>
        <w:pStyle w:val="FirstParagraph"/>
      </w:pPr>
      <w:r>
        <w:t xml:space="preserve">Vermont’s current health data infrastructure predates widespread FHIR adoption and was built around older data exchange standards. The operational implications are concrete:</w:t>
      </w:r>
    </w:p>
    <w:p>
      <w:pPr>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numPr>
          <w:ilvl w:val="0"/>
          <w:numId w:val="1012"/>
        </w:numPr>
        <w:keepLines w:val="true"/>
        <w:keepNext w:val="true"/>
      </w:pPr>
      <w: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pPr>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7" w:name="_Toc1136"/>
      <w:r>
        <w:rPr>
          <w:b/>
          <w:bCs/>
          <w:color w:val="161B22"/>
        </w:rPr>
        <w:t xml:space="preserve">Vermont’s FHIR Compliance Status</w:t>
      </w:r>
      <w:bookmarkEnd w:id="1137"/>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4.6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8" w:name="_Toc1137"/>
      <w:r>
        <w:rPr>
          <w:b/>
          <w:bCs/>
          <w:color w:val="161B22"/>
        </w:rPr>
        <w:t xml:space="preserve">AI and Digital Health Technologies — Vermont’s Targeted Investment Strategy</w:t>
      </w:r>
      <w:bookmarkEnd w:id="1138"/>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9" w:name="_Toc1138"/>
      <w:r>
        <w:rPr>
          <w:b/>
          <w:bCs/>
          <w:color w:val="161B22"/>
        </w:rPr>
        <w:t xml:space="preserve">AI Scribe Technology: Addressing the Documentation Burden Crisis</w:t>
      </w:r>
      <w:bookmarkEnd w:id="1139"/>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40" w:name="_Toc1139"/>
      <w:r>
        <w:rPr>
          <w:b/>
          <w:bCs/>
          <w:color w:val="161B22"/>
        </w:rPr>
        <w:t xml:space="preserve">Remote Patient Monitoring: Managing Chronic Disease Outside the Hospital</w:t>
      </w:r>
      <w:bookmarkEnd w:id="1140"/>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1" w:name="_Toc1140"/>
      <w:r>
        <w:rPr>
          <w:b/>
          <w:bCs/>
          <w:color w:val="161B22"/>
        </w:rPr>
        <w:t xml:space="preserve">Telehealth: Specialty Access for Rural Vermont</w:t>
      </w:r>
      <w:bookmarkEnd w:id="1141"/>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2" w:name="_Toc1141"/>
      <w:r>
        <w:rPr>
          <w:b/>
          <w:bCs/>
          <w:color w:val="161B22"/>
        </w:rPr>
        <w:t xml:space="preserve">Diagnostic AI: The Emerging Standard of Care</w:t>
      </w:r>
      <w:bookmarkEnd w:id="1142"/>
    </w:p>
    <w:p>
      <w:pPr>
        <w:pStyle w:val="FirstParagraph"/>
      </w:pPr>
      <w: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3" w:name="_Toc1142"/>
      <w:r>
        <w:rPr>
          <w:b/>
          <w:bCs/>
          <w:color w:val="161B22"/>
        </w:rPr>
        <w:t xml:space="preserve">Price Transparency Technology</w:t>
      </w:r>
      <w:bookmarkEnd w:id="1143"/>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4" w:name="_Toc1143"/>
      <w:r>
        <w:rPr>
          <w:b/>
          <w:bCs/>
          <w:color w:val="161B22"/>
        </w:rPr>
        <w:t xml:space="preserve">AI Governance — Vermont’s Responsibility Before the Risk Arrives</w:t>
      </w:r>
      <w:bookmarkEnd w:id="1144"/>
    </w:p>
    <w:p>
      <w:pPr>
        <w:pStyle w:val="FirstParagraph"/>
      </w:pPr>
      <w: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5" w:name="_Toc1144"/>
      <w:r>
        <w:rPr>
          <w:b/>
          <w:bCs/>
          <w:color w:val="161B22"/>
        </w:rPr>
        <w:t xml:space="preserve">Vermont AI Governance Framework: Minimum Requirements</w:t>
      </w:r>
      <w:bookmarkEnd w:id="1145"/>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6" w:name="_Toc1145"/>
      <w:r>
        <w:rPr>
          <w:b/>
          <w:bCs/>
          <w:color w:val="161B22"/>
        </w:rPr>
        <w:t xml:space="preserve">Vermont’s Target Technology Architecture — A Framework for the Strategic Plan</w:t>
      </w:r>
      <w:bookmarkEnd w:id="1146"/>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 Analytics &amp; AI Applications</w:t>
            </w:r>
          </w:p>
        </w:tc>
        <w:tc>
          <w:tcPr>
            <w:tcW w:w="7620" w:type="dxa"/>
          </w:tcPr>
          <w:p>
            <w:pPr>
              <w:numPr>
                <w:ilvl w:val="0"/>
                <w:numId w:val="1014"/>
              </w:numPr>
            </w:pPr>
            <w:r>
              <w:rPr>
                <w:sz w:val="18"/>
              </w:rPr>
              <w:t xml:space="preserve">Population health analytics platform (joint AHS-GMCB vendor): models transformation scenarios, evaluates hospital proposals, tracks outcome metrics</w:t>
            </w:r>
          </w:p>
          <w:p>
            <w:pPr>
              <w:numPr>
                <w:ilvl w:val="0"/>
                <w:numId w:val="1014"/>
              </w:numPr>
            </w:pPr>
            <w:r>
              <w:rPr>
                <w:sz w:val="18"/>
              </w:rPr>
              <w:t xml:space="preserve">AI scribe &amp; documentation automation: RHT grants; CIN enterprise contract</w:t>
            </w:r>
          </w:p>
          <w:p>
            <w:pPr>
              <w:numPr>
                <w:ilvl w:val="0"/>
                <w:numId w:val="1014"/>
              </w:numPr>
            </w:pPr>
            <w:r>
              <w:rPr>
                <w:sz w:val="18"/>
              </w:rPr>
              <w:t xml:space="preserve">Diagnostic AI: network-wide deployment via CIN shared services with shared AI governance</w:t>
            </w:r>
          </w:p>
          <w:p>
            <w:pPr>
              <w:numPr>
                <w:ilvl w:val="0"/>
                <w:numId w:val="1014"/>
              </w:numPr>
            </w:pPr>
            <w:r>
              <w:rPr>
                <w:sz w:val="18"/>
              </w:rPr>
              <w:t xml:space="preserve">Remote patient monitoring: RPM for CHF, COPD, diabetes; community paramedicine integration</w:t>
            </w:r>
          </w:p>
          <w:p>
            <w:pPr>
              <w:numPr>
                <w:ilvl w:val="0"/>
                <w:numId w:val="1014"/>
              </w:numPr>
            </w:pPr>
            <w:r>
              <w:rPr>
                <w:sz w:val="18"/>
              </w:rPr>
              <w:t xml:space="preserve">Price transparency dashboard: GMCB public tool; 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 Health Management</w:t>
            </w:r>
          </w:p>
        </w:tc>
        <w:tc>
          <w:tcPr>
            <w:tcW w:w="7620" w:type="dxa"/>
          </w:tcPr>
          <w:p>
            <w:pPr>
              <w:numPr>
                <w:ilvl w:val="0"/>
                <w:numId w:val="1015"/>
              </w:numPr>
            </w:pPr>
            <w:r>
              <w:rPr>
                <w:sz w:val="18"/>
              </w:rPr>
              <w:t xml:space="preserve">Blueprint clinical data registry: HEDIS measurement, care-gap reporting, population risk stratification</w:t>
            </w:r>
          </w:p>
          <w:p>
            <w:pPr>
              <w:numPr>
                <w:ilvl w:val="0"/>
                <w:numId w:val="1015"/>
              </w:numPr>
            </w:pPr>
            <w:r>
              <w:rPr>
                <w:sz w:val="18"/>
              </w:rPr>
              <w:t xml:space="preserve">Attribution management: patient-to-hospital attribution for hospital global budgets</w:t>
            </w:r>
          </w:p>
          <w:p>
            <w:pPr>
              <w:numPr>
                <w:ilvl w:val="0"/>
                <w:numId w:val="1015"/>
              </w:numPr>
            </w:pPr>
            <w:r>
              <w:rPr>
                <w:sz w:val="18"/>
              </w:rPr>
              <w:t xml:space="preserve">SDOH screening data: Blueprint HRSN results linked to health records</w:t>
            </w:r>
          </w:p>
          <w:p>
            <w:pPr>
              <w:numPr>
                <w:ilvl w:val="0"/>
                <w:numId w:val="1015"/>
              </w:numPr>
            </w:pPr>
            <w:r>
              <w:rPr>
                <w:sz w:val="18"/>
              </w:rPr>
              <w:t xml:space="preserve">Care coordination registry: CHT patient registries; CCBHC 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 Health Record (Target State)</w:t>
            </w:r>
          </w:p>
        </w:tc>
        <w:tc>
          <w:tcPr>
            <w:tcW w:w="7620" w:type="dxa"/>
          </w:tcPr>
          <w:p>
            <w:pPr>
              <w:numPr>
                <w:ilvl w:val="0"/>
                <w:numId w:val="1016"/>
              </w:numPr>
            </w:pPr>
            <w:r>
              <w:rPr>
                <w:sz w:val="18"/>
              </w:rPr>
              <w:t xml:space="preserve">VHCURES–VHIE integration: claims merged with clinical data per HIE Steering Committee mandate</w:t>
            </w:r>
          </w:p>
          <w:p>
            <w:pPr>
              <w:numPr>
                <w:ilvl w:val="0"/>
                <w:numId w:val="1016"/>
              </w:numPr>
            </w:pPr>
            <w:r>
              <w:rPr>
                <w:sz w:val="18"/>
              </w:rPr>
              <w:t xml:space="preserve">Mental health &amp; SUD data integration: 42 CFR Part 2 compliant consent; CCBHC and DA data</w:t>
            </w:r>
          </w:p>
          <w:p>
            <w:pPr>
              <w:numPr>
                <w:ilvl w:val="0"/>
                <w:numId w:val="1016"/>
              </w:numPr>
            </w:pPr>
            <w:r>
              <w:rPr>
                <w:sz w:val="18"/>
              </w:rPr>
              <w:t xml:space="preserve">SDOH data integration: social-service utilization linked to the health record with privacy protections</w:t>
            </w:r>
          </w:p>
          <w:p>
            <w:pPr>
              <w:numPr>
                <w:ilvl w:val="0"/>
                <w:numId w:val="1016"/>
              </w:numPr>
            </w:pPr>
            <w:r>
              <w:rPr>
                <w:sz w:val="18"/>
              </w:rPr>
              <w:t xml:space="preserve">Single patient identity: master patient index across all 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 Infrastructure</w:t>
            </w:r>
          </w:p>
        </w:tc>
        <w:tc>
          <w:tcPr>
            <w:tcW w:w="7620" w:type="dxa"/>
          </w:tcPr>
          <w:p>
            <w:pPr>
              <w:numPr>
                <w:ilvl w:val="0"/>
                <w:numId w:val="1017"/>
              </w:numPr>
            </w:pPr>
            <w:r>
              <w:rPr>
                <w:sz w:val="18"/>
              </w:rPr>
              <w:t xml:space="preserve">Vermont Health Information Exchange (VHIE/VITL): clinical data exchange; connectivity mandated by Act 68</w:t>
            </w:r>
          </w:p>
          <w:p>
            <w:pPr>
              <w:numPr>
                <w:ilvl w:val="0"/>
                <w:numId w:val="1017"/>
              </w:numPr>
            </w:pPr>
            <w:r>
              <w:rPr>
                <w:sz w:val="18"/>
              </w:rPr>
              <w:t xml:space="preserve">FHIR R4 APIs: CMS-mandated payer and provider APIs; expanding to community providers via RHT grants</w:t>
            </w:r>
          </w:p>
          <w:p>
            <w:pPr>
              <w:numPr>
                <w:ilvl w:val="0"/>
                <w:numId w:val="1017"/>
              </w:numPr>
            </w:pPr>
            <w:r>
              <w:rPr>
                <w:sz w:val="18"/>
              </w:rPr>
              <w:t xml:space="preserve">Vermont Clinically Integrated Network: shared data standards, protocols, exchange agreements across 14 hospitals</w:t>
            </w:r>
          </w:p>
          <w:p>
            <w:pPr>
              <w:numPr>
                <w:ilvl w:val="0"/>
                <w:numId w:val="1017"/>
              </w:numPr>
            </w:pPr>
            <w:r>
              <w:rPr>
                <w:sz w:val="18"/>
              </w:rPr>
              <w:t xml:space="preserve">CommonWell / Carequality: national network connectivity 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 Core Data Assets</w:t>
            </w:r>
          </w:p>
        </w:tc>
        <w:tc>
          <w:tcPr>
            <w:tcW w:w="7620" w:type="dxa"/>
          </w:tcPr>
          <w:p>
            <w:pPr>
              <w:numPr>
                <w:ilvl w:val="0"/>
                <w:numId w:val="1018"/>
              </w:numPr>
            </w:pPr>
            <w:r>
              <w:rPr>
                <w:sz w:val="18"/>
              </w:rPr>
              <w:t xml:space="preserve">VHCURES (all-payer claims database): 100% Medicaid/Medicare; 60% commercial; GMCB-managed; Onpoint vendor</w:t>
            </w:r>
          </w:p>
          <w:p>
            <w:pPr>
              <w:numPr>
                <w:ilvl w:val="0"/>
                <w:numId w:val="1018"/>
              </w:numPr>
            </w:pPr>
            <w:r>
              <w:rPr>
                <w:sz w:val="18"/>
              </w:rPr>
              <w:t xml:space="preserve">VUHDDS (hospital discharge database): all 14 hospitals; all inpatient, outpatient, ED discharges</w:t>
            </w:r>
          </w:p>
          <w:p>
            <w:pPr>
              <w:numPr>
                <w:ilvl w:val="0"/>
                <w:numId w:val="1018"/>
              </w:numPr>
            </w:pPr>
            <w:r>
              <w:rPr>
                <w:sz w:val="18"/>
              </w:rPr>
              <w:t xml:space="preserve">EHR systems at 14 hospitals: Epic (UVMMC, CVMC), Oracle Health (others), TruBridge (CAHs), Meditech (others)</w:t>
            </w:r>
          </w:p>
          <w:p>
            <w:pPr>
              <w:numPr>
                <w:ilvl w:val="0"/>
                <w:numId w:val="1018"/>
              </w:numPr>
            </w:pPr>
            <w:r>
              <w:rPr>
                <w:sz w:val="18"/>
              </w:rPr>
              <w:t xml:space="preserve">Blueprint clinical registry: quality-measure data linked to VHCURES for population-level HEDIS</w:t>
            </w:r>
          </w:p>
          <w:p>
            <w:pPr>
              <w:numPr>
                <w:ilvl w:val="0"/>
                <w:numId w:val="1018"/>
              </w:numPr>
            </w:pPr>
            <w:r>
              <w:rPr>
                <w:sz w:val="18"/>
              </w:rPr>
              <w:t xml:space="preserve">GMCB regulatory data: hospital budgets, rate filings, CON decisions, ACO budget data</w:t>
            </w:r>
          </w:p>
        </w:tc>
      </w:tr>
    </w:tbl>
    <w:p>
      <w:pPr>
        <w:pStyle w:val="Caption"/>
        <w:spacing w:before="120"/>
      </w:pPr>
      <w:r>
        <w:rPr>
          <w:i/>
          <w:iCs/>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keepNext w:val="false"/>
      </w:pPr>
      <w:r>
        <w:rPr>
          <w:color w:val="161B22"/>
        </w:rPr>
        <w:t xml:space="preserve">4.9  </w:t>
      </w:r>
      <w:bookmarkStart w:id="1147" w:name="_Toc1146"/>
      <w:r>
        <w:rPr>
          <w:b/>
          <w:bCs/>
          <w:color w:val="161B22"/>
        </w:rPr>
        <w:t xml:space="preserve">Work This Chapter on the Platform</w:t>
      </w:r>
      <w:bookmarkEnd w:id="1147"/>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4.8 — Hands-on platform tools for the Technology Pillar.</w:t>
      </w:r>
    </w:p>
    <w:p>
      <w:pPr>
        <w:pStyle w:val="Heading2"/>
        <w:pBdr>
          <w:top w:val="single" w:sz="6" w:space="10" w:color="C9D2DF"/>
        </w:pBdr>
      </w:pPr>
      <w:r>
        <w:rPr>
          <w:color w:val="161B22"/>
        </w:rPr>
        <w:t xml:space="preserve">4.10  </w:t>
      </w:r>
      <w:bookmarkStart w:id="1148" w:name="_Toc1147"/>
      <w:r>
        <w:rPr>
          <w:b/>
          <w:bCs/>
          <w:color w:val="161B22"/>
        </w:rPr>
        <w:t xml:space="preserve">Implications for You</w:t>
      </w:r>
      <w:bookmarkEnd w:id="1148"/>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Heading2"/>
        <w:pBdr>
          <w:top w:val="single" w:sz="6" w:space="10" w:color="C9D2DF"/>
        </w:pBdr>
      </w:pPr>
      <w:r>
        <w:rPr>
          <w:color w:val="161B22"/>
        </w:rPr>
        <w:t xml:space="preserve">4.11  </w:t>
      </w:r>
      <w:bookmarkStart w:id="1149" w:name="_Toc1148"/>
      <w:r>
        <w:rPr>
          <w:b/>
          <w:bCs/>
          <w:color w:val="161B22"/>
        </w:rPr>
        <w:t xml:space="preserve">Key Concepts in This Chapter</w:t>
      </w:r>
      <w:bookmarkEnd w:id="1149"/>
    </w:p>
    <w:p>
      <w:pPr>
        <w:pStyle w:val="FirstParagraph"/>
        <w:spacing w:before="160" w:after="120"/>
      </w:pPr>
      <w:r>
        <w:rPr>
          <w:rFonts w:ascii="Calibri" w:hAnsi="Calibri"/>
          <w:b/>
          <w:bCs/>
          <w:color w:val="2E74B5"/>
          <w:sz w:val="20"/>
        </w:rPr>
        <w:t xml:space="preserve">VHCURES</w:t>
      </w:r>
      <w:r>
        <w:rPr>
          <w:rFonts w:ascii="Calibri" w:hAnsi="Calibri"/>
          <w:color w:val="000000"/>
          <w:sz w:val="18"/>
        </w:rPr>
        <w:t xml:space="preserve"> </w:t>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t xml:space="preserve"> </w:t>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t xml:space="preserve"> </w:t>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t xml:space="preserve"> </w:t>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t xml:space="preserve"> </w:t>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t xml:space="preserve"> </w:t>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t xml:space="preserve"> </w:t>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t xml:space="preserve"> </w:t>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t xml:space="preserve"> </w:t>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50" w:name="_Toc1149"/>
      <w:r>
        <w:rPr>
          <w:b/>
          <w:bCs/>
          <w:color w:val="161B22"/>
        </w:rPr>
        <w:t xml:space="preserve">Chapter 5: The Technology Pillar in Practice — FHIR, AI Governance, and Clinical Decision Support</w:t>
      </w:r>
      <w:bookmarkEnd w:id="1150"/>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FirstParagraph"/>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1" w:name="_Toc1150"/>
      <w:r>
        <w:rPr>
          <w:b/>
          <w:bCs/>
          <w:color w:val="161B22"/>
        </w:rPr>
        <w:t xml:space="preserve">From Architecture to Implementation</w:t>
      </w:r>
      <w:bookmarkEnd w:id="1151"/>
    </w:p>
    <w:p>
      <w:pPr>
        <w:pStyle w:val="FirstParagraph"/>
      </w:pPr>
      <w: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2" w:name="_Toc1151"/>
      <w:r>
        <w:rPr>
          <w:b/>
          <w:bCs/>
          <w:color w:val="161B22"/>
        </w:rPr>
        <w:t xml:space="preserve">FHIR Implementation — From Standard to Working System</w:t>
      </w:r>
      <w:bookmarkEnd w:id="1152"/>
    </w:p>
    <w:p>
      <w:pPr>
        <w:pStyle w:val="Heading3"/>
      </w:pPr>
      <w:r>
        <w:rPr>
          <w:color w:val="161B22"/>
        </w:rPr>
        <w:t xml:space="preserve">5.2.1  </w:t>
      </w:r>
      <w:bookmarkStart w:id="1153" w:name="_Toc1152"/>
      <w:r>
        <w:rPr>
          <w:b/>
          <w:bCs/>
          <w:color w:val="161B22"/>
        </w:rPr>
        <w:t xml:space="preserve">The FHIR Implementation Reality</w:t>
      </w:r>
      <w:bookmarkEnd w:id="1153"/>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4" w:name="_Toc1153"/>
      <w:r>
        <w:rPr>
          <w:b/>
          <w:bCs/>
          <w:color w:val="161B22"/>
        </w:rPr>
        <w:t xml:space="preserve">The Three FHIR Use Cases Vermont Needs Most</w:t>
      </w:r>
      <w:bookmarkEnd w:id="1154"/>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5" w:name="_Toc1154"/>
      <w:r>
        <w:rPr>
          <w:b/>
          <w:bCs/>
          <w:color w:val="161B22"/>
        </w:rPr>
        <w:t xml:space="preserve">The Master Patient Index — Vermont’s Identity Management Challenge</w:t>
      </w:r>
      <w:bookmarkEnd w:id="1155"/>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line="240" w:lineRule="auto"/>
        <w:rPr>
          <w:sz w:val="16"/>
        </w:rPr>
      </w:pPr>
    </w:p>
    <w:p>
      <w:pPr>
        <w:pStyle w:val="Heading2"/>
        <w:pBdr>
          <w:top w:val="single" w:sz="6" w:space="10" w:color="C9D2DF"/>
        </w:pBdr>
      </w:pPr>
      <w:r>
        <w:rPr>
          <w:color w:val="161B22"/>
        </w:rPr>
        <w:t xml:space="preserve">5.3  </w:t>
      </w:r>
      <w:bookmarkStart w:id="1156" w:name="_Toc1155"/>
      <w:r>
        <w:rPr>
          <w:b/>
          <w:bCs/>
          <w:color w:val="161B22"/>
        </w:rPr>
        <w:t xml:space="preserve">AI Clinical Governance — The Complete Framework</w:t>
      </w:r>
      <w:bookmarkEnd w:id="1156"/>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7" w:name="_Toc1156"/>
      <w:r>
        <w:rPr>
          <w:b/>
          <w:bCs/>
          <w:color w:val="161B22"/>
        </w:rPr>
        <w:t xml:space="preserve">The AI Clinical Governance Lifecycle</w:t>
      </w:r>
      <w:bookmarkEnd w:id="1157"/>
    </w:p>
    <w:p>
      <w:pPr>
        <w:pStyle w:val="FirstParagraph"/>
      </w:pPr>
      <w:r>
        <w:t xml:space="preserve">The AI Clinical Governance Checklist organizes governance requirements across four lifecycle stages:</w:t>
      </w:r>
    </w:p>
    <w:p>
      <w:pPr>
        <w:pStyle w:val="Heading3"/>
      </w:pPr>
      <w:r>
        <w:rPr>
          <w:color w:val="161B22"/>
        </w:rPr>
        <w:t xml:space="preserve">5.3.2  </w:t>
      </w:r>
      <w:bookmarkStart w:id="1158" w:name="_Toc1157"/>
      <w:r>
        <w:rPr>
          <w:b/>
          <w:bCs/>
          <w:color w:val="161B22"/>
        </w:rPr>
        <w:t xml:space="preserve">Stage 1: Pre-Deployment Evaluation</w:t>
      </w:r>
      <w:bookmarkEnd w:id="1158"/>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9" w:name="_Toc1158"/>
      <w:r>
        <w:rPr>
          <w:b/>
          <w:bCs/>
          <w:color w:val="161B22"/>
        </w:rPr>
        <w:t xml:space="preserve">Stage 2: Implementation and Training</w:t>
      </w:r>
      <w:bookmarkEnd w:id="1159"/>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60" w:name="_Toc1159"/>
      <w:r>
        <w:rPr>
          <w:b/>
          <w:bCs/>
          <w:color w:val="161B22"/>
        </w:rPr>
        <w:t xml:space="preserve">Stage 3: Active Monitoring</w:t>
      </w:r>
      <w:bookmarkEnd w:id="1160"/>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1" w:name="_Toc1160"/>
      <w:r>
        <w:rPr>
          <w:b/>
          <w:bCs/>
          <w:color w:val="161B22"/>
        </w:rPr>
        <w:t xml:space="preserve">Stage 4: Vendor Management</w:t>
      </w:r>
      <w:bookmarkEnd w:id="1161"/>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2" w:name="_Toc1161"/>
      <w:r>
        <w:rPr>
          <w:b/>
          <w:bCs/>
          <w:color w:val="161B22"/>
        </w:rPr>
        <w:t xml:space="preserve">AI-Specific Issues for Vermont Rural Hospitals</w:t>
      </w:r>
      <w:bookmarkEnd w:id="1162"/>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3" w:name="_Toc1162"/>
      <w:r>
        <w:rPr>
          <w:b/>
          <w:bCs/>
          <w:color w:val="161B22"/>
        </w:rPr>
        <w:t xml:space="preserve">Clinical Decision Support — From Alerts to Intelligence</w:t>
      </w:r>
      <w:bookmarkEnd w:id="1163"/>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4" w:name="_Toc1163"/>
      <w:r>
        <w:rPr>
          <w:b/>
          <w:bCs/>
          <w:color w:val="161B22"/>
        </w:rPr>
        <w:t xml:space="preserve">Alert Fatigue — The CDS Effectiveness Crisis</w:t>
      </w:r>
      <w:bookmarkEnd w:id="1164"/>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5" w:name="_Toc1164"/>
      <w:r>
        <w:rPr>
          <w:b/>
          <w:bCs/>
          <w:color w:val="161B22"/>
        </w:rPr>
        <w:t xml:space="preserve">Population Health CDS — Vermont’s Priority Application</w:t>
      </w:r>
      <w:bookmarkEnd w:id="1165"/>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the attributed Medicare population; identify the top 5% highest-risk patients for intensive CHT engagement before global budgets take effect</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6" w:name="_Toc1165"/>
      <w:r>
        <w:rPr>
          <w:b/>
          <w:bCs/>
          <w:color w:val="161B22"/>
        </w:rPr>
        <w:t xml:space="preserve">Cybersecurity in Rural Health Infrastructure</w:t>
      </w:r>
      <w:bookmarkEnd w:id="1166"/>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7" w:name="_Toc1166"/>
      <w:r>
        <w:rPr>
          <w:b/>
          <w:bCs/>
          <w:color w:val="161B22"/>
        </w:rPr>
        <w:t xml:space="preserve">The CIN Cybersecurity Shared Services Model</w:t>
      </w:r>
      <w:bookmarkEnd w:id="1167"/>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8" w:name="_Toc1167"/>
      <w:r>
        <w:rPr>
          <w:b/>
          <w:bCs/>
          <w:color w:val="161B22"/>
        </w:rPr>
        <w:t xml:space="preserve">Technology Pillar Implementation Matrix</w:t>
      </w:r>
      <w:bookmarkEnd w:id="1168"/>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9" w:name="_Toc1168"/>
      <w:r>
        <w:rPr>
          <w:b/>
          <w:bCs/>
          <w:color w:val="161B22"/>
        </w:rPr>
        <w:t xml:space="preserve">Work This Chapter on the Platform</w:t>
      </w:r>
      <w:bookmarkEnd w:id="1169"/>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70" w:name="_Toc1169"/>
      <w:r>
        <w:rPr>
          <w:b/>
          <w:bCs/>
          <w:color w:val="161B22"/>
        </w:rPr>
        <w:t xml:space="preserve">Implications for You</w:t>
      </w:r>
      <w:bookmarkEnd w:id="1170"/>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1" w:name="_Toc1170"/>
      <w:r>
        <w:rPr>
          <w:b/>
          <w:bCs/>
          <w:color w:val="161B22"/>
        </w:rPr>
        <w:t xml:space="preserve">Key Concepts in This Chapter</w:t>
      </w:r>
      <w:bookmarkEnd w:id="1171"/>
    </w:p>
    <w:p>
      <w:pPr>
        <w:pStyle w:val="FirstParagraph"/>
        <w:spacing w:before="160" w:after="120"/>
      </w:pPr>
      <w:r>
        <w:rPr>
          <w:rFonts w:ascii="Calibri" w:hAnsi="Calibri"/>
          <w:b/>
          <w:bCs/>
          <w:color w:val="2E74B5"/>
          <w:sz w:val="20"/>
        </w:rPr>
        <w:t xml:space="preserve">FHIR R4</w:t>
      </w:r>
      <w:r>
        <w:rPr>
          <w:rFonts w:ascii="Calibri" w:hAnsi="Calibri"/>
          <w:color w:val="000000"/>
          <w:sz w:val="18"/>
        </w:rPr>
        <w:t xml:space="preserve"> </w:t>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t xml:space="preserve"> </w:t>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t xml:space="preserve"> </w:t>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t xml:space="preserve"> </w:t>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t xml:space="preserve"> </w:t>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t xml:space="preserve"> </w:t>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t xml:space="preserve"> </w:t>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t xml:space="preserve"> </w:t>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2" w:name="_Toc1171"/>
      <w:r>
        <w:rPr>
          <w:b/>
          <w:bCs/>
          <w:color w:val="161B22"/>
        </w:rPr>
        <w:t xml:space="preserve">Chapter 6: The Economics Pillar — Global Budgets, Reference-Based Pricing, and Financial Reform</w:t>
      </w:r>
      <w:bookmarkEnd w:id="1172"/>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FirstParagraph"/>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3" w:name="_Toc1172"/>
      <w:r>
        <w:rPr>
          <w:b/>
          <w:bCs/>
          <w:color w:val="161B22"/>
        </w:rPr>
        <w:t xml:space="preserve">The Economics Pillar: Why Payment Reform Is the Master Variable</w:t>
      </w:r>
      <w:bookmarkEnd w:id="1173"/>
    </w:p>
    <w:p>
      <w:pPr>
        <w:pStyle w:val="FirstParagraph"/>
      </w:pPr>
      <w:r>
        <w:t xml:space="preserve">Of the five pillars in the five-pillar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4" w:name="_Toc1173"/>
      <w:r>
        <w:rPr>
          <w:b/>
          <w:bCs/>
          <w:color w:val="161B22"/>
        </w:rPr>
        <w:t xml:space="preserve">The Fee-for-Service Trap — Why the Current System Fails</w:t>
      </w:r>
      <w:bookmarkEnd w:id="1174"/>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5" w:name="_Toc1174"/>
      <w:r>
        <w:rPr>
          <w:b/>
          <w:bCs/>
          <w:color w:val="161B22"/>
        </w:rPr>
        <w:t xml:space="preserve">The Volume Incentive Problem</w:t>
      </w:r>
      <w:bookmarkEnd w:id="1175"/>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6" w:name="_Toc1175"/>
      <w:r>
        <w:rPr>
          <w:b/>
          <w:bCs/>
          <w:color w:val="161B22"/>
        </w:rPr>
        <w:t xml:space="preserve">The Price Extraction Problem</w:t>
      </w:r>
      <w:bookmarkEnd w:id="117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Average commercial-to-Medicare ratio, Vermont hospitals 250–300% vs. ~136% break-even point</w:t>
            </w:r>
          </w:p>
        </w:tc>
        <w:tc>
          <w:tcPr>
            <w:shd w:val="clear" w:color="auto" w:fill="EDF2F9"/>
            <w:tcW w:w="4536" w:type="dxa"/>
          </w:tcPr>
          <w:p>
            <w:pPr>
              <w:pStyle w:val="Compact"/>
              <w:jc w:val="left"/>
            </w:pPr>
            <w:r>
              <w:rPr>
                <w:b/>
                <w:color w:val="111111"/>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lef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lef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lef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lef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lef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lef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left"/>
            </w:pPr>
            <w:r>
              <w:rPr>
                <w:sz w:val="18"/>
              </w:rPr>
              <w:t xml:space="preserve">$948</w:t>
            </w:r>
          </w:p>
        </w:tc>
      </w:tr>
    </w:tbl>
    <w:p>
      <w:pPr>
        <w:pStyle w:val="Caption"/>
        <w:spacing w:before="120"/>
      </w:pPr>
      <w:r>
        <w:rPr>
          <w:i/>
          <w:iCs/>
        </w:rPr>
        <w:t xml:space="preserve">Figure 6.2 — Vermont silver marketplace premium trajectory 2018–2024, showing 108% increase over six years. Sources: Oliver Wyman Act 167 Report; GMCB analysis.</w:t>
      </w:r>
    </w:p>
    <w:p>
      <w:pPr>
        <w:pStyle w:val="Heading3"/>
      </w:pPr>
      <w:r>
        <w:rPr>
          <w:color w:val="161B22"/>
        </w:rPr>
        <w:t xml:space="preserve">6.2.3  </w:t>
      </w:r>
      <w:bookmarkStart w:id="1177" w:name="_Toc1176"/>
      <w:r>
        <w:rPr>
          <w:b/>
          <w:bCs/>
          <w:color w:val="161B22"/>
        </w:rPr>
        <w:t xml:space="preserve">The Cross-Subsidy Collapse</w:t>
      </w:r>
      <w:bookmarkEnd w:id="1177"/>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line="240" w:lineRule="auto"/>
        <w:rPr>
          <w:sz w:val="16"/>
        </w:rPr>
      </w:pPr>
    </w:p>
    <w:p>
      <w:pPr>
        <w:pStyle w:val="Heading2"/>
        <w:pBdr>
          <w:top w:val="single" w:sz="6" w:space="10" w:color="C9D2DF"/>
        </w:pBdr>
      </w:pPr>
      <w:r>
        <w:rPr>
          <w:color w:val="161B22"/>
        </w:rPr>
        <w:t xml:space="preserve">6.3  </w:t>
      </w:r>
      <w:bookmarkStart w:id="1178" w:name="_Toc1177"/>
      <w:r>
        <w:rPr>
          <w:b/>
          <w:bCs/>
          <w:color w:val="161B22"/>
        </w:rPr>
        <w:t xml:space="preserve">Reference-Based Pricing — Mechanics, Evidence, and Vermont’s Design</w:t>
      </w:r>
      <w:bookmarkEnd w:id="1178"/>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9" w:name="_Toc1178"/>
      <w:r>
        <w:rPr>
          <w:b/>
          <w:bCs/>
          <w:color w:val="161B22"/>
        </w:rPr>
        <w:t xml:space="preserve">How RBP Works: The Mechanism</w:t>
      </w:r>
      <w:bookmarkEnd w:id="1179"/>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numPr>
          <w:ilvl w:val="0"/>
          <w:numId w:val="1019"/>
        </w:numPr>
        <w:keepLines w:val="true"/>
        <w:keepNext w:val="true"/>
      </w:pPr>
      <w:r>
        <w:t xml:space="preserve">Mandatory, not voluntary — every hospital, every commercial payer, by FY2027</w:t>
      </w:r>
    </w:p>
    <w:p>
      <w:pPr>
        <w:numPr>
          <w:ilvl w:val="0"/>
          <w:numId w:val="1019"/>
        </w:numPr>
        <w:keepLines w:val="true"/>
        <w:keepNext w:val="true"/>
      </w:pPr>
      <w:r>
        <w:t xml:space="preserve">Binding ceiling, not advisory guidance — hospitals cannot charge or collect more than the established rate</w:t>
      </w:r>
    </w:p>
    <w:p>
      <w:pPr>
        <w:numPr>
          <w:ilvl w:val="0"/>
          <w:numId w:val="1019"/>
        </w:numPr>
        <w:keepLines w:val="true"/>
        <w:keepNext w:val="true"/>
      </w:pPr>
      <w:r>
        <w:t xml:space="preserve">Transparent benchmark — Medicare rates provide a nationally comparable, publicly available anchor</w:t>
      </w:r>
    </w:p>
    <w:p>
      <w:pPr>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80" w:name="_Toc1179"/>
      <w:r>
        <w:rPr>
          <w:b/>
          <w:bCs/>
          <w:color w:val="161B22"/>
        </w:rPr>
        <w:t xml:space="preserve">The Evidence Base: Cross-State Results</w:t>
      </w:r>
      <w:bookmarkEnd w:id="1180"/>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1" w:name="_Toc1180"/>
      <w:r>
        <w:rPr>
          <w:b/>
          <w:bCs/>
          <w:color w:val="161B22"/>
        </w:rPr>
        <w:t xml:space="preserve">What RBP Does — and What It Does Not Do</w:t>
      </w:r>
      <w:bookmarkEnd w:id="1181"/>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numPr>
          <w:ilvl w:val="0"/>
          <w:numId w:val="1020"/>
        </w:numPr>
        <w:keepLines w:val="true"/>
        <w:keepNext w:val="true"/>
      </w:pPr>
      <w:r>
        <w:t xml:space="preserve">Reduce hospital leverage to demand excessive prices from commercial payers</w:t>
      </w:r>
    </w:p>
    <w:p>
      <w:pPr>
        <w:numPr>
          <w:ilvl w:val="0"/>
          <w:numId w:val="1020"/>
        </w:numPr>
        <w:keepLines w:val="true"/>
        <w:keepNext w:val="true"/>
      </w:pPr>
      <w:r>
        <w:t xml:space="preserve">Narrow unjustified price variation across hospitals for the same service</w:t>
      </w:r>
    </w:p>
    <w:p>
      <w:pPr>
        <w:numPr>
          <w:ilvl w:val="0"/>
          <w:numId w:val="1020"/>
        </w:numPr>
        <w:keepLines w:val="true"/>
        <w:keepNext w:val="true"/>
      </w:pPr>
      <w:r>
        <w:t xml:space="preserve">Protect patient affordability by establishing binding price ceilings</w:t>
      </w:r>
    </w:p>
    <w:p>
      <w:pPr>
        <w:numPr>
          <w:ilvl w:val="0"/>
          <w:numId w:val="1020"/>
        </w:numPr>
        <w:keepLines w:val="true"/>
        <w:keepNext w:val="true"/>
      </w:pPr>
      <w:r>
        <w:t xml:space="preserve">Limit monopolistic pricing power in concentrated markets</w:t>
      </w:r>
    </w:p>
    <w:p>
      <w:pPr>
        <w:numPr>
          <w:ilvl w:val="0"/>
          <w:numId w:val="1020"/>
        </w:numPr>
        <w:keepLines w:val="true"/>
        <w:keepNext w:val="true"/>
      </w:pPr>
      <w:r>
        <w:t xml:space="preserve">Incentivize operational efficiencies over price increases as the margin lever</w:t>
      </w:r>
    </w:p>
    <w:p>
      <w:pPr>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numPr>
          <w:ilvl w:val="0"/>
          <w:numId w:val="1021"/>
        </w:numPr>
        <w:keepLines w:val="true"/>
        <w:keepNext w:val="true"/>
      </w:pPr>
      <w:r>
        <w:t xml:space="preserve">Control total hospital spending — only the price component, not volume</w:t>
      </w:r>
    </w:p>
    <w:p>
      <w:pPr>
        <w:numPr>
          <w:ilvl w:val="0"/>
          <w:numId w:val="1021"/>
        </w:numPr>
        <w:keepLines w:val="true"/>
        <w:keepNext w:val="true"/>
      </w:pPr>
      <w:r>
        <w:t xml:space="preserve">Guarantee savings pass-through to consumers without explicit monitoring requirements</w:t>
      </w:r>
    </w:p>
    <w:p>
      <w:pPr>
        <w:numPr>
          <w:ilvl w:val="0"/>
          <w:numId w:val="1021"/>
        </w:numPr>
        <w:keepLines w:val="true"/>
        <w:keepNext w:val="true"/>
      </w:pPr>
      <w:r>
        <w:t xml:space="preserve">Restructure incentives around prevention or population health</w:t>
      </w:r>
    </w:p>
    <w:p>
      <w:pPr>
        <w:numPr>
          <w:ilvl w:val="0"/>
          <w:numId w:val="1021"/>
        </w:numPr>
        <w:keepLines w:val="true"/>
        <w:keepNext w:val="true"/>
      </w:pPr>
      <w:r>
        <w:t xml:space="preserve">Guarantee hospital efficiency, sustainability, or quality performance</w:t>
      </w:r>
    </w:p>
    <w:p>
      <w:pPr>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2" w:name="_Toc1181"/>
      <w:r>
        <w:rPr>
          <w:b/>
          <w:bCs/>
          <w:color w:val="161B22"/>
        </w:rPr>
        <w:t xml:space="preserve">Vermont’s Phased Implementation Timeline</w:t>
      </w:r>
      <w:bookmarkEnd w:id="1182"/>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3" w:name="_Toc1182"/>
      <w:r>
        <w:rPr>
          <w:b/>
          <w:bCs/>
          <w:color w:val="161B22"/>
        </w:rPr>
        <w:t xml:space="preserve">Hospital Global Budgets — Architecture, History, and Vermont’s Mandate</w:t>
      </w:r>
      <w:bookmarkEnd w:id="1183"/>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4" w:name="_Toc1183"/>
      <w:r>
        <w:rPr>
          <w:b/>
          <w:bCs/>
          <w:color w:val="161B22"/>
        </w:rPr>
        <w:t xml:space="preserve">The Economic Logic: Flipping the Incentive</w:t>
      </w:r>
      <w:bookmarkEnd w:id="1184"/>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5" w:name="_Toc1184"/>
      <w:r>
        <w:rPr>
          <w:b/>
          <w:bCs/>
          <w:color w:val="161B22"/>
        </w:rPr>
        <w:t xml:space="preserve">Five Design Dimensions Every Global Budget Must Resolve</w:t>
      </w:r>
      <w:bookmarkEnd w:id="1185"/>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Sources: GMCB Act 68 Update (February 2026); Act 68 of 2025.</w:t>
      </w:r>
    </w:p>
    <w:p>
      <w:pPr>
        <w:pStyle w:val="Heading3"/>
        <w:keepNext w:val="false"/>
      </w:pPr>
      <w:r>
        <w:rPr>
          <w:color w:val="161B22"/>
        </w:rPr>
        <w:t xml:space="preserve">6.4.3  </w:t>
      </w:r>
      <w:bookmarkStart w:id="1186" w:name="_Toc1185"/>
      <w:r>
        <w:rPr>
          <w:b/>
          <w:bCs/>
          <w:color w:val="161B22"/>
        </w:rPr>
        <w:t xml:space="preserve">Vermont’s Global Budget History: Four Attempts, One Lesson</w:t>
      </w:r>
      <w:bookmarkEnd w:id="1186"/>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7" w:name="_Toc1186"/>
      <w:r>
        <w:rPr>
          <w:b/>
          <w:bCs/>
          <w:color w:val="161B22"/>
        </w:rPr>
        <w:t xml:space="preserve">Maryland — A Decade of Global Budget Evidence</w:t>
      </w:r>
      <w:bookmarkEnd w:id="1187"/>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8" w:name="_Toc1187"/>
      <w:r>
        <w:rPr>
          <w:b/>
          <w:bCs/>
          <w:color w:val="161B22"/>
        </w:rPr>
        <w:t xml:space="preserve">Maryland All-Payer Model — A Decade of Evidence</w:t>
      </w:r>
      <w:bookmarkEnd w:id="1188"/>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Global budgets without primary care investment reduce volume without improving population health — a gap Vermont now addresses with the time-limited Rural Health Transformation Program.</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9" w:name="_Toc1188"/>
      <w:r>
        <w:rPr>
          <w:b/>
          <w:bCs/>
          <w:color w:val="161B22"/>
        </w:rPr>
        <w:t xml:space="preserve">The Maryland Architecture</w:t>
      </w:r>
      <w:bookmarkEnd w:id="1189"/>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90" w:name="_Toc1189"/>
      <w:r>
        <w:rPr>
          <w:b/>
          <w:bCs/>
          <w:color w:val="161B22"/>
        </w:rPr>
        <w:t xml:space="preserve">The Results</w:t>
      </w:r>
      <w:bookmarkEnd w:id="1190"/>
    </w:p>
    <w:p>
      <w:pPr>
        <w:pStyle w:val="FirstParagraph"/>
        <w:keepNext w:val="false"/>
      </w:pPr>
      <w:r>
        <w:t xml:space="preserve">The evidence from Maryland’s global budget model is substantial and consistent across multiple independent evaluations: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Medicare hospital savings to date $1.4B vs. projected national trend (HSCRC)</w:t>
            </w:r>
          </w:p>
        </w:tc>
        <w:tc>
          <w:tcPr>
            <w:shd w:val="clear" w:color="auto" w:fill="EDF2F9"/>
            <w:tcW w:w="4536" w:type="dxa"/>
          </w:tcPr>
          <w:p>
            <w:pPr>
              <w:pStyle w:val="Compact"/>
              <w:jc w:val="left"/>
            </w:pPr>
            <w:r>
              <w:rPr>
                <w:b/>
                <w:color w:val="111111"/>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1" w:name="_Toc1190"/>
      <w:r>
        <w:rPr>
          <w:b/>
          <w:bCs/>
          <w:color w:val="161B22"/>
        </w:rPr>
        <w:t xml:space="preserve">The Limitations — What Maryland Teaches About What Global Budgets Cannot Do Alone</w:t>
      </w:r>
      <w:bookmarkEnd w:id="1191"/>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92" w:name="_Toc1191"/>
      <w:r>
        <w:rPr>
          <w:b/>
          <w:bCs/>
          <w:color w:val="161B22"/>
        </w:rPr>
        <w:t xml:space="preserve">The AHEAD Model — Medicare’s Entry That Vermont Signed, Then Withdrew</w:t>
      </w:r>
      <w:bookmarkEnd w:id="1192"/>
    </w:p>
    <w:p>
      <w:pPr>
        <w:pStyle w:val="FirstParagraph"/>
      </w:pPr>
      <w: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$195-million-per-year Rural Health Transformation Program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pPr>
        <w:pStyle w:val="Heading2"/>
        <w:pBdr>
          <w:top w:val="single" w:sz="6" w:space="10" w:color="C9D2DF"/>
        </w:pBdr>
      </w:pPr>
      <w:r>
        <w:rPr>
          <w:color w:val="161B22"/>
        </w:rPr>
        <w:t xml:space="preserve">6.7  </w:t>
      </w:r>
      <w:bookmarkStart w:id="1193" w:name="_Toc1192"/>
      <w:r>
        <w:rPr>
          <w:b/>
          <w:bCs/>
          <w:color w:val="161B22"/>
        </w:rPr>
        <w:t xml:space="preserve">Hospital Financial Modeling — Reading the Numbers That Matter</w:t>
      </w:r>
      <w:bookmarkEnd w:id="1193"/>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4" w:name="_Toc1193"/>
      <w:r>
        <w:rPr>
          <w:b/>
          <w:bCs/>
          <w:color w:val="161B22"/>
        </w:rPr>
        <w:t xml:space="preserve">The Oliver Wyman Projection Scenarios</w:t>
      </w:r>
      <w:bookmarkEnd w:id="1194"/>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6.8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5" w:name="_Toc1194"/>
      <w:r>
        <w:rPr>
          <w:b/>
          <w:bCs/>
          <w:color w:val="161B22"/>
        </w:rPr>
        <w:t xml:space="preserve">Reading the Metrics That Actually Matter Under Global Budgets</w:t>
      </w:r>
      <w:bookmarkEnd w:id="1195"/>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6.9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6" w:name="_Toc1195"/>
      <w:r>
        <w:rPr>
          <w:b/>
          <w:bCs/>
          <w:color w:val="161B22"/>
        </w:rPr>
        <w:t xml:space="preserve">The Savings Roadmap: Where Vermont’s $400M+ Can Come From</w:t>
      </w:r>
      <w:bookmarkEnd w:id="1196"/>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&amp; indirect savings (5-year total)</w:t>
            </w:r>
          </w:p>
        </w:tc>
        <w:tc>
          <w:tcPr>
            <w:shd w:val="clear" w:color="auto" w:fill="1B3A6B"/>
            <w:tcW w:w="1116" w:type="dxa"/>
          </w:tcPr>
          <w:p>
            <w:pPr>
              <w:pStyle w:val="Compact"/>
              <w:jc w:val="lef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lef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lef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lef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lef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left"/>
            </w:pPr>
            <w:r>
              <w:rPr>
                <w:sz w:val="18"/>
              </w:rPr>
              <w:t xml:space="preserve">$80M+</w:t>
            </w:r>
          </w:p>
        </w:tc>
      </w:tr>
    </w:tbl>
    <w:p>
      <w:pPr>
        <w:pStyle w:val="Caption"/>
        <w:spacing w:before="120"/>
      </w:pPr>
      <w:r>
        <w:rPr>
          <w:i/>
          <w:iCs/>
        </w:rPr>
        <w:t xml:space="preserve">Figure 6.10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7" w:name="_Toc1196"/>
      <w:r>
        <w:rPr>
          <w:b/>
          <w:bCs/>
          <w:color w:val="161B22"/>
        </w:rPr>
        <w:t xml:space="preserve">APM Transition Strategy for Vermont Healthcare Organizations</w:t>
      </w:r>
      <w:bookmarkEnd w:id="1197"/>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8" w:name="_Toc1197"/>
      <w:r>
        <w:rPr>
          <w:b/>
          <w:bCs/>
          <w:color w:val="161B22"/>
        </w:rPr>
        <w:t xml:space="preserve">The Three-Phase Transition Model</w:t>
      </w:r>
      <w:bookmarkEnd w:id="1198"/>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Act 68 hospital global budgets take effect FY2028</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6.11 — Three-phase APM transition model for Vermont healthcare organizations.</w:t>
      </w:r>
    </w:p>
    <w:p>
      <w:pPr>
        <w:pStyle w:val="Heading3"/>
      </w:pPr>
      <w:r>
        <w:rPr>
          <w:color w:val="161B22"/>
        </w:rPr>
        <w:t xml:space="preserve">6.8.2  </w:t>
      </w:r>
      <w:bookmarkStart w:id="1199" w:name="_Toc1198"/>
      <w:r>
        <w:rPr>
          <w:b/>
          <w:bCs/>
          <w:color w:val="161B22"/>
        </w:rPr>
        <w:t xml:space="preserve">The VBC Readiness Assessment in a Global Budget Context</w:t>
      </w:r>
      <w:bookmarkEnd w:id="1199"/>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BodyText"/>
      </w:pPr>
      <w: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keepNext w:val="false"/>
      </w:pPr>
      <w:r>
        <w:rPr>
          <w:color w:val="161B22"/>
        </w:rPr>
        <w:t xml:space="preserve">6.9  </w:t>
      </w:r>
      <w:bookmarkStart w:id="1200" w:name="_Toc1199"/>
      <w:r>
        <w:rPr>
          <w:b/>
          <w:bCs/>
          <w:color w:val="161B22"/>
        </w:rPr>
        <w:t xml:space="preserve">Work This Chapter on the Platform</w:t>
      </w:r>
      <w:bookmarkEnd w:id="1200"/>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6.12 — Hands-on platform tools for the Economics Pillar.</w:t>
      </w:r>
    </w:p>
    <w:p>
      <w:pPr>
        <w:pStyle w:val="Heading2"/>
        <w:pBdr>
          <w:top w:val="single" w:sz="6" w:space="10" w:color="C9D2DF"/>
        </w:pBdr>
      </w:pPr>
      <w:r>
        <w:rPr>
          <w:color w:val="161B22"/>
        </w:rPr>
        <w:t xml:space="preserve">6.10  </w:t>
      </w:r>
      <w:bookmarkStart w:id="1201" w:name="_Toc1200"/>
      <w:r>
        <w:rPr>
          <w:b/>
          <w:bCs/>
          <w:color w:val="161B22"/>
        </w:rPr>
        <w:t xml:space="preserve">Implications for You</w:t>
      </w:r>
      <w:bookmarkEnd w:id="1201"/>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Rural Health Transformation Program — $195 million per year for five years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Heading2"/>
        <w:pBdr>
          <w:top w:val="single" w:sz="6" w:space="10" w:color="C9D2DF"/>
        </w:pBdr>
      </w:pPr>
      <w:r>
        <w:rPr>
          <w:color w:val="161B22"/>
        </w:rPr>
        <w:t xml:space="preserve">6.11  </w:t>
      </w:r>
      <w:bookmarkStart w:id="1202" w:name="_Toc1201"/>
      <w:r>
        <w:rPr>
          <w:b/>
          <w:bCs/>
          <w:color w:val="161B22"/>
        </w:rPr>
        <w:t xml:space="preserve">Key Concepts in This Chapter</w:t>
      </w:r>
      <w:bookmarkEnd w:id="1202"/>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t xml:space="preserve"> </w:t>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t xml:space="preserve"> </w:t>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t xml:space="preserve"> </w:t>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t xml:space="preserve"> </w:t>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t xml:space="preserve"> </w:t>
      </w:r>
      <w:r>
        <w:rPr>
          <w:rFonts w:ascii="Calibri" w:hAnsi="Calibri"/>
          <w:color w:val="000000"/>
          <w:sz w:val="18"/>
        </w:rPr>
        <w:t xml:space="preserve">Equity, Access, and Statewide Transformation Fund — the component of Vermont’s AHEAD State Agreement that was to provide up to $150M annually in additional Medicare funds for investment in primary care, behavioral health, home health, and long-term care. A subsequent CMS renegotiation cut this expectation to a ~$10M cap, and Vermont withdrew from AHEAD in July 2026 before ever receiving it.</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t xml:space="preserve"> </w:t>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t xml:space="preserve"> </w:t>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3" w:name="_Toc1202"/>
      <w:r>
        <w:rPr>
          <w:b/>
          <w:bCs/>
          <w:color w:val="161B22"/>
        </w:rPr>
        <w:t xml:space="preserve">Chapter 7: The Economics Pillar in Practice — VBC Financial Modeling and APM Readiness</w:t>
      </w:r>
      <w:bookmarkEnd w:id="1203"/>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FirstParagraph"/>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4" w:name="_Toc1203"/>
      <w:r>
        <w:rPr>
          <w:b/>
          <w:bCs/>
          <w:color w:val="161B22"/>
        </w:rPr>
        <w:t xml:space="preserve">From Payment Architecture to Financial Practice</w:t>
      </w:r>
      <w:bookmarkEnd w:id="1204"/>
    </w:p>
    <w:p>
      <w:pPr>
        <w:pStyle w:val="FirstParagraph"/>
      </w:pPr>
      <w: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5" w:name="_Toc1204"/>
      <w:r>
        <w:rPr>
          <w:b/>
          <w:bCs/>
          <w:color w:val="161B22"/>
        </w:rPr>
        <w:t xml:space="preserve">The APM Financial Modeling Framework</w:t>
      </w:r>
      <w:bookmarkEnd w:id="1205"/>
    </w:p>
    <w:p>
      <w:pPr>
        <w:pStyle w:val="Heading3"/>
      </w:pPr>
      <w:r>
        <w:rPr>
          <w:color w:val="161B22"/>
        </w:rPr>
        <w:t xml:space="preserve">7.2.1  </w:t>
      </w:r>
      <w:bookmarkStart w:id="1206" w:name="_Toc1205"/>
      <w:r>
        <w:rPr>
          <w:b/>
          <w:bCs/>
          <w:color w:val="161B22"/>
        </w:rPr>
        <w:t xml:space="preserve">Understanding Benchmarks — The Foundation of VBC Economics</w:t>
      </w:r>
      <w:bookmarkEnd w:id="1206"/>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7" w:name="_Toc1206"/>
      <w:r>
        <w:rPr>
          <w:b/>
          <w:bCs/>
          <w:color w:val="161B22"/>
        </w:rPr>
        <w:t xml:space="preserve">Historical Spending Baseline</w:t>
      </w:r>
      <w:bookmarkEnd w:id="1207"/>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global budgets.</w:t>
            </w:r>
          </w:p>
        </w:tc>
      </w:tr>
    </w:tbl>
    <w:p>
      <w:pPr>
        <w:spacing w:after="120" w:line="240" w:lineRule="auto"/>
        <w:rPr>
          <w:sz w:val="16"/>
        </w:rPr>
      </w:pPr>
    </w:p>
    <w:p>
      <w:pPr>
        <w:pStyle w:val="Heading3"/>
        <w:keepNext w:val="false"/>
      </w:pPr>
      <w:r>
        <w:rPr>
          <w:color w:val="161B22"/>
        </w:rPr>
        <w:t xml:space="preserve">7.2.3  </w:t>
      </w:r>
      <w:bookmarkStart w:id="1208" w:name="_Toc1207"/>
      <w:r>
        <w:rPr>
          <w:b/>
          <w:bCs/>
          <w:color w:val="161B22"/>
        </w:rPr>
        <w:t xml:space="preserve">Regional Benchmark</w:t>
      </w:r>
      <w:bookmarkEnd w:id="1208"/>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line="240" w:lineRule="auto"/>
        <w:rPr>
          <w:sz w:val="16"/>
        </w:rPr>
      </w:pPr>
    </w:p>
    <w:p>
      <w:pPr>
        <w:pStyle w:val="Heading3"/>
        <w:keepNext w:val="false"/>
      </w:pPr>
      <w:r>
        <w:rPr>
          <w:color w:val="161B22"/>
        </w:rPr>
        <w:t xml:space="preserve">7.2.4  </w:t>
      </w:r>
      <w:bookmarkStart w:id="1209" w:name="_Toc1208"/>
      <w:r>
        <w:rPr>
          <w:b/>
          <w:bCs/>
          <w:color w:val="161B22"/>
        </w:rPr>
        <w:t xml:space="preserve">Prospective Benchmark</w:t>
      </w:r>
      <w:bookmarkEnd w:id="1209"/>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line="240" w:lineRule="auto"/>
        <w:rPr>
          <w:sz w:val="16"/>
        </w:rPr>
      </w:pPr>
    </w:p>
    <w:p>
      <w:pPr>
        <w:pStyle w:val="Heading3"/>
        <w:keepNext w:val="false"/>
      </w:pPr>
      <w:r>
        <w:rPr>
          <w:color w:val="161B22"/>
        </w:rPr>
        <w:t xml:space="preserve">7.2.5  </w:t>
      </w:r>
      <w:bookmarkStart w:id="1210" w:name="_Toc1209"/>
      <w:r>
        <w:rPr>
          <w:b/>
          <w:bCs/>
          <w:color w:val="161B22"/>
        </w:rPr>
        <w:t xml:space="preserve">The Shared Savings Calculation — A Working Model</w:t>
      </w:r>
      <w:bookmarkEnd w:id="1210"/>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Sources: HTR’s APM Shared Savings Calculator methodology; CMS ACO model documentation.</w:t>
      </w:r>
    </w:p>
    <w:p>
      <w:pPr>
        <w:pStyle w:val="Heading3"/>
      </w:pPr>
      <w:r>
        <w:rPr>
          <w:color w:val="161B22"/>
        </w:rPr>
        <w:t xml:space="preserve">7.2.6  </w:t>
      </w:r>
      <w:bookmarkStart w:id="1211" w:name="_Toc1210"/>
      <w:r>
        <w:rPr>
          <w:b/>
          <w:bCs/>
          <w:color w:val="161B22"/>
        </w:rPr>
        <w:t xml:space="preserve">Risk Stratification — The Economic Engine of Population Health Management</w:t>
      </w:r>
      <w:bookmarkEnd w:id="1211"/>
    </w:p>
    <w:p>
      <w:pPr>
        <w:pStyle w:val="Heading3"/>
      </w:pPr>
      <w:r>
        <w:rPr>
          <w:color w:val="161B22"/>
        </w:rPr>
        <w:t xml:space="preserve">7.2.7  </w:t>
      </w:r>
      <w:bookmarkStart w:id="1212" w:name="_Toc1211"/>
      <w:r>
        <w:rPr>
          <w:b/>
          <w:bCs/>
          <w:color w:val="161B22"/>
        </w:rPr>
        <w:t xml:space="preserve">The Care Management ROI Calculation</w:t>
      </w:r>
      <w:bookmarkEnd w:id="1212"/>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Heading2"/>
        <w:pBdr>
          <w:top w:val="single" w:sz="6" w:space="10" w:color="C9D2DF"/>
        </w:pBdr>
        <w:keepNext w:val="false"/>
      </w:pPr>
      <w:r>
        <w:rPr>
          <w:color w:val="161B22"/>
        </w:rPr>
        <w:t xml:space="preserve">7.3  </w:t>
      </w:r>
      <w:bookmarkStart w:id="1213" w:name="_Toc1212"/>
      <w:r>
        <w:rPr>
          <w:b/>
          <w:bCs/>
          <w:color w:val="161B22"/>
        </w:rPr>
        <w:t xml:space="preserve">Economics Pillar Implementation Matrix</w:t>
      </w:r>
      <w:bookmarkEnd w:id="1213"/>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4" w:name="_Toc1213"/>
      <w:r>
        <w:rPr>
          <w:b/>
          <w:bCs/>
          <w:color w:val="161B22"/>
        </w:rPr>
        <w:t xml:space="preserve">APM Readiness Assessment — The 30-Dimension Framework</w:t>
      </w:r>
      <w:bookmarkEnd w:id="1214"/>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5" w:name="_Toc1214"/>
      <w:r>
        <w:rPr>
          <w:b/>
          <w:bCs/>
          <w:color w:val="161B22"/>
        </w:rPr>
        <w:t xml:space="preserve">The Six Readiness Domains</w:t>
      </w:r>
      <w:bookmarkEnd w:id="1215"/>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6" w:name="_Toc1215"/>
      <w:r>
        <w:rPr>
          <w:b/>
          <w:bCs/>
          <w:color w:val="161B22"/>
        </w:rPr>
        <w:t xml:space="preserve">VBC Readiness Scoring — What the Numbers Mean</w:t>
      </w:r>
      <w:bookmarkEnd w:id="1216"/>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7" w:name="_Toc1216"/>
      <w:r>
        <w:rPr>
          <w:b/>
          <w:bCs/>
          <w:color w:val="161B22"/>
        </w:rPr>
        <w:t xml:space="preserve">Contract Analysis — Reading an APM Contract for Financial Risk</w:t>
      </w:r>
      <w:bookmarkEnd w:id="1217"/>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8" w:name="_Toc1217"/>
      <w:r>
        <w:rPr>
          <w:b/>
          <w:bCs/>
          <w:color w:val="161B22"/>
        </w:rPr>
        <w:t xml:space="preserve">The 65-Item VBC Contract Review Checklist: Key Categories</w:t>
      </w:r>
      <w:bookmarkEnd w:id="1218"/>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7.3 — APM contract review framework: provisions and key questions. Source: HTR Advisory framework.</w:t>
      </w:r>
    </w:p>
    <w:p>
      <w:pPr>
        <w:pStyle w:val="Heading2"/>
        <w:pBdr>
          <w:top w:val="single" w:sz="6" w:space="10" w:color="C9D2DF"/>
        </w:pBdr>
      </w:pPr>
      <w:r>
        <w:rPr>
          <w:color w:val="161B22"/>
        </w:rPr>
        <w:t xml:space="preserve">7.6  </w:t>
      </w:r>
      <w:bookmarkStart w:id="1219" w:name="_Toc1218"/>
      <w:r>
        <w:rPr>
          <w:b/>
          <w:bCs/>
          <w:color w:val="161B22"/>
        </w:rPr>
        <w:t xml:space="preserve">Hospital Financial Modeling Under Global Budgets — The Vermont Framework</w:t>
      </w:r>
      <w:bookmarkEnd w:id="1219"/>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0" w:name="_Toc1219"/>
      <w:r>
        <w:rPr>
          <w:b/>
          <w:bCs/>
          <w:color w:val="161B22"/>
        </w:rPr>
        <w:t xml:space="preserve">The Global Budget Financial Management Model</w:t>
      </w:r>
      <w:bookmarkEnd w:id="1220"/>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1" w:name="_Toc1220"/>
      <w:r>
        <w:rPr>
          <w:b/>
          <w:bCs/>
          <w:color w:val="161B22"/>
        </w:rPr>
        <w:t xml:space="preserve">The Hospital Financial Stress Test Model</w:t>
      </w:r>
      <w:bookmarkEnd w:id="1221"/>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numPr>
          <w:ilvl w:val="0"/>
          <w:numId w:val="1022"/>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numPr>
          <w:ilvl w:val="0"/>
          <w:numId w:val="1022"/>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numPr>
          <w:ilvl w:val="0"/>
          <w:numId w:val="1022"/>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numPr>
          <w:ilvl w:val="0"/>
          <w:numId w:val="1022"/>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2" w:name="_Toc1221"/>
      <w:r>
        <w:rPr>
          <w:b/>
          <w:bCs/>
          <w:color w:val="161B22"/>
        </w:rPr>
        <w:t xml:space="preserve">The ROI of Transformation — Building the Financial Case</w:t>
      </w:r>
      <w:bookmarkEnd w:id="1222"/>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3" w:name="_Toc1222"/>
      <w:r>
        <w:rPr>
          <w:b/>
          <w:bCs/>
          <w:color w:val="161B22"/>
        </w:rPr>
        <w:t xml:space="preserve">The Transformation ROI Framework</w:t>
      </w:r>
      <w:bookmarkEnd w:id="1223"/>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4" w:name="_Toc1223"/>
      <w:r>
        <w:rPr>
          <w:b/>
          <w:bCs/>
          <w:color w:val="161B22"/>
        </w:rPr>
        <w:t xml:space="preserve">Making Care Primary — Vermont’s Primary Care Economics</w:t>
      </w:r>
      <w:bookmarkEnd w:id="1224"/>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keepNext w:val="false"/>
      </w:pPr>
      <w:r>
        <w:rPr>
          <w:color w:val="161B22"/>
        </w:rPr>
        <w:t xml:space="preserve">7.9  </w:t>
      </w:r>
      <w:bookmarkStart w:id="1225" w:name="_Toc1224"/>
      <w:r>
        <w:rPr>
          <w:b/>
          <w:bCs/>
          <w:color w:val="161B22"/>
        </w:rPr>
        <w:t xml:space="preserve">Work This Chapter on the Platform</w:t>
      </w:r>
      <w:bookmarkEnd w:id="1225"/>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7.6 — Hands-on platform tools for the Economics Pillar in practice.</w:t>
      </w:r>
    </w:p>
    <w:p>
      <w:pPr>
        <w:pStyle w:val="Heading2"/>
        <w:pBdr>
          <w:top w:val="single" w:sz="6" w:space="10" w:color="C9D2DF"/>
        </w:pBdr>
      </w:pPr>
      <w:r>
        <w:rPr>
          <w:color w:val="161B22"/>
        </w:rPr>
        <w:t xml:space="preserve">7.10  </w:t>
      </w:r>
      <w:bookmarkStart w:id="1226" w:name="_Toc1225"/>
      <w:r>
        <w:rPr>
          <w:b/>
          <w:bCs/>
          <w:color w:val="161B22"/>
        </w:rPr>
        <w:t xml:space="preserve">Implications for You</w:t>
      </w:r>
      <w:bookmarkEnd w:id="1226"/>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Heading2"/>
        <w:pBdr>
          <w:top w:val="single" w:sz="6" w:space="10" w:color="C9D2DF"/>
        </w:pBdr>
      </w:pPr>
      <w:r>
        <w:rPr>
          <w:color w:val="161B22"/>
        </w:rPr>
        <w:t xml:space="preserve">7.11  </w:t>
      </w:r>
      <w:bookmarkStart w:id="1227" w:name="_Toc1226"/>
      <w:r>
        <w:rPr>
          <w:b/>
          <w:bCs/>
          <w:color w:val="161B22"/>
        </w:rPr>
        <w:t xml:space="preserve">Key Concepts in This Chapter</w:t>
      </w:r>
      <w:bookmarkEnd w:id="1227"/>
    </w:p>
    <w:p>
      <w:pPr>
        <w:pStyle w:val="FirstParagraph"/>
        <w:spacing w:before="160" w:after="120"/>
      </w:pPr>
      <w:r>
        <w:rPr>
          <w:rFonts w:ascii="Calibri" w:hAnsi="Calibri"/>
          <w:b/>
          <w:bCs/>
          <w:color w:val="2E74B5"/>
          <w:sz w:val="20"/>
        </w:rPr>
        <w:t xml:space="preserve">Benchmark</w:t>
      </w:r>
      <w:r>
        <w:rPr>
          <w:rFonts w:ascii="Calibri" w:hAnsi="Calibri"/>
          <w:color w:val="000000"/>
          <w:sz w:val="18"/>
        </w:rPr>
        <w:t xml:space="preserve"> </w:t>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t xml:space="preserve"> </w:t>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t xml:space="preserve"> </w:t>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t xml:space="preserve"> </w:t>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t xml:space="preserve"> </w:t>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t xml:space="preserve"> </w:t>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t xml:space="preserve"> </w:t>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8" w:name="_Toc1227"/>
      <w:r>
        <w:rPr>
          <w:b/>
          <w:bCs/>
          <w:color w:val="161B22"/>
        </w:rPr>
        <w:t xml:space="preserve">Chapter 8: The Clinical Pillar — Redesigning Care Delivery for a Transformed System</w:t>
      </w:r>
      <w:bookmarkEnd w:id="1228"/>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FirstParagraph"/>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9" w:name="_Toc1228"/>
      <w:r>
        <w:rPr>
          <w:b/>
          <w:bCs/>
          <w:color w:val="161B22"/>
        </w:rPr>
        <w:t xml:space="preserve">The Clinical Pillar: What It Is and Why It Is Not the Same as Clinical Quality</w:t>
      </w:r>
      <w:bookmarkEnd w:id="1229"/>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0" w:name="_Toc1229"/>
      <w:r>
        <w:rPr>
          <w:b/>
          <w:bCs/>
          <w:color w:val="161B22"/>
        </w:rPr>
        <w:t xml:space="preserve">The Vermont Blueprint for Health — Two Decades of Primary Care Transformation</w:t>
      </w:r>
      <w:bookmarkEnd w:id="1230"/>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1" w:name="_Toc1230"/>
      <w:r>
        <w:rPr>
          <w:b/>
          <w:bCs/>
          <w:color w:val="161B22"/>
        </w:rPr>
        <w:t xml:space="preserve">The Blueprint Architecture</w:t>
      </w:r>
      <w:bookmarkEnd w:id="1231"/>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2" w:name="_Toc1231"/>
      <w:r>
        <w:rPr>
          <w:b/>
          <w:bCs/>
          <w:color w:val="161B22"/>
        </w:rPr>
        <w:t xml:space="preserve">The Evidence: What the Blueprint Has Produced</w:t>
      </w:r>
      <w:bookmarkEnd w:id="1232"/>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Blueprint ROI: medical expenditure reduction per $1M invested $5.8M Lower hospitalization and outpatient facility use (Population Health Management study)</w:t>
            </w:r>
          </w:p>
        </w:tc>
        <w:tc>
          <w:tcPr>
            <w:shd w:val="clear" w:color="auto" w:fill="EDF2F9"/>
            <w:tcW w:w="4536" w:type="dxa"/>
          </w:tcPr>
          <w:p>
            <w:pPr>
              <w:pStyle w:val="Compact"/>
              <w:jc w:val="left"/>
            </w:pPr>
            <w:r>
              <w:rPr>
                <w:b/>
                <w:color w:val="111111"/>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3" w:name="_Toc1232"/>
      <w:r>
        <w:rPr>
          <w:b/>
          <w:bCs/>
          <w:color w:val="161B22"/>
        </w:rPr>
        <w:t xml:space="preserve">The Blueprint and AHEAD: A Critical Transition</w:t>
      </w:r>
      <w:bookmarkEnd w:id="1233"/>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line="240" w:lineRule="auto"/>
        <w:rPr>
          <w:sz w:val="16"/>
        </w:rPr>
      </w:pPr>
    </w:p>
    <w:p>
      <w:pPr>
        <w:pStyle w:val="Heading2"/>
        <w:pBdr>
          <w:top w:val="single" w:sz="6" w:space="10" w:color="C9D2DF"/>
        </w:pBdr>
      </w:pPr>
      <w:r>
        <w:rPr>
          <w:color w:val="161B22"/>
        </w:rPr>
        <w:t xml:space="preserve">8.3  </w:t>
      </w:r>
      <w:bookmarkStart w:id="1234" w:name="_Toc1233"/>
      <w:r>
        <w:rPr>
          <w:b/>
          <w:bCs/>
          <w:color w:val="161B22"/>
        </w:rPr>
        <w:t xml:space="preserve">The Behavioral Health Crisis — Vermont’s Most Urgent Clinical Challenge</w:t>
      </w:r>
      <w:bookmarkEnd w:id="1234"/>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5" w:name="_Toc1234"/>
      <w:r>
        <w:rPr>
          <w:b/>
          <w:bCs/>
          <w:color w:val="161B22"/>
        </w:rPr>
        <w:t xml:space="preserve">The Three-Layer Behavioral Health Architecture Vermont Is Building</w:t>
      </w:r>
      <w:bookmarkEnd w:id="1235"/>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6" w:name="_Toc1235"/>
      <w:r>
        <w:rPr>
          <w:b/>
          <w:bCs/>
          <w:color w:val="161B22"/>
        </w:rPr>
        <w:t xml:space="preserve">The Collaborative Care Model: Clinical Standard of Practice for Primary Care Integration</w:t>
      </w:r>
      <w:bookmarkEnd w:id="1236"/>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7" w:name="_Toc1236"/>
      <w:r>
        <w:rPr>
          <w:b/>
          <w:bCs/>
          <w:color w:val="161B22"/>
        </w:rPr>
        <w:t xml:space="preserve">The SUD Continuum: Vermont’s Hub and Spoke Model</w:t>
      </w:r>
      <w:bookmarkEnd w:id="1237"/>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8" w:name="_Toc1237"/>
      <w:r>
        <w:rPr>
          <w:b/>
          <w:bCs/>
          <w:color w:val="161B22"/>
        </w:rPr>
        <w:t xml:space="preserve">Primary Care Redesign — Vermont’s Strategy for the Front Door</w:t>
      </w:r>
      <w:bookmarkEnd w:id="1238"/>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9" w:name="_Toc1238"/>
      <w:r>
        <w:rPr>
          <w:b/>
          <w:bCs/>
          <w:color w:val="161B22"/>
        </w:rPr>
        <w:t xml:space="preserve">The Vermont Comprehensive Primary Health Care Initiative</w:t>
      </w:r>
      <w:bookmarkEnd w:id="1239"/>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0" w:name="_Toc1239"/>
      <w:r>
        <w:rPr>
          <w:b/>
          <w:bCs/>
          <w:color w:val="161B22"/>
        </w:rPr>
        <w:t xml:space="preserve">Primary Care’s Role in Reducing Hospital Utilization</w:t>
      </w:r>
      <w:bookmarkEnd w:id="1240"/>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1" w:name="_Toc1240"/>
      <w:r>
        <w:rPr>
          <w:b/>
          <w:bCs/>
          <w:color w:val="161B22"/>
        </w:rPr>
        <w:t xml:space="preserve">Vermont’s Clinical Quality Architecture — Measuring What Matters</w:t>
      </w:r>
      <w:bookmarkEnd w:id="1241"/>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2" w:name="_Toc1241"/>
      <w:r>
        <w:rPr>
          <w:b/>
          <w:bCs/>
          <w:color w:val="161B22"/>
        </w:rPr>
        <w:t xml:space="preserve">The HEDIS Improvement Methodology — Vermont Context</w:t>
      </w:r>
      <w:bookmarkEnd w:id="1242"/>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3" w:name="_Toc1242"/>
      <w:r>
        <w:rPr>
          <w:b/>
          <w:bCs/>
          <w:color w:val="161B22"/>
        </w:rPr>
        <w:t xml:space="preserve">Care for Vermont’s Aging Population — The Clinical Imperative</w:t>
      </w:r>
      <w:bookmarkEnd w:id="1243"/>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4" w:name="_Toc1243"/>
      <w:r>
        <w:rPr>
          <w:b/>
          <w:bCs/>
          <w:color w:val="161B22"/>
        </w:rPr>
        <w:t xml:space="preserve">The PACE Model and Vermont’s Long-Term Care Gap</w:t>
      </w:r>
      <w:bookmarkEnd w:id="1244"/>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5" w:name="_Toc1244"/>
      <w:r>
        <w:rPr>
          <w:b/>
          <w:bCs/>
          <w:color w:val="161B22"/>
        </w:rPr>
        <w:t xml:space="preserve">Dementia Care: The Coming Clinical Challenge</w:t>
      </w:r>
      <w:bookmarkEnd w:id="1245"/>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6" w:name="_Toc1245"/>
      <w:r>
        <w:rPr>
          <w:b/>
          <w:bCs/>
          <w:color w:val="161B22"/>
        </w:rPr>
        <w:t xml:space="preserve">Clinical Pillar Implications for AHS’s Statewide Strategic Plan</w:t>
      </w:r>
      <w:bookmarkEnd w:id="1246"/>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7" w:name="_Toc1246"/>
      <w:r>
        <w:rPr>
          <w:b/>
          <w:bCs/>
          <w:color w:val="161B22"/>
        </w:rPr>
        <w:t xml:space="preserve">Work This Chapter on the Platform</w:t>
      </w:r>
      <w:bookmarkEnd w:id="1247"/>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8" w:name="_Toc1247"/>
      <w:r>
        <w:rPr>
          <w:b/>
          <w:bCs/>
          <w:color w:val="161B22"/>
        </w:rPr>
        <w:t xml:space="preserve">Implications for You</w:t>
      </w:r>
      <w:bookmarkEnd w:id="1248"/>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49" w:name="_Toc1248"/>
      <w:r>
        <w:rPr>
          <w:b/>
          <w:bCs/>
          <w:color w:val="161B22"/>
        </w:rPr>
        <w:t xml:space="preserve">Key Concepts in This Chapter</w:t>
      </w:r>
      <w:bookmarkEnd w:id="1249"/>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t xml:space="preserve"> </w:t>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t xml:space="preserve"> </w:t>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t xml:space="preserve"> </w:t>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t xml:space="preserve"> </w:t>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t xml:space="preserve"> </w:t>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t xml:space="preserve"> </w:t>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t xml:space="preserve"> </w:t>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t xml:space="preserve"> </w:t>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t xml:space="preserve"> </w:t>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0" w:name="_Toc1249"/>
      <w:r>
        <w:rPr>
          <w:b/>
          <w:bCs/>
          <w:color w:val="161B22"/>
        </w:rPr>
        <w:t xml:space="preserve">Chapter 9: The Clinical Pillar in Practice — Care Model Implementation, Quality Mechanics, and the Vermont Clinical Transformation Toolkit</w:t>
      </w:r>
      <w:bookmarkEnd w:id="1250"/>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FirstParagraph"/>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1" w:name="_Toc1250"/>
      <w:r>
        <w:rPr>
          <w:b/>
          <w:bCs/>
          <w:color w:val="161B22"/>
        </w:rPr>
        <w:t xml:space="preserve">From Clinical Architecture to Clinical Practice</w:t>
      </w:r>
      <w:bookmarkEnd w:id="1251"/>
    </w:p>
    <w:p>
      <w:pPr>
        <w:pStyle w:val="FirstParagraph"/>
      </w:pPr>
      <w: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2" w:name="_Toc1251"/>
      <w:r>
        <w:rPr>
          <w:b/>
          <w:bCs/>
          <w:color w:val="161B22"/>
        </w:rPr>
        <w:t xml:space="preserve">PCMH Transformation — The Blueprint Practice Implementation Playbook</w:t>
      </w:r>
      <w:bookmarkEnd w:id="1252"/>
    </w:p>
    <w:p>
      <w:pPr>
        <w:pStyle w:val="Heading3"/>
      </w:pPr>
      <w:r>
        <w:rPr>
          <w:color w:val="161B22"/>
        </w:rPr>
        <w:t xml:space="preserve">9.2.1  </w:t>
      </w:r>
      <w:bookmarkStart w:id="1253" w:name="_Toc1252"/>
      <w:r>
        <w:rPr>
          <w:b/>
          <w:bCs/>
          <w:color w:val="161B22"/>
        </w:rPr>
        <w:t xml:space="preserve">The Blueprint PCMH Recognition Process — What It Actually Requires</w:t>
      </w:r>
      <w:bookmarkEnd w:id="1253"/>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4" w:name="_Toc1253"/>
      <w:r>
        <w:rPr>
          <w:b/>
          <w:bCs/>
          <w:color w:val="161B22"/>
        </w:rPr>
        <w:t xml:space="preserve">The Blueprint Field Staff Model — Vermont’s Practice Transformation Infrastructure</w:t>
      </w:r>
      <w:bookmarkEnd w:id="1254"/>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5" w:name="_Toc1254"/>
      <w:r>
        <w:rPr>
          <w:b/>
          <w:bCs/>
          <w:color w:val="161B22"/>
        </w:rPr>
        <w:t xml:space="preserve">The Practice Panel: Right-Sizing and Risk Stratification</w:t>
      </w:r>
      <w:bookmarkEnd w:id="1255"/>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line="240" w:lineRule="auto"/>
        <w:rPr>
          <w:sz w:val="16"/>
        </w:rPr>
      </w:pPr>
    </w:p>
    <w:p>
      <w:pPr>
        <w:pStyle w:val="Heading2"/>
        <w:pBdr>
          <w:top w:val="single" w:sz="6" w:space="10" w:color="C9D2DF"/>
        </w:pBdr>
      </w:pPr>
      <w:r>
        <w:rPr>
          <w:color w:val="161B22"/>
        </w:rPr>
        <w:t xml:space="preserve">9.3  </w:t>
      </w:r>
      <w:bookmarkStart w:id="1256" w:name="_Toc1255"/>
      <w:r>
        <w:rPr>
          <w:b/>
          <w:bCs/>
          <w:color w:val="161B22"/>
        </w:rPr>
        <w:t xml:space="preserve">Deploying the Collaborative Care Model — Operational Requirements</w:t>
      </w:r>
      <w:bookmarkEnd w:id="1256"/>
    </w:p>
    <w:p>
      <w:pPr>
        <w:pStyle w:val="Heading3"/>
      </w:pPr>
      <w:r>
        <w:rPr>
          <w:color w:val="161B22"/>
        </w:rPr>
        <w:t xml:space="preserve">9.3.1  </w:t>
      </w:r>
      <w:bookmarkStart w:id="1257" w:name="_Toc1256"/>
      <w:r>
        <w:rPr>
          <w:b/>
          <w:bCs/>
          <w:color w:val="161B22"/>
        </w:rPr>
        <w:t xml:space="preserve">Site Readiness Assessment</w:t>
      </w:r>
      <w:bookmarkEnd w:id="1257"/>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8" w:name="_Toc1257"/>
      <w:r>
        <w:rPr>
          <w:b/>
          <w:bCs/>
          <w:color w:val="161B22"/>
        </w:rPr>
        <w:t xml:space="preserve">The Psychiatric Consultation Model — Vermont’s Workforce Solution</w:t>
      </w:r>
      <w:bookmarkEnd w:id="1258"/>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9" w:name="_Toc1258"/>
      <w:r>
        <w:rPr>
          <w:b/>
          <w:bCs/>
          <w:color w:val="161B22"/>
        </w:rPr>
        <w:t xml:space="preserve">The BHCM Workforce Pipeline</w:t>
      </w:r>
      <w:bookmarkEnd w:id="1259"/>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0" w:name="_Toc1259"/>
      <w:r>
        <w:rPr>
          <w:b/>
          <w:bCs/>
          <w:color w:val="161B22"/>
        </w:rPr>
        <w:t xml:space="preserve">HEDIS Improvement Methodology — Vermont Context</w:t>
      </w:r>
      <w:bookmarkEnd w:id="1260"/>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1" w:name="_Toc1260"/>
      <w:r>
        <w:rPr>
          <w:b/>
          <w:bCs/>
          <w:color w:val="161B22"/>
        </w:rPr>
        <w:t xml:space="preserve">The Five-Step HEDIS Improvement Framework</w:t>
      </w:r>
      <w:bookmarkEnd w:id="1261"/>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2" w:name="_Toc1261"/>
      <w:r>
        <w:rPr>
          <w:b/>
          <w:bCs/>
          <w:color w:val="161B22"/>
        </w:rPr>
        <w:t xml:space="preserve">Vermont-Specific HEDIS Opportunity Areas</w:t>
      </w:r>
      <w:bookmarkEnd w:id="1262"/>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3" w:name="_Toc1262"/>
      <w:r>
        <w:rPr>
          <w:b/>
          <w:bCs/>
          <w:color w:val="161B22"/>
        </w:rPr>
        <w:t xml:space="preserve">The Clinical Data Infrastructure — Connecting Care to Population Health Management</w:t>
      </w:r>
      <w:bookmarkEnd w:id="1263"/>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4" w:name="_Toc1263"/>
      <w:r>
        <w:rPr>
          <w:b/>
          <w:bCs/>
          <w:color w:val="161B22"/>
        </w:rPr>
        <w:t xml:space="preserve">Vermont’s Three-Step Clinical Data Model</w:t>
      </w:r>
      <w:bookmarkEnd w:id="1264"/>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5" w:name="_Toc1264"/>
      <w:r>
        <w:rPr>
          <w:b/>
          <w:bCs/>
          <w:color w:val="161B22"/>
        </w:rPr>
        <w:t xml:space="preserve">HCC Coding Excellence — The Clinical Pillar’s Financial Foundation</w:t>
      </w:r>
      <w:bookmarkEnd w:id="1265"/>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6" w:name="_Toc1265"/>
      <w:r>
        <w:rPr>
          <w:b/>
          <w:bCs/>
          <w:color w:val="161B22"/>
        </w:rPr>
        <w:t xml:space="preserve">The Care Transition Protocol — Closing the Loop Between Hospital and Community</w:t>
      </w:r>
      <w:bookmarkEnd w:id="1266"/>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line="240" w:lineRule="auto"/>
        <w:rPr>
          <w:sz w:val="16"/>
        </w:rPr>
      </w:pPr>
    </w:p>
    <w:p>
      <w:pPr>
        <w:pStyle w:val="Heading2"/>
        <w:pBdr>
          <w:top w:val="single" w:sz="6" w:space="10" w:color="C9D2DF"/>
        </w:pBdr>
      </w:pPr>
      <w:r>
        <w:rPr>
          <w:color w:val="161B22"/>
        </w:rPr>
        <w:t xml:space="preserve">9.7  </w:t>
      </w:r>
      <w:bookmarkStart w:id="1267" w:name="_Toc1266"/>
      <w:r>
        <w:rPr>
          <w:b/>
          <w:bCs/>
          <w:color w:val="161B22"/>
        </w:rPr>
        <w:t xml:space="preserve">Clinical Leadership in Transformation — The Under-Resourced Pillar</w:t>
      </w:r>
      <w:bookmarkEnd w:id="1267"/>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8" w:name="_Toc1267"/>
      <w:r>
        <w:rPr>
          <w:b/>
          <w:bCs/>
          <w:color w:val="161B22"/>
        </w:rPr>
        <w:t xml:space="preserve">Clinical Pillar Implementation Commitments for AHS’s Statewide Strategic Plan</w:t>
      </w:r>
      <w:bookmarkEnd w:id="1268"/>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the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attributed Medicare patients before Act 68 global budgets take effect (FY2028)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9" w:name="_Toc1268"/>
      <w:r>
        <w:rPr>
          <w:b/>
          <w:bCs/>
          <w:color w:val="161B22"/>
        </w:rPr>
        <w:t xml:space="preserve">Clinical Pillar Implementation Matrix</w:t>
      </w:r>
      <w:bookmarkEnd w:id="1269"/>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0" w:name="_Toc1269"/>
      <w:r>
        <w:rPr>
          <w:b/>
          <w:bCs/>
          <w:color w:val="161B22"/>
        </w:rPr>
        <w:t xml:space="preserve">Work This Chapter on the Platform</w:t>
      </w:r>
      <w:bookmarkEnd w:id="1270"/>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1" w:name="_Toc1270"/>
      <w:r>
        <w:rPr>
          <w:b/>
          <w:bCs/>
          <w:color w:val="161B22"/>
        </w:rPr>
        <w:t xml:space="preserve">Implications for You</w:t>
      </w:r>
      <w:bookmarkEnd w:id="1271"/>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2" w:name="_Toc1271"/>
      <w:r>
        <w:rPr>
          <w:b/>
          <w:bCs/>
          <w:color w:val="161B22"/>
        </w:rPr>
        <w:t xml:space="preserve">Key Concepts in This Chapter</w:t>
      </w:r>
      <w:bookmarkEnd w:id="1272"/>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t xml:space="preserve"> </w:t>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t xml:space="preserve"> </w:t>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t xml:space="preserve"> </w:t>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t xml:space="preserve"> </w:t>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t xml:space="preserve"> </w:t>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t xml:space="preserve"> </w:t>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t xml:space="preserve"> </w:t>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t xml:space="preserve"> </w:t>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t xml:space="preserve"> </w:t>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3" w:name="_Toc1272"/>
      <w:r>
        <w:rPr>
          <w:b/>
          <w:bCs/>
          <w:color w:val="161B22"/>
        </w:rPr>
        <w:t xml:space="preserve">Chapter 10: The Equity Imperative — Closing Gaps, Not Just Averaging Them</w:t>
      </w:r>
      <w:bookmarkEnd w:id="1273"/>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FirstParagraph"/>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4" w:name="_Toc1273"/>
      <w:r>
        <w:rPr>
          <w:b/>
          <w:bCs/>
          <w:color w:val="161B22"/>
        </w:rPr>
        <w:t xml:space="preserve">The Equity Imperative: Why Average Outcomes Are the Wrong Target</w:t>
      </w:r>
      <w:bookmarkEnd w:id="1274"/>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5" w:name="_Toc1274"/>
      <w:r>
        <w:rPr>
          <w:b/>
          <w:bCs/>
          <w:color w:val="161B22"/>
        </w:rPr>
        <w:t xml:space="preserve">Vermont’s Equity Landscape — What the Data Shows</w:t>
      </w:r>
      <w:bookmarkEnd w:id="1275"/>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6" w:name="_Toc1275"/>
      <w:r>
        <w:rPr>
          <w:b/>
          <w:bCs/>
          <w:color w:val="161B22"/>
        </w:rPr>
        <w:t xml:space="preserve">Geographic Equity: The Rural-Urban Divide</w:t>
      </w:r>
      <w:bookmarkEnd w:id="1276"/>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Uninsured rate, Essex County (NE Kingdom) 8% vs. 3% statewide — nearly 3x the state average despite Vermont’s near-universal coverage</w:t>
            </w:r>
          </w:p>
        </w:tc>
        <w:tc>
          <w:tcPr>
            <w:shd w:val="clear" w:color="auto" w:fill="EDF2F9"/>
            <w:tcW w:w="4536" w:type="dxa"/>
          </w:tcPr>
          <w:p>
            <w:pPr>
              <w:pStyle w:val="Compact"/>
              <w:jc w:val="left"/>
            </w:pPr>
            <w:r>
              <w:rPr>
                <w:b/>
                <w:color w:val="111111"/>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7" w:name="_Toc1276"/>
      <w:r>
        <w:rPr>
          <w:b/>
          <w:bCs/>
          <w:color w:val="161B22"/>
        </w:rPr>
        <w:t xml:space="preserve">Racial and Demographic Equity</w:t>
      </w:r>
      <w:bookmarkEnd w:id="1277"/>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8" w:name="_Toc1277"/>
      <w:r>
        <w:rPr>
          <w:b/>
          <w:bCs/>
          <w:color w:val="161B22"/>
        </w:rPr>
        <w:t xml:space="preserve">The SDOH Burden</w:t>
      </w:r>
      <w:bookmarkEnd w:id="1278"/>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9" w:name="_Toc1278"/>
      <w:r>
        <w:rPr>
          <w:b/>
          <w:bCs/>
          <w:color w:val="161B22"/>
        </w:rPr>
        <w:t xml:space="preserve">The Disparity Root Cause Taxonomy — Why Vermont’s Equity Gaps Exist</w:t>
      </w:r>
      <w:bookmarkEnd w:id="1279"/>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0" w:name="_Toc1279"/>
      <w:r>
        <w:rPr>
          <w:b/>
          <w:bCs/>
          <w:color w:val="161B22"/>
        </w:rPr>
        <w:t xml:space="preserve">Rural Equity — Vermont’s Defining Challenge</w:t>
      </w:r>
      <w:bookmarkEnd w:id="1280"/>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1" w:name="_Toc1280"/>
      <w:r>
        <w:rPr>
          <w:b/>
          <w:bCs/>
          <w:color w:val="161B22"/>
        </w:rPr>
        <w:t xml:space="preserve">The Northeast Kingdom: Vermont’s Equity Priority</w:t>
      </w:r>
      <w:bookmarkEnd w:id="1281"/>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line="240" w:lineRule="auto"/>
        <w:rPr>
          <w:sz w:val="16"/>
        </w:rPr>
      </w:pPr>
    </w:p>
    <w:p>
      <w:pPr>
        <w:pStyle w:val="Heading2"/>
        <w:pBdr>
          <w:top w:val="single" w:sz="6" w:space="10" w:color="C9D2DF"/>
        </w:pBdr>
      </w:pPr>
      <w:r>
        <w:rPr>
          <w:color w:val="161B22"/>
        </w:rPr>
        <w:t xml:space="preserve">10.5  </w:t>
      </w:r>
      <w:bookmarkStart w:id="1282" w:name="_Toc1281"/>
      <w:r>
        <w:rPr>
          <w:b/>
          <w:bCs/>
          <w:color w:val="161B22"/>
        </w:rPr>
        <w:t xml:space="preserve">The GLP-1 Access Crisis — The Most Important New Equity Issue</w:t>
      </w:r>
      <w:bookmarkEnd w:id="1282"/>
    </w:p>
    <w:p>
      <w:pPr>
        <w:pStyle w:val="Heading3"/>
      </w:pPr>
      <w:r>
        <w:rPr>
          <w:color w:val="161B22"/>
        </w:rPr>
        <w:t xml:space="preserve">10.5.1  </w:t>
      </w:r>
      <w:bookmarkStart w:id="1283" w:name="_Toc1282"/>
      <w:r>
        <w:rPr>
          <w:b/>
          <w:bCs/>
          <w:color w:val="161B22"/>
        </w:rPr>
        <w:t xml:space="preserve">The GLP-1 Access Crisis — The Most Important New Equity Issue</w:t>
      </w:r>
      <w:bookmarkEnd w:id="1283"/>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4" w:name="_Toc1283"/>
      <w:r>
        <w:rPr>
          <w:b/>
          <w:bCs/>
          <w:color w:val="161B22"/>
        </w:rPr>
        <w:t xml:space="preserve">The BALANCE Model: A Partial Solution</w:t>
      </w:r>
      <w:bookmarkEnd w:id="1284"/>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5" w:name="_Toc1284"/>
      <w:r>
        <w:rPr>
          <w:b/>
          <w:bCs/>
          <w:color w:val="161B22"/>
        </w:rPr>
        <w:t xml:space="preserve">The GLP-1 Equity Implication for Vermont’s Transformation</w:t>
      </w:r>
      <w:bookmarkEnd w:id="1285"/>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6" w:name="_Toc1285"/>
      <w:r>
        <w:rPr>
          <w:b/>
          <w:bCs/>
          <w:color w:val="161B22"/>
        </w:rPr>
        <w:t xml:space="preserve">Vermont’s Equity Architecture — What Is Already Built and What Remains</w:t>
      </w:r>
      <w:bookmarkEnd w:id="1286"/>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7" w:name="_Toc1286"/>
      <w:r>
        <w:rPr>
          <w:b/>
          <w:bCs/>
          <w:color w:val="161B22"/>
        </w:rPr>
        <w:t xml:space="preserve">What Is Already Operational</w:t>
      </w:r>
      <w:bookmarkEnd w:id="1287"/>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8" w:name="_Toc1287"/>
      <w:r>
        <w:rPr>
          <w:b/>
          <w:bCs/>
          <w:color w:val="161B22"/>
        </w:rPr>
        <w:t xml:space="preserve">What Must Be Built</w:t>
      </w:r>
      <w:bookmarkEnd w:id="1288"/>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9" w:name="_Toc1288"/>
      <w:r>
        <w:rPr>
          <w:b/>
          <w:bCs/>
          <w:color w:val="161B22"/>
        </w:rPr>
        <w:t xml:space="preserve">Equity and the Five-Pillar Framework — How Every Pillar Has an Equity Dimension</w:t>
      </w:r>
      <w:bookmarkEnd w:id="1289"/>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five pillars. Sources: Act 68 of 2025; Oliver Wyman Act 167 Report; five-pillar framework.</w:t>
      </w:r>
    </w:p>
    <w:p>
      <w:pPr>
        <w:pStyle w:val="Heading2"/>
        <w:pBdr>
          <w:top w:val="single" w:sz="6" w:space="10" w:color="C9D2DF"/>
        </w:pBdr>
      </w:pPr>
      <w:r>
        <w:rPr>
          <w:color w:val="161B22"/>
        </w:rPr>
        <w:t xml:space="preserve">10.8  </w:t>
      </w:r>
      <w:bookmarkStart w:id="1290" w:name="_Toc1289"/>
      <w:r>
        <w:rPr>
          <w:b/>
          <w:bCs/>
          <w:color w:val="161B22"/>
        </w:rPr>
        <w:t xml:space="preserve">Vermont’s Equity Accountability Framework</w:t>
      </w:r>
      <w:bookmarkEnd w:id="1290"/>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10.9  </w:t>
      </w:r>
      <w:bookmarkStart w:id="1291" w:name="_Toc1290"/>
      <w:r>
        <w:rPr>
          <w:b/>
          <w:bCs/>
          <w:color w:val="161B22"/>
        </w:rPr>
        <w:t xml:space="preserve">Measuring Equity: HEROI, HEDIS Stratification, and VBC Safeguards</w:t>
      </w:r>
      <w:bookmarkEnd w:id="1291"/>
    </w:p>
    <w:p>
      <w:pPr>
        <w:pStyle w:val="FirstParagraph"/>
      </w:pPr>
      <w:r>
        <w:t xml:space="preserve">The remainder of this chapter turns that equity landscape into an operational toolkit — the stratified measurement, composite scoring, and value-based-contracting safeguards Vermont needs to close disparities rather than merely document them.</w:t>
      </w:r>
    </w:p>
    <w:p>
      <w:pPr>
        <w:pStyle w:val="Heading2"/>
        <w:pBdr>
          <w:top w:val="single" w:sz="6" w:space="10" w:color="C9D2DF"/>
        </w:pBdr>
      </w:pPr>
      <w:r>
        <w:rPr>
          <w:color w:val="161B22"/>
        </w:rPr>
        <w:t xml:space="preserve">10.10  </w:t>
      </w:r>
      <w:bookmarkStart w:id="1292" w:name="_Toc1291"/>
      <w:r>
        <w:rPr>
          <w:b/>
          <w:bCs/>
          <w:color w:val="161B22"/>
        </w:rPr>
        <w:t xml:space="preserve">From Identifying Disparities to Eliminating Them</w:t>
      </w:r>
      <w:bookmarkEnd w:id="1292"/>
    </w:p>
    <w:p>
      <w:pPr>
        <w:pStyle w:val="FirstParagraph"/>
      </w:pPr>
      <w: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10.11  </w:t>
      </w:r>
      <w:bookmarkStart w:id="1293" w:name="_Toc1292"/>
      <w:r>
        <w:rPr>
          <w:b/>
          <w:bCs/>
          <w:color w:val="161B22"/>
        </w:rPr>
        <w:t xml:space="preserve">Stratified HEDIS Measurement — The Foundation of Equity Analytics</w:t>
      </w:r>
      <w:bookmarkEnd w:id="1293"/>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10.11.1  </w:t>
      </w:r>
      <w:bookmarkStart w:id="1294" w:name="_Toc1293"/>
      <w:r>
        <w:rPr>
          <w:b/>
          <w:bCs/>
          <w:color w:val="161B22"/>
        </w:rPr>
        <w:t xml:space="preserve">The NCQA HEDIS Stratification Framework</w:t>
      </w:r>
      <w:bookmarkEnd w:id="1294"/>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10.12  </w:t>
      </w:r>
      <w:bookmarkStart w:id="1295" w:name="_Toc1294"/>
      <w:r>
        <w:rPr>
          <w:b/>
          <w:bCs/>
          <w:color w:val="161B22"/>
        </w:rPr>
        <w:t xml:space="preserve">Equity Imperative Implementation Matrix</w:t>
      </w:r>
      <w:bookmarkEnd w:id="1295"/>
    </w:p>
    <w:p>
      <w:pPr>
        <w:pStyle w:val="FirstParagraph"/>
        <w:keepNext w:val="false"/>
      </w:pPr>
      <w: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imperative implementation matrix. Sources: Vermont Department of Health Health Equity Data Report (January 2025); Act 68 of 2025.</w:t>
      </w:r>
    </w:p>
    <w:p>
      <w:pPr>
        <w:pStyle w:val="Heading3"/>
      </w:pPr>
      <w:r>
        <w:rPr>
          <w:color w:val="161B22"/>
        </w:rPr>
        <w:t xml:space="preserve">10.12.1  </w:t>
      </w:r>
      <w:bookmarkStart w:id="1296" w:name="_Toc1295"/>
      <w:r>
        <w:rPr>
          <w:b/>
          <w:bCs/>
          <w:color w:val="161B22"/>
        </w:rPr>
        <w:t xml:space="preserve">The Data Collection Challenge — Getting Demographic Data Right</w:t>
      </w:r>
      <w:bookmarkEnd w:id="1296"/>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10.13  </w:t>
      </w:r>
      <w:bookmarkStart w:id="1297" w:name="_Toc1296"/>
      <w:r>
        <w:rPr>
          <w:b/>
          <w:bCs/>
          <w:color w:val="161B22"/>
        </w:rPr>
        <w:t xml:space="preserve">The HEROI Framework — A Composite Equity Score</w:t>
      </w:r>
      <w:bookmarkEnd w:id="1297"/>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10.13.1  </w:t>
      </w:r>
      <w:bookmarkStart w:id="1298" w:name="_Toc1297"/>
      <w:r>
        <w:rPr>
          <w:b/>
          <w:bCs/>
          <w:color w:val="161B22"/>
        </w:rPr>
        <w:t xml:space="preserve">HEROI Components</w:t>
      </w:r>
      <w:bookmarkEnd w:id="1298"/>
    </w:p>
    <w:p>
      <w:pPr>
        <w:pStyle w:val="FirstParagraph"/>
      </w:pPr>
      <w:r>
        <w:t xml:space="preserve">The HEROI composite score is calculated across five equity dimensions, each weighted by its relative health impact and the strength of evidence for interventions that can address it:</w:t>
      </w:r>
    </w:p>
    <w:p>
      <w:pPr>
        <w:numPr>
          <w:ilvl w:val="0"/>
          <w:numId w:val="1023"/>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numPr>
          <w:ilvl w:val="0"/>
          <w:numId w:val="1023"/>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numPr>
          <w:ilvl w:val="0"/>
          <w:numId w:val="1023"/>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numPr>
          <w:ilvl w:val="0"/>
          <w:numId w:val="1023"/>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numPr>
          <w:ilvl w:val="0"/>
          <w:numId w:val="1023"/>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10.14  </w:t>
      </w:r>
      <w:bookmarkStart w:id="1299" w:name="_Toc1298"/>
      <w:r>
        <w:rPr>
          <w:b/>
          <w:bCs/>
          <w:color w:val="161B22"/>
        </w:rPr>
        <w:t xml:space="preserve">Root Cause Analytics — Matching Interventions to Causes</w:t>
      </w:r>
      <w:bookmarkEnd w:id="1299"/>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10.14.1  </w:t>
      </w:r>
      <w:bookmarkStart w:id="1300" w:name="_Toc1299"/>
      <w:r>
        <w:rPr>
          <w:b/>
          <w:bCs/>
          <w:color w:val="161B22"/>
        </w:rPr>
        <w:t xml:space="preserve">The Disparity Decomposition Method</w:t>
      </w:r>
      <w:bookmarkEnd w:id="1300"/>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10.14.2  </w:t>
      </w:r>
      <w:bookmarkStart w:id="1301" w:name="_Toc1300"/>
      <w:r>
        <w:rPr>
          <w:b/>
          <w:bCs/>
          <w:color w:val="161B22"/>
        </w:rPr>
        <w:t xml:space="preserve">The Five-Step Disparity Closure Process</w:t>
      </w:r>
      <w:bookmarkEnd w:id="1301"/>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10.15  </w:t>
      </w:r>
      <w:bookmarkStart w:id="1302" w:name="_Toc1301"/>
      <w:r>
        <w:rPr>
          <w:b/>
          <w:bCs/>
          <w:color w:val="161B22"/>
        </w:rPr>
        <w:t xml:space="preserve">Equity in VBC Contracting — Protecting Against Unintended Consequences</w:t>
      </w:r>
      <w:bookmarkEnd w:id="1302"/>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10.15.1  </w:t>
      </w:r>
      <w:bookmarkStart w:id="1303" w:name="_Toc1302"/>
      <w:r>
        <w:rPr>
          <w:b/>
          <w:bCs/>
          <w:color w:val="161B22"/>
        </w:rPr>
        <w:t xml:space="preserve">Social Risk Adjustment — The Equity Design Requirement for VBC Contracts</w:t>
      </w:r>
      <w:bookmarkEnd w:id="1303"/>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10.15.2  </w:t>
      </w:r>
      <w:bookmarkStart w:id="1304" w:name="_Toc1303"/>
      <w:r>
        <w:rPr>
          <w:b/>
          <w:bCs/>
          <w:color w:val="161B22"/>
        </w:rPr>
        <w:t xml:space="preserve">The VBC Equity Audit</w:t>
      </w:r>
      <w:bookmarkEnd w:id="1304"/>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numPr>
          <w:ilvl w:val="0"/>
          <w:numId w:val="1024"/>
        </w:numPr>
        <w:keepLines w:val="true"/>
        <w:keepNext w:val="true"/>
      </w:pPr>
      <w:r>
        <w:t xml:space="preserve">Attribution equity: Does the attribution methodology systematically exclude high-SDOH patients who lack a qualifying primary care visit?</w:t>
      </w:r>
    </w:p>
    <w:p>
      <w:pPr>
        <w:numPr>
          <w:ilvl w:val="0"/>
          <w:numId w:val="1024"/>
        </w:numPr>
        <w:keepLines w:val="true"/>
        <w:keepNext w:val="true"/>
      </w:pPr>
      <w:r>
        <w:t xml:space="preserve">Social risk adjustment: Is the benchmark adjusted for the social risk profile of the attributed population?</w:t>
      </w:r>
    </w:p>
    <w:p>
      <w:pPr>
        <w:numPr>
          <w:ilvl w:val="0"/>
          <w:numId w:val="1024"/>
        </w:numPr>
        <w:keepLines w:val="true"/>
      </w:pPr>
      <w:r>
        <w:t xml:space="preserve">Quality measure equity: Are quality measures stratified by race/ethnicity and income, with performance reported and rewarded based on equity improvement, not just average improvement?</w:t>
      </w:r>
    </w:p>
    <w:p>
      <w:pPr>
        <w:numPr>
          <w:ilvl w:val="0"/>
          <w:numId w:val="1024"/>
        </w:numPr>
        <w:keepLines w:val="true"/>
      </w:pPr>
      <w:r>
        <w:t xml:space="preserve">SDOH investment incentives: Does the contract provide financial credit for investments in SDOH programs that reduce long-term utilization?</w:t>
      </w:r>
    </w:p>
    <w:p>
      <w:pPr>
        <w:numPr>
          <w:ilvl w:val="0"/>
          <w:numId w:val="1024"/>
        </w:numPr>
        <w:keepLines w:val="true"/>
      </w:pPr>
      <w:r>
        <w:t xml:space="preserve">Care management intensity: Are care management resources allocated proportionate to SDOH burden and disparity level, not just clinical risk?</w:t>
      </w:r>
    </w:p>
    <w:p>
      <w:pPr>
        <w:numPr>
          <w:ilvl w:val="0"/>
          <w:numId w:val="1024"/>
        </w:numPr>
        <w:keepLines w:val="true"/>
      </w:pPr>
      <w:r>
        <w:t xml:space="preserve">Beneficiary protections: Are there protections against provider avoidance of high-complexity, high-SDOH patients?</w:t>
      </w:r>
    </w:p>
    <w:p>
      <w:pPr>
        <w:numPr>
          <w:ilvl w:val="0"/>
          <w:numId w:val="1024"/>
        </w:numPr>
        <w:keepLines w:val="true"/>
      </w:pPr>
      <w:r>
        <w:t xml:space="preserve">Community benefit requirements: For global budgets, are there explicit requirements for community health investment, including SDOH programs?</w:t>
      </w:r>
    </w:p>
    <w:p>
      <w:pPr>
        <w:numPr>
          <w:ilvl w:val="0"/>
          <w:numId w:val="1024"/>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10.16  </w:t>
      </w:r>
      <w:bookmarkStart w:id="1305" w:name="_Toc1304"/>
      <w:r>
        <w:rPr>
          <w:b/>
          <w:bCs/>
          <w:color w:val="161B22"/>
        </w:rPr>
        <w:t xml:space="preserve">Vermont’s Population Health Equity Analytics Architecture</w:t>
      </w:r>
      <w:bookmarkEnd w:id="1305"/>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keepNext w:val="false"/>
      </w:pPr>
      <w:r>
        <w:rPr>
          <w:color w:val="161B22"/>
        </w:rPr>
        <w:t xml:space="preserve">10.17  </w:t>
      </w:r>
      <w:bookmarkStart w:id="1306" w:name="_Toc1305"/>
      <w:r>
        <w:rPr>
          <w:b/>
          <w:bCs/>
          <w:color w:val="161B22"/>
        </w:rPr>
        <w:t xml:space="preserve">Work This Chapter on the Platform</w:t>
      </w:r>
      <w:bookmarkEnd w:id="1306"/>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10.11 — Hands-on platform tools for the Equity Imperative.</w:t>
      </w:r>
    </w:p>
    <w:p>
      <w:pPr>
        <w:pStyle w:val="Heading2"/>
        <w:pBdr>
          <w:top w:val="single" w:sz="6" w:space="10" w:color="C9D2DF"/>
        </w:pBdr>
      </w:pPr>
      <w:r>
        <w:rPr>
          <w:color w:val="161B22"/>
        </w:rPr>
        <w:t xml:space="preserve">10.18  </w:t>
      </w:r>
      <w:bookmarkStart w:id="1307" w:name="_Toc1306"/>
      <w:r>
        <w:rPr>
          <w:b/>
          <w:bCs/>
          <w:color w:val="161B22"/>
        </w:rPr>
        <w:t xml:space="preserve">Implications for You</w:t>
      </w:r>
      <w:bookmarkEnd w:id="1307"/>
    </w:p>
    <w:p>
      <w:pPr>
        <w:pStyle w:val="FirstParagraph"/>
      </w:pPr>
      <w:r>
        <w:t xml:space="preserve">If you are a Vermont hospital executive: The equity data Vermont’s Act 68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10.19  </w:t>
      </w:r>
      <w:bookmarkStart w:id="1308" w:name="_Toc1307"/>
      <w:r>
        <w:rPr>
          <w:b/>
          <w:bCs/>
          <w:color w:val="161B22"/>
        </w:rPr>
        <w:t xml:space="preserve">Key Concepts in This Chapter</w:t>
      </w:r>
      <w:bookmarkEnd w:id="1308"/>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t xml:space="preserve"> </w:t>
      </w:r>
      <w:r>
        <w:rPr>
          <w:rFonts w:ascii="Calibri" w:hAnsi="Calibri"/>
          <w:color w:val="000000"/>
          <w:sz w:val="18"/>
        </w:rPr>
        <w:t xml:space="preserve">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t xml:space="preserve"> </w:t>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t xml:space="preserve"> </w:t>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t xml:space="preserve"> </w:t>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t xml:space="preserve"> </w:t>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t xml:space="preserve"> </w:t>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t xml:space="preserve"> </w:t>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t xml:space="preserve"> </w:t>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9" w:name="_Toc1308"/>
      <w:r>
        <w:rPr>
          <w:b/>
          <w:bCs/>
          <w:color w:val="161B22"/>
        </w:rPr>
        <w:t xml:space="preserve">Chapter 11: The Operations Pillar — Executing Hospital System Transformation</w:t>
      </w:r>
      <w:bookmarkEnd w:id="1309"/>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FirstParagraph"/>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0" w:name="_Toc1309"/>
      <w:r>
        <w:rPr>
          <w:b/>
          <w:bCs/>
          <w:color w:val="161B22"/>
        </w:rPr>
        <w:t xml:space="preserve">The Operations Pillar: Where Strategy Meets Reality</w:t>
      </w:r>
      <w:bookmarkEnd w:id="1310"/>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1" w:name="_Toc1310"/>
      <w:r>
        <w:rPr>
          <w:b/>
          <w:bCs/>
          <w:color w:val="161B22"/>
        </w:rPr>
        <w:t xml:space="preserve">The Vermont Transformation Operating Model</w:t>
      </w:r>
      <w:bookmarkEnd w:id="1311"/>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2" w:name="_Toc1311"/>
      <w:r>
        <w:rPr>
          <w:b/>
          <w:bCs/>
          <w:color w:val="161B22"/>
        </w:rPr>
        <w:t xml:space="preserve">The Institutional Architecture</w:t>
      </w:r>
      <w:bookmarkEnd w:id="1312"/>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oversees Blueprint for Health and OneCare wind-down</w:t>
            </w:r>
          </w:p>
        </w:tc>
        <w:tc>
          <w:tcPr>
            <w:tcW w:w="2451" w:type="dxa"/>
          </w:tcPr>
          <w:p>
            <w:pPr>
              <w:pStyle w:val="Compact"/>
              <w:jc w:val="left"/>
            </w:pPr>
            <w:r>
              <w:rPr>
                <w:sz w:val="18"/>
              </w:rPr>
              <w:t xml:space="preserve">Medicaid contract terms; Blueprint for Health funding; Medicaid global budget design</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3" w:name="_Toc1312"/>
      <w:r>
        <w:rPr>
          <w:b/>
          <w:bCs/>
          <w:color w:val="161B22"/>
        </w:rPr>
        <w:t xml:space="preserve">The Transformation Planning Sequence</w:t>
      </w:r>
      <w:bookmarkEnd w:id="1313"/>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line="240" w:lineRule="auto"/>
        <w:rPr>
          <w:sz w:val="16"/>
        </w:rPr>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4" w:name="_Toc1313"/>
      <w:r>
        <w:rPr>
          <w:b/>
          <w:bCs/>
          <w:color w:val="161B22"/>
        </w:rPr>
        <w:t xml:space="preserve">The RHRC Methodology — Technical Assistance for Rural Hospital Transformation</w:t>
      </w:r>
      <w:bookmarkEnd w:id="1314"/>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5" w:name="_Toc1314"/>
      <w:r>
        <w:rPr>
          <w:b/>
          <w:bCs/>
          <w:color w:val="161B22"/>
        </w:rPr>
        <w:t xml:space="preserve">What RHRC Did</w:t>
      </w:r>
      <w:bookmarkEnd w:id="1315"/>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6" w:name="_Toc1315"/>
      <w:r>
        <w:rPr>
          <w:b/>
          <w:bCs/>
          <w:color w:val="161B22"/>
        </w:rPr>
        <w:t xml:space="preserve">RHRC’s Four Workstreams at Each Hospital</w:t>
      </w:r>
      <w:bookmarkEnd w:id="1316"/>
    </w:p>
    <w:p>
      <w:pPr>
        <w:pStyle w:val="FirstParagraph"/>
      </w:pPr>
      <w:r>
        <w:t xml:space="preserve">RHRC worked with each of Vermont’s 14 hospitals through four parallel workstreams, adapted to each hospital’s specific position and needs:</w:t>
      </w:r>
    </w:p>
    <w:p>
      <w:pPr>
        <w:numPr>
          <w:ilvl w:val="0"/>
          <w:numId w:val="1025"/>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numPr>
          <w:ilvl w:val="0"/>
          <w:numId w:val="1025"/>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numPr>
          <w:ilvl w:val="0"/>
          <w:numId w:val="1025"/>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numPr>
          <w:ilvl w:val="0"/>
          <w:numId w:val="1025"/>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numPr>
          <w:ilvl w:val="0"/>
          <w:numId w:val="1025"/>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7" w:name="_Toc1316"/>
      <w:r>
        <w:rPr>
          <w:b/>
          <w:bCs/>
          <w:color w:val="161B22"/>
        </w:rPr>
        <w:t xml:space="preserve">The Analytics Gap and Its Resolution</w:t>
      </w:r>
      <w:bookmarkEnd w:id="1317"/>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8" w:name="_Toc1317"/>
      <w:r>
        <w:rPr>
          <w:b/>
          <w:bCs/>
          <w:color w:val="161B22"/>
        </w:rPr>
        <w:t xml:space="preserve">The Vermont Hospital Performance Dashboard — Where Each Hospital Stands</w:t>
      </w:r>
      <w:bookmarkEnd w:id="131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lef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lef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lef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9" w:name="_Toc1318"/>
      <w:r>
        <w:rPr>
          <w:b/>
          <w:bCs/>
          <w:color w:val="161B22"/>
        </w:rPr>
        <w:t xml:space="preserve">Regionalization — The Operational Logic of Right-Sizing a 14-Hospital System</w:t>
      </w:r>
      <w:bookmarkEnd w:id="1319"/>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0" w:name="_Toc1319"/>
      <w:r>
        <w:rPr>
          <w:b/>
          <w:bCs/>
          <w:color w:val="161B22"/>
        </w:rPr>
        <w:t xml:space="preserve">The Regional Network Design Framework</w:t>
      </w:r>
      <w:bookmarkEnd w:id="1320"/>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1" w:name="_Toc1320"/>
      <w:r>
        <w:rPr>
          <w:b/>
          <w:bCs/>
          <w:color w:val="161B22"/>
        </w:rPr>
        <w:t xml:space="preserve">The Operational Mechanics of Regionalization</w:t>
      </w:r>
      <w:bookmarkEnd w:id="1321"/>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2" w:name="_Toc1321"/>
      <w:r>
        <w:rPr>
          <w:b/>
          <w:bCs/>
          <w:color w:val="161B22"/>
        </w:rPr>
        <w:t xml:space="preserve">The Workforce Crisis — Vermont’s Most Binding Operational Constraint</w:t>
      </w:r>
      <w:bookmarkEnd w:id="1322"/>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3" w:name="_Toc1322"/>
      <w:r>
        <w:rPr>
          <w:b/>
          <w:bCs/>
          <w:color w:val="161B22"/>
        </w:rPr>
        <w:t xml:space="preserve">The Dimensions of Vermont’s Workforce Crisis</w:t>
      </w:r>
      <w:bookmarkEnd w:id="1323"/>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Primary care physician shortfall by 2030 370 FTEs 112 family medicine, 190 other primary care (RHT application)</w:t>
            </w:r>
          </w:p>
        </w:tc>
        <w:tc>
          <w:tcPr>
            <w:shd w:val="clear" w:color="auto" w:fill="EDF2F9"/>
            <w:tcW w:w="4536" w:type="dxa"/>
          </w:tcPr>
          <w:p>
            <w:pPr>
              <w:pStyle w:val="Compact"/>
              <w:jc w:val="left"/>
            </w:pPr>
            <w:r>
              <w:rPr>
                <w:b/>
                <w:color w:val="111111"/>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4" w:name="_Toc1323"/>
      <w:r>
        <w:rPr>
          <w:b/>
          <w:bCs/>
          <w:color w:val="161B22"/>
        </w:rPr>
        <w:t xml:space="preserve">Vermont’s Workforce Strategy: The RHT Investment Framework</w:t>
      </w:r>
      <w:bookmarkEnd w:id="1324"/>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5" w:name="_Toc1324"/>
      <w:r>
        <w:rPr>
          <w:b/>
          <w:bCs/>
          <w:color w:val="161B22"/>
        </w:rPr>
        <w:t xml:space="preserve">RHT Workforce Investment Priorities</w:t>
      </w:r>
      <w:bookmarkEnd w:id="1325"/>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6" w:name="_Toc1325"/>
      <w:r>
        <w:rPr>
          <w:b/>
          <w:bCs/>
          <w:color w:val="161B22"/>
        </w:rPr>
        <w:t xml:space="preserve">The Operations Metrics Framework — What AHS Must Track</w:t>
      </w:r>
      <w:bookmarkEnd w:id="1326"/>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7" w:name="_Toc1326"/>
      <w:r>
        <w:rPr>
          <w:b/>
          <w:bCs/>
          <w:color w:val="161B22"/>
        </w:rPr>
        <w:t xml:space="preserve">AHS as System Operator — Organizational Design for the 2028 Mandate</w:t>
      </w:r>
      <w:bookmarkEnd w:id="1327"/>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8" w:name="_Toc1327"/>
      <w:r>
        <w:rPr>
          <w:b/>
          <w:bCs/>
          <w:color w:val="161B22"/>
        </w:rPr>
        <w:t xml:space="preserve">The Current Organizational Gaps</w:t>
      </w:r>
      <w:bookmarkEnd w:id="1328"/>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9" w:name="_Toc1328"/>
      <w:r>
        <w:rPr>
          <w:b/>
          <w:bCs/>
          <w:color w:val="161B22"/>
        </w:rPr>
        <w:t xml:space="preserve">The Emerging Solution: A Population Health Management Operating Model</w:t>
      </w:r>
      <w:bookmarkEnd w:id="1329"/>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11.9  </w:t>
      </w:r>
      <w:bookmarkStart w:id="1330" w:name="_Toc1329"/>
      <w:r>
        <w:rPr>
          <w:b/>
          <w:bCs/>
          <w:color w:val="161B22"/>
        </w:rPr>
        <w:t xml:space="preserve">Revenue Cycle, HCC Coding, Credentialing, and Administrative Simplification</w:t>
      </w:r>
      <w:bookmarkEnd w:id="1330"/>
    </w:p>
    <w:p>
      <w:pPr>
        <w:pStyle w:val="FirstParagraph"/>
      </w:pPr>
      <w:r>
        <w:t xml:space="preserve">The remainder of this chapter turns the operations pillar into practice — the revenue-cycle, coding, credentialing, and administrative-simplification mechanics that determine whether Vermont captures the savings its transformation depends on.</w:t>
      </w:r>
    </w:p>
    <w:p>
      <w:pPr>
        <w:pStyle w:val="Heading2"/>
        <w:pBdr>
          <w:top w:val="single" w:sz="6" w:space="10" w:color="C9D2DF"/>
        </w:pBdr>
      </w:pPr>
      <w:r>
        <w:rPr>
          <w:color w:val="161B22"/>
        </w:rPr>
        <w:t xml:space="preserve">11.10  </w:t>
      </w:r>
      <w:bookmarkStart w:id="1331" w:name="_Toc1330"/>
      <w:r>
        <w:rPr>
          <w:b/>
          <w:bCs/>
          <w:color w:val="161B22"/>
        </w:rPr>
        <w:t xml:space="preserve">Operations Where Money Actually Lives</w:t>
      </w:r>
      <w:bookmarkEnd w:id="1331"/>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11.11  </w:t>
      </w:r>
      <w:bookmarkStart w:id="1332" w:name="_Toc1331"/>
      <w:r>
        <w:rPr>
          <w:b/>
          <w:bCs/>
          <w:color w:val="161B22"/>
        </w:rPr>
        <w:t xml:space="preserve">Revenue Cycle Transformation — From FFS Optimization to VBC Management</w:t>
      </w:r>
      <w:bookmarkEnd w:id="1332"/>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11.11.1  </w:t>
      </w:r>
      <w:bookmarkStart w:id="1333" w:name="_Toc1332"/>
      <w:r>
        <w:rPr>
          <w:b/>
          <w:bCs/>
          <w:color w:val="161B22"/>
        </w:rPr>
        <w:t xml:space="preserve">Attribution Management — The VBC-Specific Revenue Function</w:t>
      </w:r>
      <w:bookmarkEnd w:id="1333"/>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Sources: HTR’s Operations pillar framework; ACO REACH and MSSP operational guidance.</w:t>
      </w:r>
    </w:p>
    <w:p>
      <w:pPr>
        <w:pStyle w:val="Heading3"/>
      </w:pPr>
      <w:r>
        <w:rPr>
          <w:color w:val="161B22"/>
        </w:rPr>
        <w:t xml:space="preserve">11.11.2  </w:t>
      </w:r>
      <w:bookmarkStart w:id="1334" w:name="_Toc1333"/>
      <w:r>
        <w:rPr>
          <w:b/>
          <w:bCs/>
          <w:color w:val="161B22"/>
        </w:rPr>
        <w:t xml:space="preserve">Total Cost of Care Monitoring — Seeing What You Cannot Bill</w:t>
      </w:r>
      <w:bookmarkEnd w:id="1334"/>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11.12  </w:t>
      </w:r>
      <w:bookmarkStart w:id="1335" w:name="_Toc1334"/>
      <w:r>
        <w:rPr>
          <w:b/>
          <w:bCs/>
          <w:color w:val="161B22"/>
        </w:rPr>
        <w:t xml:space="preserve">HCC Coding Excellence — The Risk Adjustment Foundation</w:t>
      </w:r>
      <w:bookmarkEnd w:id="1335"/>
    </w:p>
    <w:p>
      <w:pPr>
        <w:pStyle w:val="Heading3"/>
      </w:pPr>
      <w:r>
        <w:rPr>
          <w:color w:val="161B22"/>
        </w:rPr>
        <w:t xml:space="preserve">11.12.1  </w:t>
      </w:r>
      <w:bookmarkStart w:id="1336" w:name="_Toc1335"/>
      <w:r>
        <w:rPr>
          <w:b/>
          <w:bCs/>
          <w:color w:val="161B22"/>
        </w:rPr>
        <w:t xml:space="preserve">HCC Gap Closure: High-ROI Pre-AHEAD Action for Every Vermont Hospital</w:t>
      </w:r>
      <w:bookmarkEnd w:id="1336"/>
    </w:p>
    <w:p>
      <w:pPr>
        <w:pStyle w:val="FirstParagraph"/>
      </w:pPr>
      <w:r>
        <w:t xml:space="preserve">Every Vermont hospital should conduct a retrospective HCC gap analysis for their attributed Medicare population before Act 68 global budgets take effect in FY2028.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global budgets take effect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11.12.2  </w:t>
      </w:r>
      <w:bookmarkStart w:id="1337" w:name="_Toc1336"/>
      <w:r>
        <w:rPr>
          <w:b/>
          <w:bCs/>
          <w:color w:val="161B22"/>
        </w:rPr>
        <w:t xml:space="preserve">The HCC Model — How It Works</w:t>
      </w:r>
      <w:bookmarkEnd w:id="1337"/>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11.12.3  </w:t>
      </w:r>
      <w:bookmarkStart w:id="1338" w:name="_Toc1337"/>
      <w:r>
        <w:rPr>
          <w:b/>
          <w:bCs/>
          <w:color w:val="161B22"/>
        </w:rPr>
        <w:t xml:space="preserve">The HCC Gap Closure Process</w:t>
      </w:r>
      <w:bookmarkEnd w:id="1338"/>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numPr>
          <w:ilvl w:val="0"/>
          <w:numId w:val="1026"/>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numPr>
          <w:ilvl w:val="0"/>
          <w:numId w:val="1026"/>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numPr>
          <w:ilvl w:val="0"/>
          <w:numId w:val="1026"/>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numPr>
          <w:ilvl w:val="0"/>
          <w:numId w:val="1026"/>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p>
        </w:tc>
      </w:tr>
    </w:tbl>
    <w:p>
      <w:pPr>
        <w:spacing w:after="120" w:line="240" w:lineRule="auto"/>
        <w:rPr>
          <w:sz w:val="16"/>
        </w:rPr>
      </w:pPr>
    </w:p>
    <w:p>
      <w:pPr>
        <w:pStyle w:val="Heading2"/>
        <w:pBdr>
          <w:top w:val="single" w:sz="6" w:space="10" w:color="C9D2DF"/>
        </w:pBdr>
      </w:pPr>
      <w:r>
        <w:rPr>
          <w:color w:val="161B22"/>
        </w:rPr>
        <w:t xml:space="preserve">11.13  </w:t>
      </w:r>
      <w:bookmarkStart w:id="1339" w:name="_Toc1338"/>
      <w:r>
        <w:rPr>
          <w:b/>
          <w:bCs/>
          <w:color w:val="161B22"/>
        </w:rPr>
        <w:t xml:space="preserve">Credentialing Efficiency — The Hidden Operations Bottleneck</w:t>
      </w:r>
      <w:bookmarkEnd w:id="1339"/>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11.13.1  </w:t>
      </w:r>
      <w:bookmarkStart w:id="1340" w:name="_Toc1339"/>
      <w:r>
        <w:rPr>
          <w:b/>
          <w:bCs/>
          <w:color w:val="161B22"/>
        </w:rPr>
        <w:t xml:space="preserve">Credentialing as a Transformation Bottleneck</w:t>
      </w:r>
      <w:bookmarkEnd w:id="1340"/>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11.13.2  </w:t>
      </w:r>
      <w:bookmarkStart w:id="1341" w:name="_Toc1340"/>
      <w:r>
        <w:rPr>
          <w:b/>
          <w:bCs/>
          <w:color w:val="161B22"/>
        </w:rPr>
        <w:t xml:space="preserve">The Credentialing Efficiency Framework</w:t>
      </w:r>
      <w:bookmarkEnd w:id="1341"/>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11.14  </w:t>
      </w:r>
      <w:bookmarkStart w:id="1342" w:name="_Toc1341"/>
      <w:r>
        <w:rPr>
          <w:b/>
          <w:bCs/>
          <w:color w:val="161B22"/>
        </w:rPr>
        <w:t xml:space="preserve">Workforce Operations — Managing the Care Team in a Transformed System</w:t>
      </w:r>
      <w:bookmarkEnd w:id="1342"/>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11.14.1  </w:t>
      </w:r>
      <w:bookmarkStart w:id="1343" w:name="_Toc1342"/>
      <w:r>
        <w:rPr>
          <w:b/>
          <w:bCs/>
          <w:color w:val="161B22"/>
        </w:rPr>
        <w:t xml:space="preserve">The Workforce Supply Challenge — What Can Actually Be Done</w:t>
      </w:r>
      <w:bookmarkEnd w:id="1343"/>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11.14.2  </w:t>
      </w:r>
      <w:bookmarkStart w:id="1344" w:name="_Toc1343"/>
      <w:r>
        <w:rPr>
          <w:b/>
          <w:bCs/>
          <w:color w:val="161B22"/>
        </w:rPr>
        <w:t xml:space="preserve">Workforce Deployment — Team-Based Care at Scale</w:t>
      </w:r>
      <w:bookmarkEnd w:id="1344"/>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11.14.3  </w:t>
      </w:r>
      <w:bookmarkStart w:id="1345" w:name="_Toc1344"/>
      <w:r>
        <w:rPr>
          <w:b/>
          <w:bCs/>
          <w:color w:val="161B22"/>
        </w:rPr>
        <w:t xml:space="preserve">Workforce Retention — The Math of Turnover</w:t>
      </w:r>
      <w:bookmarkEnd w:id="1345"/>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11.15  </w:t>
      </w:r>
      <w:bookmarkStart w:id="1346" w:name="_Toc1345"/>
      <w:r>
        <w:rPr>
          <w:b/>
          <w:bCs/>
          <w:color w:val="161B22"/>
        </w:rPr>
        <w:t xml:space="preserve">Administrative Simplification — The Vermont Agenda</w:t>
      </w:r>
      <w:bookmarkEnd w:id="1346"/>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11.15.1  </w:t>
      </w:r>
      <w:bookmarkStart w:id="1347" w:name="_Toc1346"/>
      <w:r>
        <w:rPr>
          <w:b/>
          <w:bCs/>
          <w:color w:val="161B22"/>
        </w:rPr>
        <w:t xml:space="preserve">The Vermont Administrative Simplification Priorities</w:t>
      </w:r>
      <w:bookmarkEnd w:id="1347"/>
    </w:p>
    <w:p>
      <w:pPr>
        <w:pStyle w:val="FirstParagraph"/>
      </w:pPr>
      <w:r>
        <w:t xml:space="preserve">AHS and GMCB have identified three administrative simplification priorities that must be addressed in the Statewide Strategic Plan:</w:t>
      </w:r>
    </w:p>
    <w:p>
      <w:pPr>
        <w:numPr>
          <w:ilvl w:val="0"/>
          <w:numId w:val="1027"/>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numPr>
          <w:ilvl w:val="0"/>
          <w:numId w:val="1027"/>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numPr>
          <w:ilvl w:val="0"/>
          <w:numId w:val="1027"/>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11.16  </w:t>
      </w:r>
      <w:bookmarkStart w:id="1348" w:name="_Toc1347"/>
      <w:r>
        <w:rPr>
          <w:b/>
          <w:bCs/>
          <w:color w:val="161B22"/>
        </w:rPr>
        <w:t xml:space="preserve">Operations Pillar Implementation Matrix</w:t>
      </w:r>
      <w:bookmarkEnd w:id="1348"/>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keepNext w:val="false"/>
      </w:pPr>
      <w:r>
        <w:rPr>
          <w:color w:val="161B22"/>
        </w:rPr>
        <w:t xml:space="preserve">11.17  </w:t>
      </w:r>
      <w:bookmarkStart w:id="1349" w:name="_Toc1348"/>
      <w:r>
        <w:rPr>
          <w:b/>
          <w:bCs/>
          <w:color w:val="161B22"/>
        </w:rPr>
        <w:t xml:space="preserve">Work This Chapter on the Platform</w:t>
      </w:r>
      <w:bookmarkEnd w:id="1349"/>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five-pillar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11.10 — Hands-on platform tools for the Operations Pillar.</w:t>
      </w:r>
    </w:p>
    <w:p>
      <w:pPr>
        <w:pStyle w:val="Heading2"/>
        <w:pBdr>
          <w:top w:val="single" w:sz="6" w:space="10" w:color="C9D2DF"/>
        </w:pBdr>
      </w:pPr>
      <w:r>
        <w:rPr>
          <w:color w:val="161B22"/>
        </w:rPr>
        <w:t xml:space="preserve">11.18  </w:t>
      </w:r>
      <w:bookmarkStart w:id="1350" w:name="_Toc1349"/>
      <w:r>
        <w:rPr>
          <w:b/>
          <w:bCs/>
          <w:color w:val="161B22"/>
        </w:rPr>
        <w:t xml:space="preserve">Implications for You</w:t>
      </w:r>
      <w:bookmarkEnd w:id="1350"/>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11.19  </w:t>
      </w:r>
      <w:bookmarkStart w:id="1351" w:name="_Toc1350"/>
      <w:r>
        <w:rPr>
          <w:b/>
          <w:bCs/>
          <w:color w:val="161B22"/>
        </w:rPr>
        <w:t xml:space="preserve">Key Concepts in This Chapter</w:t>
      </w:r>
      <w:bookmarkEnd w:id="1351"/>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t xml:space="preserve"> </w:t>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t xml:space="preserve"> </w:t>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t xml:space="preserve"> </w:t>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t xml:space="preserve"> </w:t>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t xml:space="preserve"> </w:t>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t xml:space="preserve"> </w:t>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t xml:space="preserve"> </w:t>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2" w:name="_Toc1351"/>
      <w:r>
        <w:rPr>
          <w:b/>
          <w:bCs/>
          <w:color w:val="161B22"/>
        </w:rPr>
        <w:t xml:space="preserve">Chapter 12: Infrastructure for Knowledge Transfer and Implementation</w:t>
      </w:r>
      <w:bookmarkEnd w:id="1352"/>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FirstParagraph"/>
      </w:pPr>
      <w: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3" w:name="_Toc1352"/>
      <w:r>
        <w:rPr>
          <w:b/>
          <w:bCs/>
          <w:color w:val="161B22"/>
        </w:rPr>
        <w:t xml:space="preserve">The Gap Between Understanding and Doing</w:t>
      </w:r>
      <w:bookmarkEnd w:id="1353"/>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4" w:name="_Toc1353"/>
      <w:r>
        <w:rPr>
          <w:b/>
          <w:bCs/>
          <w:color w:val="161B22"/>
        </w:rPr>
        <w:t xml:space="preserve">The Knowledge and Implementation Infrastructure</w:t>
      </w:r>
      <w:bookmarkEnd w:id="1354"/>
    </w:p>
    <w:p>
      <w:pPr>
        <w:pStyle w:val="Heading3"/>
      </w:pPr>
      <w:r>
        <w:rPr>
          <w:color w:val="161B22"/>
        </w:rPr>
        <w:t xml:space="preserve">12.2.1  </w:t>
      </w:r>
      <w:bookmarkStart w:id="1355" w:name="_Toc1354"/>
      <w:r>
        <w:rPr>
          <w:b/>
          <w:bCs/>
          <w:color w:val="161B22"/>
        </w:rPr>
        <w:t xml:space="preserve">The HTR Platform — Four Components</w:t>
      </w:r>
      <w:bookmarkEnd w:id="1355"/>
    </w:p>
    <w:p>
      <w:pPr>
        <w:numPr>
          <w:ilvl w:val="0"/>
          <w:numId w:val="1028"/>
        </w:numPr>
        <w:keepLines w:val="true"/>
        <w:keepNext w:val="true"/>
      </w:pPr>
      <w:r>
        <w:t xml:space="preserve">THE WIRE — Real-time intelligence at healthtransformationreview.org/the-wire across all five pillars. Convergence Newsletter (free weekly) for Observer subscribers.</w:t>
      </w:r>
    </w:p>
    <w:p>
      <w:pPr>
        <w:numPr>
          <w:ilvl w:val="0"/>
          <w:numId w:val="1028"/>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numPr>
          <w:ilvl w:val="0"/>
          <w:numId w:val="1028"/>
        </w:numPr>
        <w:keepLines w:val="true"/>
        <w:keepNext w:val="true"/>
      </w:pPr>
      <w:r>
        <w:t xml:space="preserve">HTR ACADEMY — Structured curriculum at healthtransformationreview.org/academy. Foundation and advanced courses in APM mechanics, HEDIS, and transformation leadership.</w:t>
      </w:r>
    </w:p>
    <w:p>
      <w:pPr>
        <w:numPr>
          <w:ilvl w:val="0"/>
          <w:numId w:val="1028"/>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6" w:name="_Toc1355"/>
      <w:r>
        <w:rPr>
          <w:b/>
          <w:bCs/>
          <w:color w:val="161B22"/>
        </w:rPr>
        <w:t xml:space="preserve">Four Components of the HTR Platform</w:t>
      </w:r>
      <w:bookmarkEnd w:id="1356"/>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and Operations developments — curated, analyzed, and contextualized against the five-pillar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7" w:name="_Toc1356"/>
      <w:r>
        <w:rPr>
          <w:b/>
          <w:bCs/>
          <w:color w:val="161B22"/>
        </w:rPr>
        <w:t xml:space="preserve">The Transformation Advisory Domains — Structured for the Five Pillars</w:t>
      </w:r>
      <w:bookmarkEnd w:id="1357"/>
    </w:p>
    <w:p>
      <w:pPr>
        <w:pStyle w:val="FirstParagraph"/>
      </w:pPr>
      <w:r>
        <w:t xml:space="preserve">HTR Advisory engagements are organized around the five-pillar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8" w:name="_Toc1357"/>
      <w:r>
        <w:rPr>
          <w:b/>
          <w:bCs/>
          <w:color w:val="161B22"/>
        </w:rPr>
        <w:t xml:space="preserve">Policy Strategy</w:t>
      </w:r>
      <w:bookmarkEnd w:id="1358"/>
    </w:p>
    <w:p>
      <w:pPr>
        <w:pStyle w:val="FirstParagraph"/>
      </w:pPr>
      <w:r>
        <w:t xml:space="preserve">The Policy Strategy service line addresses the federal and state policy landscape that healthcare organizations must navigate. The typical engagement follows a three-phase structure:</w:t>
      </w:r>
    </w:p>
    <w:p>
      <w:pPr>
        <w:numPr>
          <w:ilvl w:val="0"/>
          <w:numId w:val="1029"/>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numPr>
          <w:ilvl w:val="0"/>
          <w:numId w:val="1029"/>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numPr>
          <w:ilvl w:val="0"/>
          <w:numId w:val="1029"/>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9" w:name="_Toc1358"/>
      <w:r>
        <w:rPr>
          <w:b/>
          <w:bCs/>
          <w:color w:val="161B22"/>
        </w:rPr>
        <w:t xml:space="preserve">VBC Economics</w:t>
      </w:r>
      <w:bookmarkEnd w:id="1359"/>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0" w:name="_Toc1359"/>
      <w:r>
        <w:rPr>
          <w:b/>
          <w:bCs/>
          <w:color w:val="161B22"/>
        </w:rPr>
        <w:t xml:space="preserve">Health Equity Practice</w:t>
      </w:r>
      <w:bookmarkEnd w:id="1360"/>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1" w:name="_Toc1360"/>
      <w:r>
        <w:rPr>
          <w:b/>
          <w:bCs/>
          <w:color w:val="161B22"/>
        </w:rPr>
        <w:t xml:space="preserve">Technology Strategy</w:t>
      </w:r>
      <w:bookmarkEnd w:id="1361"/>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2" w:name="_Toc1361"/>
      <w:r>
        <w:rPr>
          <w:b/>
          <w:bCs/>
          <w:color w:val="161B22"/>
        </w:rPr>
        <w:t xml:space="preserve">Transformation Management</w:t>
      </w:r>
      <w:bookmarkEnd w:id="1362"/>
    </w:p>
    <w:p>
      <w:pPr>
        <w:pStyle w:val="FirstParagraph"/>
      </w:pPr>
      <w: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3" w:name="_Toc1362"/>
      <w:r>
        <w:rPr>
          <w:b/>
          <w:bCs/>
          <w:color w:val="161B22"/>
        </w:rPr>
        <w:t xml:space="preserve">The Change Management Science Behind Healthcare Transformation</w:t>
      </w:r>
      <w:bookmarkEnd w:id="1363"/>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4" w:name="_Toc1363"/>
      <w:r>
        <w:rPr>
          <w:b/>
          <w:bCs/>
          <w:color w:val="161B22"/>
        </w:rPr>
        <w:t xml:space="preserve">Kotter’s Framework Applied to Healthcare Transformation</w:t>
      </w:r>
      <w:bookmarkEnd w:id="1364"/>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2"/>
        <w:gridCol w:w="2629"/>
        <w:gridCol w:w="2629"/>
        <w:gridCol w:w="2629"/>
      </w:tblGrid>
      <w:tr>
        <w:trPr>
          <w:tblHeader w:val="on"/>
          <w:cantSplit/>
        </w:trPr>
        <w:tc>
          <w:tcPr>
            <w:shd w:val="clear" w:color="auto" w:fill="1B3A6B"/>
            <w:tcW w:w="1182"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2"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2"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2"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2"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2"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2"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2"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2"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Sources: HTR Advisory methodology; Kotter (1996); Vermont transformation documentation.</w:t>
      </w:r>
    </w:p>
    <w:p>
      <w:pPr>
        <w:pStyle w:val="Heading3"/>
      </w:pPr>
      <w:r>
        <w:rPr>
          <w:color w:val="161B22"/>
        </w:rPr>
        <w:t xml:space="preserve">12.4.2  </w:t>
      </w:r>
      <w:bookmarkStart w:id="1365" w:name="_Toc1364"/>
      <w:r>
        <w:rPr>
          <w:b/>
          <w:bCs/>
          <w:color w:val="161B22"/>
        </w:rPr>
        <w:t xml:space="preserve">The Transformation Pace Problem</w:t>
      </w:r>
      <w:bookmarkEnd w:id="1365"/>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6" w:name="_Toc1365"/>
      <w:r>
        <w:rPr>
          <w:b/>
          <w:bCs/>
          <w:color w:val="161B22"/>
        </w:rPr>
        <w:t xml:space="preserve">The HTR Implementation Toolkit</w:t>
      </w:r>
      <w:bookmarkEnd w:id="1366"/>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five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7" w:name="_Toc1366"/>
      <w:r>
        <w:rPr>
          <w:b/>
          <w:bCs/>
          <w:color w:val="161B22"/>
        </w:rPr>
        <w:t xml:space="preserve">A Framework for Selecting Advisory Support</w:t>
      </w:r>
      <w:bookmarkEnd w:id="1367"/>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8" w:name="_Toc1367"/>
      <w:r>
        <w:rPr>
          <w:b/>
          <w:bCs/>
          <w:color w:val="161B22"/>
        </w:rPr>
        <w:t xml:space="preserve">The Role of External Technical Assistance in State-Level Transformation</w:t>
      </w:r>
      <w:bookmarkEnd w:id="1368"/>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9" w:name="_Toc1368"/>
      <w:r>
        <w:rPr>
          <w:b/>
          <w:bCs/>
          <w:color w:val="161B22"/>
        </w:rPr>
        <w:t xml:space="preserve">Work This Chapter on the Platform</w:t>
      </w:r>
      <w:bookmarkEnd w:id="1369"/>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03">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04">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70" w:name="_Toc1369"/>
      <w:r>
        <w:rPr>
          <w:b/>
          <w:bCs/>
          <w:color w:val="161B22"/>
        </w:rPr>
        <w:t xml:space="preserve">Implications for You</w:t>
      </w:r>
      <w:bookmarkEnd w:id="1370"/>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1" w:name="_Toc1370"/>
      <w:r>
        <w:rPr>
          <w:b/>
          <w:bCs/>
          <w:color w:val="161B22"/>
        </w:rPr>
        <w:t xml:space="preserve">Key Concepts in This Chapter</w:t>
      </w:r>
      <w:bookmarkEnd w:id="1371"/>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five-pillar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t xml:space="preserve"> </w:t>
      </w:r>
      <w:r>
        <w:rPr>
          <w:rFonts w:ascii="Calibri" w:hAnsi="Calibri"/>
          <w:color w:val="000000"/>
          <w:sz w:val="18"/>
        </w:rPr>
        <w:t xml:space="preserve">The suite of analytical tools implementing the five-pillar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t xml:space="preserve"> </w:t>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t xml:space="preserve"> </w:t>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t xml:space="preserve"> </w:t>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t xml:space="preserve"> </w:t>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t xml:space="preserve"> </w:t>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2" w:name="_Toc1371"/>
      <w:r>
        <w:rPr>
          <w:b/>
          <w:bCs/>
          <w:color w:val="161B22"/>
        </w:rPr>
        <w:t xml:space="preserve">Chapter 13: The Future of Healthcare Transformation — 2026, What Vermont Proves, and What Remains</w:t>
      </w:r>
      <w:bookmarkEnd w:id="1372"/>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FirstParagraph"/>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3" w:name="_Toc1372"/>
      <w:r>
        <w:rPr>
          <w:b/>
          <w:bCs/>
          <w:color w:val="161B22"/>
        </w:rPr>
        <w:t xml:space="preserve">Vermont Transformation Scorecard: Five-Pillar Status, April 2026</w:t>
      </w:r>
      <w:bookmarkEnd w:id="1373"/>
    </w:p>
    <w:p>
      <w:pPr>
        <w:pStyle w:val="FirstParagraph"/>
        <w:keepNext w:val="false"/>
      </w:pPr>
      <w: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4" w:name="_Toc1373"/>
      <w:r>
        <w:rPr>
          <w:b/>
          <w:bCs/>
          <w:color w:val="161B22"/>
        </w:rPr>
        <w:t xml:space="preserve">Where the System Stands in April 2026 — A Necessary Update</w:t>
      </w:r>
      <w:bookmarkEnd w:id="1374"/>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5" w:name="_Toc1374"/>
      <w:r>
        <w:rPr>
          <w:b/>
          <w:bCs/>
          <w:color w:val="161B22"/>
        </w:rPr>
        <w:t xml:space="preserve">Five Forces Shaping the Next Decade</w:t>
      </w:r>
      <w:bookmarkEnd w:id="1375"/>
    </w:p>
    <w:p>
      <w:pPr>
        <w:pStyle w:val="Heading3"/>
      </w:pPr>
      <w:r>
        <w:rPr>
          <w:color w:val="161B22"/>
        </w:rPr>
        <w:t xml:space="preserve">13.3.1  </w:t>
      </w:r>
      <w:bookmarkStart w:id="1376" w:name="_Toc1375"/>
      <w:r>
        <w:rPr>
          <w:b/>
          <w:bCs/>
          <w:color w:val="161B22"/>
        </w:rPr>
        <w:t xml:space="preserve">Force 1: The Medicaid–RHT Tension — the Defining Policy Dynamic</w:t>
      </w:r>
      <w:bookmarkEnd w:id="1376"/>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7" w:name="_Toc1376"/>
      <w:r>
        <w:rPr>
          <w:b/>
          <w:bCs/>
          <w:color w:val="161B22"/>
        </w:rPr>
        <w:t xml:space="preserve">Force 2: AI Clinical Transformation — Accelerating Faster Than Governance</w:t>
      </w:r>
      <w:bookmarkEnd w:id="1377"/>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8" w:name="_Toc1377"/>
      <w:r>
        <w:rPr>
          <w:b/>
          <w:bCs/>
          <w:color w:val="161B22"/>
        </w:rPr>
        <w:t xml:space="preserve">Force 3: The Demographic Reckoning — No Longer a Future Problem</w:t>
      </w:r>
      <w:bookmarkEnd w:id="1378"/>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9" w:name="_Toc1378"/>
      <w:r>
        <w:rPr>
          <w:b/>
          <w:bCs/>
          <w:color w:val="161B22"/>
        </w:rPr>
        <w:t xml:space="preserve">Force 4: The Drug-Pricing Reckoning — Complexity Compounding</w:t>
      </w:r>
      <w:bookmarkEnd w:id="1379"/>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0" w:name="_Toc1379"/>
      <w:r>
        <w:rPr>
          <w:b/>
          <w:bCs/>
          <w:color w:val="161B22"/>
        </w:rPr>
        <w:t xml:space="preserve">Force 5: The Value-Based-Care Tipping Point — Still Approaching</w:t>
      </w:r>
      <w:bookmarkEnd w:id="1380"/>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Connecticut, Hawaii, Rhode Island, and New York’s Cohort 2 and 3 participation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13.4  </w:t>
      </w:r>
      <w:bookmarkStart w:id="1381" w:name="_Toc1380"/>
      <w:r>
        <w:rPr>
          <w:b/>
          <w:bCs/>
          <w:color w:val="161B22"/>
        </w:rPr>
        <w:t xml:space="preserve">The Five-Pillar Forecast: 2026–2035</w:t>
      </w:r>
      <w:bookmarkEnd w:id="1381"/>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2026 starting point</w:t>
            </w:r>
          </w:p>
        </w:tc>
        <w:tc>
          <w:tcPr>
            <w:shd w:val="clear" w:color="auto" w:fill="1B3A6B"/>
            <w:tcW w:w="2177" w:type="dxa"/>
          </w:tcPr>
          <w:p>
            <w:pPr>
              <w:pStyle w:val="Compact"/>
              <w:jc w:val="left"/>
            </w:pPr>
            <w:r>
              <w:rPr>
                <w:b/>
                <w:color w:val="FFFFFF"/>
                <w:sz w:val="18"/>
              </w:rPr>
              <w:t xml:space="preserve">Primary headwinds</w:t>
            </w:r>
          </w:p>
        </w:tc>
        <w:tc>
          <w:tcPr>
            <w:shd w:val="clear" w:color="auto" w:fill="1B3A6B"/>
            <w:tcW w:w="2177" w:type="dxa"/>
          </w:tcPr>
          <w:p>
            <w:pPr>
              <w:pStyle w:val="Compact"/>
              <w:jc w:val="left"/>
            </w:pPr>
            <w:r>
              <w:rPr>
                <w:b/>
                <w:color w:val="FFFFFF"/>
                <w:sz w:val="18"/>
              </w:rPr>
              <w:t xml:space="preserve">Primary tailwinds</w:t>
            </w:r>
          </w:p>
        </w:tc>
        <w:tc>
          <w:tcPr>
            <w:shd w:val="clear" w:color="auto" w:fill="1B3A6B"/>
            <w:tcW w:w="2177" w:type="dxa"/>
          </w:tcPr>
          <w:p>
            <w:pPr>
              <w:pStyle w:val="Compact"/>
              <w:jc w:val="left"/>
            </w:pPr>
            <w:r>
              <w:rPr>
                <w:b/>
                <w:color w:val="FFFFFF"/>
                <w:sz w:val="18"/>
              </w:rPr>
              <w:t xml:space="preserve">2035 assessment</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VT: Acts 167/68/AHEAD form the most complete state reform mandate in the country. National: H.R. 1 Medicaid cuts; RHT front-loaded.</w:t>
            </w:r>
          </w:p>
        </w:tc>
        <w:tc>
          <w:tcPr>
            <w:tcW w:w="2177" w:type="dxa"/>
          </w:tcPr>
          <w:p>
            <w:pPr>
              <w:pStyle w:val="Compact"/>
              <w:jc w:val="left"/>
            </w:pPr>
            <w:r>
              <w:rPr>
                <w:sz w:val="18"/>
              </w:rPr>
              <w:t xml:space="preserve">Medicaid work requirements (late 2026); federal policy instability; provider-tax restrictions pressuring state budgets.</w:t>
            </w:r>
          </w:p>
        </w:tc>
        <w:tc>
          <w:tcPr>
            <w:tcW w:w="2177" w:type="dxa"/>
          </w:tcPr>
          <w:p>
            <w:pPr>
              <w:pStyle w:val="Compact"/>
              <w:jc w:val="left"/>
            </w:pPr>
            <w:r>
              <w:rPr>
                <w:sz w:val="18"/>
              </w:rPr>
              <w:t xml:space="preserve">AHEAD expanding (6 states); VT mandatory RBP/global budgets as template; price-transparency momentum; BALANCE GLP-1 access.</w:t>
            </w:r>
          </w:p>
        </w:tc>
        <w:tc>
          <w:tcPr>
            <w:tcW w:w="2177" w:type="dxa"/>
          </w:tcPr>
          <w:p>
            <w:pPr>
              <w:pStyle w:val="Compact"/>
              <w:jc w:val="left"/>
            </w:pPr>
            <w:r>
              <w:rPr>
                <w:sz w:val="18"/>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8"/>
              </w:rPr>
              <w:t xml:space="preserve">Two-year VHCURES data lag; incomplete FHIR at smaller hospitals; absent AI governance in most states.</w:t>
            </w:r>
          </w:p>
        </w:tc>
        <w:tc>
          <w:tcPr>
            <w:tcW w:w="2177" w:type="dxa"/>
          </w:tcPr>
          <w:p>
            <w:pPr>
              <w:pStyle w:val="Compact"/>
              <w:jc w:val="left"/>
            </w:pPr>
            <w:r>
              <w:rPr>
                <w:sz w:val="18"/>
              </w:rPr>
              <w:t xml:space="preserve">VT CIN providing shared analytics and AI governance; RHT IT grants funding FHIR upgrades; ambient AI reducing burden nationally.</w:t>
            </w:r>
          </w:p>
        </w:tc>
        <w:tc>
          <w:tcPr>
            <w:tcW w:w="2177" w:type="dxa"/>
          </w:tcPr>
          <w:p>
            <w:pPr>
              <w:pStyle w:val="Compact"/>
              <w:jc w:val="left"/>
            </w:pPr>
            <w:r>
              <w:rPr>
                <w:sz w:val="18"/>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VT: RBP implementing (FY2027); global budgets mandated (FY2028). National: VBC ~58% commercial; global budgets rare outside VT/MD.</w:t>
            </w:r>
          </w:p>
        </w:tc>
        <w:tc>
          <w:tcPr>
            <w:tcW w:w="2177" w:type="dxa"/>
          </w:tcPr>
          <w:p>
            <w:pPr>
              <w:pStyle w:val="Compact"/>
              <w:jc w:val="left"/>
            </w:pPr>
            <w:r>
              <w:rPr>
                <w:sz w:val="18"/>
              </w:rPr>
              <w:t xml:space="preserve">H.R. 1 Medicaid revenue reductions; GLP-1 wave threatening IRA savings; commercial premium pressure.</w:t>
            </w:r>
          </w:p>
        </w:tc>
        <w:tc>
          <w:tcPr>
            <w:tcW w:w="2177" w:type="dxa"/>
          </w:tcPr>
          <w:p>
            <w:pPr>
              <w:pStyle w:val="Compact"/>
              <w:jc w:val="left"/>
            </w:pPr>
            <w:r>
              <w:rPr>
                <w:sz w:val="18"/>
              </w:rPr>
              <w:t xml:space="preserve">VT RBP producing documented savings; IRA GLP-1 negotiation (2027); Maryland AHEAD validating global budgets; ACO REACH maturing.</w:t>
            </w:r>
          </w:p>
        </w:tc>
        <w:tc>
          <w:tcPr>
            <w:tcW w:w="2177" w:type="dxa"/>
          </w:tcPr>
          <w:p>
            <w:pPr>
              <w:pStyle w:val="Compact"/>
              <w:jc w:val="left"/>
            </w:pPr>
            <w:r>
              <w:rPr>
                <w:sz w:val="18"/>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8"/>
              </w:rPr>
              <w:t xml:space="preserve">MHI sustainability uncertain without a durable funding source after the AHEAD withdrawal; primary-care shortage (370-FTE gap by 2030 in VT); Medicaid cuts threatening safety-net providers.</w:t>
            </w:r>
          </w:p>
        </w:tc>
        <w:tc>
          <w:tcPr>
            <w:tcW w:w="2177" w:type="dxa"/>
          </w:tcPr>
          <w:p>
            <w:pPr>
              <w:pStyle w:val="Compact"/>
              <w:jc w:val="left"/>
            </w:pPr>
            <w:r>
              <w:rPr>
                <w:sz w:val="18"/>
              </w:rPr>
              <w:t xml:space="preserve">Blueprint among strongest PCMH infrastructure in the country; CCBHC expansion; CoCM Medicare billing enabling sustainable financing.</w:t>
            </w:r>
          </w:p>
        </w:tc>
        <w:tc>
          <w:tcPr>
            <w:tcW w:w="2177" w:type="dxa"/>
          </w:tcPr>
          <w:p>
            <w:pPr>
              <w:pStyle w:val="Compact"/>
              <w:jc w:val="left"/>
            </w:pPr>
            <w:r>
              <w:rPr>
                <w:sz w:val="18"/>
              </w:rPr>
              <w:t xml:space="preserve">Steady national improvement in primary care and BH integration. VT: Blueprint + AHEAD primary-care investment strongest in country; BH integration is the critical clinical variable.</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8"/>
              </w:rPr>
              <w:t xml:space="preserve">14 plans at varying stages; analytics vendor not yet operational; AHS capacity must be built; RHT requires PM infrastructure VT is hiring.</w:t>
            </w:r>
          </w:p>
        </w:tc>
        <w:tc>
          <w:tcPr>
            <w:tcW w:w="2177" w:type="dxa"/>
          </w:tcPr>
          <w:p>
            <w:pPr>
              <w:pStyle w:val="Compact"/>
              <w:jc w:val="left"/>
            </w:pPr>
            <w:r>
              <w:rPr>
                <w:sz w:val="18"/>
              </w:rPr>
              <w:t xml:space="preserve">$195M RHT capital; all 14 hospitals engaged; GMCB capacity added under Act 68; joint AHS-GMCB analytics procurement; CIN shared services.</w:t>
            </w:r>
          </w:p>
        </w:tc>
        <w:tc>
          <w:tcPr>
            <w:tcW w:w="2177" w:type="dxa"/>
          </w:tcPr>
          <w:p>
            <w:pPr>
              <w:pStyle w:val="Compact"/>
              <w:jc w:val="left"/>
            </w:pPr>
            <w:r>
              <w:rPr>
                <w:sz w:val="18"/>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2" w:name="_Toc1381"/>
      <w:r>
        <w:rPr>
          <w:b/>
          <w:bCs/>
          <w:color w:val="161B22"/>
        </w:rPr>
        <w:t xml:space="preserve">Vermont’s Ten-Year Trajectory: Two Scenarios</w:t>
      </w:r>
      <w:bookmarkEnd w:id="1382"/>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3" w:name="_Toc1382"/>
      <w:r>
        <w:rPr>
          <w:b/>
          <w:bCs/>
          <w:color w:val="161B22"/>
        </w:rPr>
        <w:t xml:space="preserve">The Transformation-Success Scenario</w:t>
      </w:r>
      <w:bookmarkEnd w:id="1383"/>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4" w:name="_Toc1383"/>
      <w:r>
        <w:rPr>
          <w:b/>
          <w:bCs/>
          <w:color w:val="161B22"/>
        </w:rPr>
        <w:t xml:space="preserve">The Partial-Transformation Scenario</w:t>
      </w:r>
      <w:bookmarkEnd w:id="1384"/>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5" w:name="_Toc1384"/>
      <w:r>
        <w:rPr>
          <w:b/>
          <w:bCs/>
          <w:color w:val="161B22"/>
        </w:rPr>
        <w:t xml:space="preserve">Vermont as National Template — The Decisions That Will Determine Outcomes</w:t>
      </w:r>
      <w:bookmarkEnd w:id="1385"/>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Act 68’s global budgets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6" w:name="_Toc1385"/>
      <w:r>
        <w:rPr>
          <w:b/>
          <w:bCs/>
          <w:color w:val="161B22"/>
        </w:rPr>
        <w:t xml:space="preserve">Work This Chapter on the Platform</w:t>
      </w:r>
      <w:bookmarkEnd w:id="1386"/>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five-pillar status as it moves, rather than at the single April 2026 snapshot this chapter reports</w:t>
            </w:r>
          </w:p>
        </w:tc>
        <w:tc>
          <w:tcPr>
            <w:tcW w:w="2736" w:type="dxa"/>
          </w:tcPr>
          <w:p>
            <w:pPr>
              <w:pStyle w:val="Compact"/>
              <w:jc w:val="left"/>
            </w:pPr>
            <w:hyperlink r:id="rId422">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23">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24">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five pillars and test the chapter’s scenarios yourself</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87" w:name="_Toc1386"/>
      <w:r>
        <w:rPr>
          <w:b/>
          <w:bCs/>
          <w:color w:val="161B22"/>
        </w:rPr>
        <w:t xml:space="preserve">Implications for You</w:t>
      </w:r>
      <w:bookmarkEnd w:id="1387"/>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8" w:name="_Toc1387"/>
      <w:r>
        <w:rPr>
          <w:b/>
          <w:bCs/>
          <w:color w:val="161B22"/>
        </w:rPr>
        <w:t xml:space="preserve">Key Concepts in This Chapter</w:t>
      </w:r>
      <w:bookmarkEnd w:id="1388"/>
    </w:p>
    <w:p>
      <w:pPr>
        <w:pStyle w:val="FirstParagraph"/>
        <w:spacing w:before="160" w:after="120"/>
      </w:pPr>
      <w:r>
        <w:rPr>
          <w:rFonts w:ascii="Calibri" w:hAnsi="Calibri"/>
          <w:color w:val="000000"/>
          <w:sz w:val="18"/>
        </w:rPr>
        <w:t xml:space="preserve">Five forces · five-pillar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9" w:name="_Toc1388"/>
      <w:r>
        <w:rPr>
          <w:b/>
          <w:bCs/>
          <w:color w:val="161B22"/>
        </w:rPr>
        <w:t xml:space="preserve">A Closing Note: What This Book Is Betting On</w:t>
      </w:r>
      <w:bookmarkEnd w:id="1389"/>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0" w:name="_Toc1389"/>
      <w:r>
        <w:rPr>
          <w:b/>
          <w:bCs/>
          <w:color w:val="161B22"/>
        </w:rPr>
        <w:t xml:space="preserve">Chapter 14: Political Sustainability — Protecting Transformation Across Election Cycles</w:t>
      </w:r>
      <w:bookmarkEnd w:id="1390"/>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FirstParagraph"/>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1" w:name="_Toc1390"/>
      <w:r>
        <w:rPr>
          <w:b/>
          <w:bCs/>
          <w:color w:val="161B22"/>
        </w:rPr>
        <w:t xml:space="preserve">Why Political Sustainability Is an Analytical Problem, Not Only a Political One</w:t>
      </w:r>
      <w:bookmarkEnd w:id="1391"/>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2" w:name="_Toc1391"/>
      <w:r>
        <w:rPr>
          <w:b/>
          <w:bCs/>
          <w:color w:val="161B22"/>
        </w:rPr>
        <w:t xml:space="preserve">The Structural Durability of Vermont’s Reform Architecture</w:t>
      </w:r>
      <w:bookmarkEnd w:id="1392"/>
    </w:p>
    <w:p>
      <w:pPr>
        <w:pStyle w:val="Heading3"/>
      </w:pPr>
      <w:r>
        <w:rPr>
          <w:color w:val="161B22"/>
        </w:rPr>
        <w:t xml:space="preserve">14.2.1  </w:t>
      </w:r>
      <w:bookmarkStart w:id="1393" w:name="_Toc1392"/>
      <w:r>
        <w:rPr>
          <w:b/>
          <w:bCs/>
          <w:color w:val="161B22"/>
        </w:rPr>
        <w:t xml:space="preserve">What Is Hard to Reverse</w:t>
      </w:r>
      <w:bookmarkEnd w:id="1393"/>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4" w:name="_Toc1393"/>
      <w:r>
        <w:rPr>
          <w:b/>
          <w:bCs/>
          <w:color w:val="161B22"/>
        </w:rPr>
        <w:t xml:space="preserve">What Is Politically Exposed</w:t>
      </w:r>
      <w:bookmarkEnd w:id="1394"/>
    </w:p>
    <w:p>
      <w:pPr>
        <w:pStyle w:val="FirstParagraph"/>
      </w:pPr>
      <w:r>
        <w:t xml:space="preserve">RBP methodology. RBP is mandatory from FY2027, but the</w:t>
      </w:r>
      <w:r>
        <w:t xml:space="preserve"> </w:t>
      </w:r>
      <w:r>
        <w:rPr>
          <w:i/>
          <w:iCs/>
        </w:rPr>
        <w:t xml:space="preserve">methodology</w:t>
      </w:r>
      <w:r>
        <w:t xml:space="preserve"> </w:t>
      </w:r>
      <w:r>
        <w:t xml:space="preserve">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5" w:name="_Toc1394"/>
      <w:r>
        <w:rPr>
          <w:b/>
          <w:bCs/>
          <w:color w:val="161B22"/>
        </w:rPr>
        <w:t xml:space="preserve">Early-Warning Signals of Political Risk</w:t>
      </w:r>
      <w:bookmarkEnd w:id="1395"/>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line="240" w:lineRule="auto"/>
        <w:rPr>
          <w:sz w:val="16"/>
        </w:rPr>
      </w:pPr>
    </w:p>
    <w:p>
      <w:pPr>
        <w:pStyle w:val="Heading2"/>
        <w:pBdr>
          <w:top w:val="single" w:sz="6" w:space="10" w:color="C9D2DF"/>
        </w:pBdr>
      </w:pPr>
      <w:r>
        <w:rPr>
          <w:color w:val="161B22"/>
        </w:rPr>
        <w:t xml:space="preserve">14.4  </w:t>
      </w:r>
      <w:bookmarkStart w:id="1396" w:name="_Toc1395"/>
      <w:r>
        <w:rPr>
          <w:b/>
          <w:bCs/>
          <w:color w:val="161B22"/>
        </w:rPr>
        <w:t xml:space="preserve">Organizational Strategies for Political Risk Management</w:t>
      </w:r>
      <w:bookmarkEnd w:id="1396"/>
    </w:p>
    <w:p>
      <w:pPr>
        <w:pStyle w:val="Heading3"/>
      </w:pPr>
      <w:r>
        <w:rPr>
          <w:color w:val="161B22"/>
        </w:rPr>
        <w:t xml:space="preserve">14.4.1  </w:t>
      </w:r>
      <w:bookmarkStart w:id="1397" w:name="_Toc1396"/>
      <w:r>
        <w:rPr>
          <w:b/>
          <w:bCs/>
          <w:color w:val="161B22"/>
        </w:rPr>
        <w:t xml:space="preserve">Strategy 1 — Build investments that are hard to reverse</w:t>
      </w:r>
      <w:bookmarkEnd w:id="1397"/>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8" w:name="_Toc1397"/>
      <w:r>
        <w:rPr>
          <w:b/>
          <w:bCs/>
          <w:color w:val="161B22"/>
        </w:rPr>
        <w:t xml:space="preserve">Strategy 2 — Engage the regulatory process early and substantively</w:t>
      </w:r>
      <w:bookmarkEnd w:id="1398"/>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9" w:name="_Toc1398"/>
      <w:r>
        <w:rPr>
          <w:b/>
          <w:bCs/>
          <w:color w:val="161B22"/>
        </w:rPr>
        <w:t xml:space="preserve">Strategy 3 — Maintain scenario plans for policy disruption</w:t>
      </w:r>
      <w:bookmarkEnd w:id="1399"/>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0" w:name="_Toc1399"/>
      <w:r>
        <w:rPr>
          <w:b/>
          <w:bCs/>
          <w:color w:val="161B22"/>
        </w:rPr>
        <w:t xml:space="preserve">Strategy 4 — Document and communicate transformation progress</w:t>
      </w:r>
      <w:bookmarkEnd w:id="1400"/>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1" w:name="_Toc1400"/>
      <w:r>
        <w:rPr>
          <w:b/>
          <w:bCs/>
          <w:color w:val="161B22"/>
        </w:rPr>
        <w:t xml:space="preserve">Vermont’s Reform Cascade as Political-Sustainability Architecture</w:t>
      </w:r>
      <w:bookmarkEnd w:id="1401"/>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2" w:name="_Toc1401"/>
      <w:r>
        <w:rPr>
          <w:b/>
          <w:bCs/>
          <w:color w:val="161B22"/>
        </w:rPr>
        <w:t xml:space="preserve">Work This Chapter on the Platform</w:t>
      </w:r>
      <w:bookmarkEnd w:id="1402"/>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24">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3" w:name="_Toc1402"/>
      <w:r>
        <w:rPr>
          <w:b/>
          <w:bCs/>
          <w:color w:val="161B22"/>
        </w:rPr>
        <w:t xml:space="preserve">Implications for You</w:t>
      </w:r>
      <w:bookmarkEnd w:id="1403"/>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4" w:name="_Toc1403"/>
      <w:r>
        <w:rPr>
          <w:b/>
          <w:bCs/>
          <w:color w:val="161B22"/>
        </w:rPr>
        <w:t xml:space="preserve">Key Concepts in This Chapter</w:t>
      </w:r>
      <w:bookmarkEnd w:id="140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w:t>
      </w:r>
      <w:r>
        <w:rPr>
          <w:rFonts w:ascii="Calibri" w:hAnsi="Calibri"/>
          <w:color w:val="000000"/>
          <w:sz w:val="18"/>
        </w:rPr>
        <w:t xml:space="preserve"> </w:t>
      </w:r>
      <w:r>
        <w:rPr>
          <w:rFonts w:ascii="Calibri" w:hAnsi="Calibri"/>
          <w:i/>
          <w:iCs/>
          <w:color w:val="000000"/>
          <w:sz w:val="18"/>
        </w:rPr>
        <w:t xml:space="preserve">support</w:t>
      </w:r>
      <w:r>
        <w:rPr>
          <w:rFonts w:ascii="Calibri" w:hAnsi="Calibri"/>
          <w:color w:val="000000"/>
          <w:sz w:val="18"/>
        </w:rPr>
        <w:t xml:space="preserve">: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w:t>
      </w:r>
      <w:r>
        <w:rPr>
          <w:rFonts w:ascii="Calibri" w:hAnsi="Calibri"/>
          <w:color w:val="000000"/>
          <w:sz w:val="18"/>
        </w:rPr>
        <w:t xml:space="preserve"> </w:t>
      </w:r>
      <w:r>
        <w:rPr>
          <w:rFonts w:ascii="Calibri" w:hAnsi="Calibri"/>
          <w:i/>
          <w:iCs/>
          <w:color w:val="000000"/>
          <w:sz w:val="18"/>
        </w:rPr>
        <w:t xml:space="preserve">before</w:t>
      </w:r>
      <w:r>
        <w:rPr>
          <w:rFonts w:ascii="Calibri" w:hAnsi="Calibri"/>
          <w:color w:val="000000"/>
          <w:sz w:val="18"/>
        </w:rPr>
        <w:t xml:space="preserve"> </w:t>
      </w:r>
      <w:r>
        <w:rPr>
          <w:rFonts w:ascii="Calibri" w:hAnsi="Calibri"/>
          <w:color w:val="000000"/>
          <w:sz w:val="18"/>
        </w:rPr>
        <w:t xml:space="preserve">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5" w:name="_Toc1404"/>
      <w:r>
        <w:rPr>
          <w:b/>
          <w:bCs/>
          <w:color w:val="161B22"/>
        </w:rPr>
        <w:t xml:space="preserve">Chapter 15: Healthcare Transformation as Portfolio Management — Applying PMI Standards to Five-Pillar Reform</w:t>
      </w:r>
      <w:bookmarkEnd w:id="1405"/>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FirstParagraph"/>
      </w:pPr>
      <w: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pPr>
        <w:pStyle w:val="Heading2"/>
        <w:pBdr>
          <w:top w:val="single" w:sz="6" w:space="10" w:color="C9D2DF"/>
        </w:pBdr>
        <w:keepNext w:val="false"/>
      </w:pPr>
      <w:r>
        <w:rPr>
          <w:color w:val="161B22"/>
        </w:rPr>
        <w:t xml:space="preserve">15.1  </w:t>
      </w:r>
      <w:bookmarkStart w:id="1406" w:name="_Toc1405"/>
      <w:r>
        <w:rPr>
          <w:b/>
          <w:bCs/>
          <w:color w:val="161B22"/>
        </w:rPr>
        <w:t xml:space="preserve">The Project-Management Gap in Healthcare Transformation</w:t>
      </w:r>
      <w:bookmarkEnd w:id="1406"/>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7" w:name="_Toc1406"/>
      <w:r>
        <w:rPr>
          <w:b/>
          <w:bCs/>
          <w:color w:val="161B22"/>
        </w:rPr>
        <w:t xml:space="preserve">Project, Program, and Portfolio: Getting the Levels Right</w:t>
      </w:r>
      <w:bookmarkEnd w:id="1407"/>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five-pillar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Sources: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8" w:name="_Toc1407"/>
      <w:r>
        <w:rPr>
          <w:b/>
          <w:bCs/>
          <w:color w:val="161B22"/>
        </w:rPr>
        <w:t xml:space="preserve">Vermont’s Transformation Portfolio: 19 Components</w:t>
      </w:r>
      <w:bookmarkEnd w:id="1408"/>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RHT Program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line="240" w:lineRule="auto"/>
        <w:rPr>
          <w:sz w:val="16"/>
        </w:rPr>
      </w:pPr>
    </w:p>
    <w:p>
      <w:pPr>
        <w:pStyle w:val="Heading2"/>
        <w:pBdr>
          <w:top w:val="single" w:sz="6" w:space="10" w:color="C9D2DF"/>
        </w:pBdr>
      </w:pPr>
      <w:r>
        <w:rPr>
          <w:color w:val="161B22"/>
        </w:rPr>
        <w:t xml:space="preserve">15.4  </w:t>
      </w:r>
      <w:bookmarkStart w:id="1409" w:name="_Toc1408"/>
      <w:r>
        <w:rPr>
          <w:b/>
          <w:bCs/>
          <w:color w:val="161B22"/>
        </w:rPr>
        <w:t xml:space="preserve">The Case for a Portfolio Manager</w:t>
      </w:r>
      <w:bookmarkEnd w:id="140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0" w:name="_Toc1409"/>
      <w:r>
        <w:rPr>
          <w:b/>
          <w:bCs/>
          <w:color w:val="161B22"/>
        </w:rPr>
        <w:t xml:space="preserve">Pillar-Level Project Managers: Five Roles, One Framework</w:t>
      </w:r>
      <w:bookmarkEnd w:id="141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1" w:name="_Toc1410"/>
      <w:r>
        <w:rPr>
          <w:b/>
          <w:bCs/>
          <w:color w:val="161B22"/>
        </w:rPr>
        <w:t xml:space="preserve">Governance Architecture and the Ten Knowledge Areas</w:t>
      </w:r>
      <w:bookmarkEnd w:id="141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five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2" w:name="_Toc1411"/>
      <w:r>
        <w:rPr>
          <w:b/>
          <w:bCs/>
          <w:color w:val="161B22"/>
        </w:rPr>
        <w:t xml:space="preserve">Portfolio Sequence Is Dependency Sequence</w:t>
      </w:r>
      <w:bookmarkEnd w:id="1412"/>
    </w:p>
    <w:p>
      <w:pPr>
        <w:pStyle w:val="FirstParagraph"/>
      </w:pPr>
      <w: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pPr>
        <w:pStyle w:val="BodyText"/>
      </w:pPr>
      <w:r>
        <w:t xml:space="preserve">Read Figure 15.3 by its first column and the point is immediate: the components are already grouped by pillar. What the PMI framing adds is that each pillar’s components carry the</w:t>
      </w:r>
      <w:r>
        <w:t xml:space="preserve"> </w:t>
      </w:r>
      <w:r>
        <w:rPr>
          <w:i/>
          <w:iCs/>
        </w:rPr>
        <w:t xml:space="preserve">inbound dependencies of that pillar</w:t>
      </w:r>
      <w: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 schedule.”</w:t>
      </w:r>
      <w:r>
        <w:rPr>
          <w:b/>
          <w:bCs/>
        </w:rPr>
        <w:t xml:space="preserve"> </w:t>
      </w:r>
      <w:r>
        <w:rPr>
          <w:b/>
          <w:bCs/>
        </w:rPr>
        <w:t xml:space="preserve">It is correctly waiting.</w:t>
      </w:r>
      <w:r>
        <w:t xml:space="preserve"> </w:t>
      </w:r>
      <w:r>
        <w:t xml:space="preserve">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pPr>
        <w:pStyle w:val="BodyText"/>
        <w:keepNext w:val="false"/>
      </w:pPr>
      <w:r>
        <w:t xml:space="preserve">The inverse rule matters as much.</w:t>
      </w:r>
      <w:r>
        <w:t xml:space="preserve"> </w:t>
      </w:r>
      <w:r>
        <w:rPr>
          <w:b/>
          <w:bCs/>
        </w:rPr>
        <w:t xml:space="preserve">A component with no unmet upstream dependency should be running now, regardless of how distant its own deadline is.</w:t>
      </w:r>
      <w:r>
        <w:t xml:space="preserve"> </w:t>
      </w:r>
      <w:r>
        <w:t xml:space="preserve">Social-risk-adjustment methodology (R-08) has a FY2028 target and no upstream blocker; it can and should proceed in parallel today. Treating it as a FY2028 problem because that is when it is due is the scheduling error that 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0"/>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0"/>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 open means the enabling work is finished, not that a milestone was declared.)</w:t>
            </w:r>
          </w:p>
          <w:p>
            <w:pPr>
              <w:numPr>
                <w:ilvl w:val="0"/>
                <w:numId w:val="1030"/>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0"/>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 order even when it is early by calendar.</w:t>
            </w:r>
          </w:p>
          <w:p>
            <w:pPr>
              <w:spacing w:after="60" w:line="264" w:lineRule="auto"/>
            </w:pPr>
            <w:r>
              <w:rPr>
                <w:sz w:val="20"/>
                <w:szCs w:val="20"/>
              </w:rPr>
              <w:t xml:space="preserve">Applied across all nineteen, this test produces the portfolio’s true critical path, which will not match the order of statutory deadlines.</w:t>
            </w:r>
          </w:p>
        </w:tc>
      </w:tr>
    </w:tbl>
    <w:p>
      <w:pPr>
        <w:spacing w:after="120" w:line="240" w:lineRule="auto"/>
        <w:rPr>
          <w:sz w:val="16"/>
        </w:rPr>
      </w:pPr>
    </w:p>
    <w:p>
      <w:pPr>
        <w:pStyle w:val="Heading2"/>
        <w:pBdr>
          <w:top w:val="single" w:sz="6" w:space="10" w:color="C9D2DF"/>
        </w:pBdr>
      </w:pPr>
      <w:r>
        <w:rPr>
          <w:color w:val="161B22"/>
        </w:rPr>
        <w:t xml:space="preserve">15.8  </w:t>
      </w:r>
      <w:bookmarkStart w:id="1413" w:name="_Toc1412"/>
      <w:r>
        <w:rPr>
          <w:b/>
          <w:bCs/>
          <w:color w:val="161B22"/>
        </w:rPr>
        <w:t xml:space="preserve">Predictive vs. Adaptive Approaches</w:t>
      </w:r>
      <w:bookmarkEnd w:id="1413"/>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4" w:name="_Toc1413"/>
      <w:r>
        <w:rPr>
          <w:b/>
          <w:bCs/>
          <w:color w:val="161B22"/>
        </w:rPr>
        <w:t xml:space="preserve">The Portfolio Risk Register</w:t>
      </w:r>
      <w:bookmarkEnd w:id="1414"/>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 investments constrained</w:t>
            </w:r>
          </w:p>
        </w:tc>
        <w:tc>
          <w:tcPr>
            <w:tcW w:w="870" w:type="dxa"/>
          </w:tcPr>
          <w:p>
            <w:pPr>
              <w:pStyle w:val="Compact"/>
              <w:spacing w:before="0" w:after="0" w:line="240" w:lineRule="auto"/>
              <w:jc w:val="left"/>
            </w:pPr>
            <w:r>
              <w:rPr>
                <w:sz w:val="17"/>
              </w:rPr>
              <w:t xml:space="preserve">Clin,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5" w:name="_Toc1414"/>
      <w:r>
        <w:rPr>
          <w:b/>
          <w:bCs/>
          <w:color w:val="161B22"/>
        </w:rPr>
        <w:t xml:space="preserve">Benefits Realization: Connecting the PMO to Act 167’s Five Goals</w:t>
      </w:r>
      <w:bookmarkEnd w:id="1415"/>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E).</w:t>
      </w:r>
    </w:p>
    <w:p>
      <w:pPr>
        <w:pStyle w:val="Heading2"/>
        <w:pBdr>
          <w:top w:val="single" w:sz="6" w:space="10" w:color="C9D2DF"/>
        </w:pBdr>
        <w:keepNext w:val="false"/>
      </w:pPr>
      <w:r>
        <w:rPr>
          <w:color w:val="161B22"/>
        </w:rPr>
        <w:t xml:space="preserve">15.11  </w:t>
      </w:r>
      <w:bookmarkStart w:id="1416" w:name="_Toc1415"/>
      <w:r>
        <w:rPr>
          <w:b/>
          <w:bCs/>
          <w:color w:val="161B22"/>
        </w:rPr>
        <w:t xml:space="preserve">The Business Case</w:t>
      </w:r>
      <w:bookmarkEnd w:id="1416"/>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~$4–6.4M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Five pillar PMs (shared)</w:t>
            </w:r>
          </w:p>
        </w:tc>
        <w:tc>
          <w:tcPr>
            <w:tcW w:w="1290" w:type="dxa"/>
          </w:tcPr>
          <w:p>
            <w:pPr>
              <w:pStyle w:val="Compact"/>
              <w:jc w:val="left"/>
            </w:pPr>
            <w:r>
              <w:rPr>
                <w:sz w:val="18"/>
              </w:rPr>
              <w:t xml:space="preserve">$500K–$850K</w:t>
            </w:r>
          </w:p>
        </w:tc>
        <w:tc>
          <w:tcPr>
            <w:tcW w:w="1545" w:type="dxa"/>
          </w:tcPr>
          <w:p>
            <w:pPr>
              <w:pStyle w:val="Compact"/>
              <w:jc w:val="left"/>
            </w:pPr>
            <w:r>
              <w:rPr>
                <w:sz w:val="18"/>
              </w:rPr>
              <w:t xml:space="preserve">~$2.5M–$4.2M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~$850K–$1.3M</w:t>
            </w:r>
          </w:p>
        </w:tc>
        <w:tc>
          <w:tcPr>
            <w:tcW w:w="1545" w:type="dxa"/>
          </w:tcPr>
          <w:p>
            <w:pPr>
              <w:pStyle w:val="Compact"/>
              <w:jc w:val="left"/>
            </w:pPr>
            <w:r>
              <w:rPr>
                <w:sz w:val="18"/>
              </w:rPr>
              <w:t xml:space="preserve">~$4M–$6.4M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7" w:name="_Toc1416"/>
      <w:r>
        <w:rPr>
          <w:b/>
          <w:bCs/>
          <w:color w:val="161B22"/>
        </w:rPr>
        <w:t xml:space="preserve">Implementation Roadmap</w:t>
      </w:r>
      <w:bookmarkEnd w:id="1417"/>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Five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8" w:name="_Toc1417"/>
      <w:r>
        <w:rPr>
          <w:b/>
          <w:bCs/>
          <w:color w:val="161B22"/>
        </w:rPr>
        <w:t xml:space="preserve">Answering the Four Objections</w:t>
      </w:r>
      <w:bookmarkEnd w:id="1418"/>
    </w:p>
    <w:p>
      <w:pPr>
        <w:numPr>
          <w:ilvl w:val="0"/>
          <w:numId w:val="1031"/>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1"/>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1"/>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1"/>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9" w:name="_Toc1418"/>
      <w:r>
        <w:rPr>
          <w:b/>
          <w:bCs/>
          <w:color w:val="161B22"/>
        </w:rPr>
        <w:t xml:space="preserve">Work This Chapter on the Platform</w:t>
      </w:r>
      <w:bookmarkEnd w:id="1419"/>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58">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five-pillar status of a transformation move over time rather than at a single reporting date</w:t>
            </w:r>
          </w:p>
        </w:tc>
        <w:tc>
          <w:tcPr>
            <w:tcW w:w="2736" w:type="dxa"/>
          </w:tcPr>
          <w:p>
            <w:pPr>
              <w:pStyle w:val="Compact"/>
              <w:jc w:val="left"/>
            </w:pPr>
            <w:hyperlink r:id="rId422">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five-pillar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line="240" w:lineRule="auto"/>
        <w:rPr>
          <w:sz w:val="16"/>
        </w:rPr>
      </w:pPr>
    </w:p>
    <w:p>
      <w:pPr>
        <w:pStyle w:val="Heading2"/>
        <w:pBdr>
          <w:top w:val="single" w:sz="6" w:space="10" w:color="C9D2DF"/>
        </w:pBdr>
      </w:pPr>
      <w:r>
        <w:rPr>
          <w:color w:val="161B22"/>
        </w:rPr>
        <w:t xml:space="preserve">15.15  </w:t>
      </w:r>
      <w:bookmarkStart w:id="1420" w:name="_Toc1419"/>
      <w:r>
        <w:rPr>
          <w:b/>
          <w:bCs/>
          <w:color w:val="161B22"/>
        </w:rPr>
        <w:t xml:space="preserve">Implications for You</w:t>
      </w:r>
      <w:bookmarkEnd w:id="1420"/>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1" w:name="_Toc1420"/>
      <w:r>
        <w:rPr>
          <w:b/>
          <w:bCs/>
          <w:color w:val="161B22"/>
        </w:rPr>
        <w:t xml:space="preserve">Key Concepts in This Chapter</w:t>
      </w:r>
      <w:bookmarkEnd w:id="1421"/>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2" w:name="_Toc1421"/>
      <w:r>
        <w:rPr>
          <w:b/>
          <w:bCs/>
          <w:color w:val="161B22"/>
        </w:rPr>
        <w:t xml:space="preserve">Chapter 16: The AHS Restructuring Roadmap — A Five-Pillar Framework for System Architects</w:t>
      </w:r>
      <w:bookmarkEnd w:id="1422"/>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FirstParagraph"/>
      </w:pPr>
      <w: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3" w:name="_Toc1422"/>
      <w:r>
        <w:rPr>
          <w:b/>
          <w:bCs/>
          <w:color w:val="161B22"/>
        </w:rPr>
        <w:t xml:space="preserve">The Statutory Mandate — What Act 68 Actually Requires AHS to Do</w:t>
      </w:r>
      <w:bookmarkEnd w:id="1423"/>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4" w:name="_Toc1423"/>
      <w:r>
        <w:rPr>
          <w:b/>
          <w:bCs/>
          <w:color w:val="161B22"/>
        </w:rPr>
        <w:t xml:space="preserve">The Organizational Diagnosis — Why AHS Must Restructure, Not Just Plan</w:t>
      </w:r>
      <w:bookmarkEnd w:id="1424"/>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5" w:name="_Toc1424"/>
      <w:r>
        <w:rPr>
          <w:b/>
          <w:bCs/>
          <w:color w:val="161B22"/>
        </w:rPr>
        <w:t xml:space="preserve">The Four Structural Gaps</w:t>
      </w:r>
      <w:bookmarkEnd w:id="1425"/>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6" w:name="_Toc1425"/>
      <w:r>
        <w:rPr>
          <w:b/>
          <w:bCs/>
          <w:color w:val="161B22"/>
        </w:rPr>
        <w:t xml:space="preserve">The Redesigned AHS Operating Model — A Population Health System Operator</w:t>
      </w:r>
      <w:bookmarkEnd w:id="1426"/>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7" w:name="_Toc1426"/>
      <w:r>
        <w:rPr>
          <w:b/>
          <w:bCs/>
          <w:color w:val="161B22"/>
        </w:rPr>
        <w:t xml:space="preserve">Level 1 — Statewide System Architect</w:t>
      </w:r>
      <w:bookmarkEnd w:id="1427"/>
    </w:p>
    <w:p>
      <w:pPr>
        <w:pStyle w:val="FirstParagraph"/>
      </w:pPr>
      <w: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pPr>
        <w:numPr>
          <w:ilvl w:val="0"/>
          <w:numId w:val="1032"/>
        </w:numPr>
        <w:keepLines w:val="true"/>
        <w:keepNext w:val="true"/>
      </w:pPr>
      <w:r>
        <w:t xml:space="preserve">Strategic-planning capacity — to develop, maintain, and update the plan on a three-year cycle with required stakeholder input. A substantial ongoing function, not a one-time project.</w:t>
      </w:r>
    </w:p>
    <w:p>
      <w:pPr>
        <w:numPr>
          <w:ilvl w:val="0"/>
          <w:numId w:val="1032"/>
        </w:numPr>
        <w:keepLines w:val="true"/>
        <w:keepNext w:val="true"/>
      </w:pPr>
      <w:r>
        <w:t xml:space="preserve">Analytics and modeling capacity — to model cost, quality, and access implications</w:t>
      </w:r>
      <w:r>
        <w:t xml:space="preserve"> </w:t>
      </w:r>
      <w:r>
        <w:rPr>
          <w:i/>
          <w:iCs/>
        </w:rPr>
        <w:t xml:space="preserve">before</w:t>
      </w:r>
      <w:r>
        <w:t xml:space="preserve"> </w:t>
      </w:r>
      <w:r>
        <w:t xml:space="preserve">implementation (</w:t>
      </w:r>
      <w:r>
        <w:t xml:space="preserve">“what happens to access in Windsor County if Springfield converts to REH?”</w:t>
      </w:r>
      <w:r>
        <w:t xml:space="preserve">). Requires the joint AHS-GMCB analytics vendor plus internal staff to interpret outputs.</w:t>
      </w:r>
    </w:p>
    <w:p>
      <w:pPr>
        <w:numPr>
          <w:ilvl w:val="0"/>
          <w:numId w:val="1032"/>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numPr>
          <w:ilvl w:val="0"/>
          <w:numId w:val="1032"/>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8" w:name="_Toc1427"/>
      <w:r>
        <w:rPr>
          <w:b/>
          <w:bCs/>
          <w:color w:val="161B22"/>
        </w:rPr>
        <w:t xml:space="preserve">Level 2 — Regional Network Convener (HSA Level)</w:t>
      </w:r>
      <w:bookmarkEnd w:id="1428"/>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9" w:name="_Toc1428"/>
      <w:r>
        <w:rPr>
          <w:b/>
          <w:bCs/>
          <w:color w:val="161B22"/>
        </w:rPr>
        <w:t xml:space="preserve">Level 3 — Program Delivery Operator</w:t>
      </w:r>
      <w:bookmarkEnd w:id="1429"/>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0" w:name="_Toc1429"/>
      <w:r>
        <w:rPr>
          <w:b/>
          <w:bCs/>
          <w:color w:val="161B22"/>
        </w:rPr>
        <w:t xml:space="preserve">The Five-Pillar Framework Applied to AHS’s Mandate</w:t>
      </w:r>
      <w:bookmarkEnd w:id="1430"/>
    </w:p>
    <w:p>
      <w:pPr>
        <w:pStyle w:val="FirstParagraph"/>
      </w:pPr>
      <w:r>
        <w:t xml:space="preserve">The five-pillar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keepNext w:val="false"/>
      </w:pPr>
      <w: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1" w:name="_Toc1430"/>
      <w:r>
        <w:rPr>
          <w:b/>
          <w:bCs/>
          <w:color w:val="161B22"/>
        </w:rPr>
        <w:t xml:space="preserve">The AHS Restructuring Implementation Timeline</w:t>
      </w:r>
      <w:bookmarkEnd w:id="1431"/>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Act 68 hospital global budgets take effect (FY2028)</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2" w:name="_Toc1431"/>
      <w:r>
        <w:rPr>
          <w:b/>
          <w:bCs/>
          <w:color w:val="161B22"/>
        </w:rPr>
        <w:t xml:space="preserve">A Framework for the 2028 Statewide Strategic Plan</w:t>
      </w:r>
      <w:bookmarkEnd w:id="1432"/>
    </w:p>
    <w:p>
      <w:pPr>
        <w:pStyle w:val="FirstParagraph"/>
      </w:pPr>
      <w:r>
        <w:t xml:space="preserve">The Strategic Plan is the most consequential document AHS will produce this decade; it will define Vermont’s system for the decade following its delivery. The proposed structure, organized around the five pillars and Act 68’s requirements:</w:t>
      </w:r>
    </w:p>
    <w:p>
      <w:pPr>
        <w:numPr>
          <w:ilvl w:val="0"/>
          <w:numId w:val="1033"/>
        </w:numPr>
        <w:keepLines w:val="true"/>
        <w:keepNext w:val="true"/>
      </w:pPr>
      <w:r>
        <w:t xml:space="preserve">Executive Summary (5–8 pp) — the crisis in 2028; what changed since 2022; the five goals and progress; the plan’s central 2028–2031 commitments.</w:t>
      </w:r>
    </w:p>
    <w:p>
      <w:pPr>
        <w:numPr>
          <w:ilvl w:val="0"/>
          <w:numId w:val="1033"/>
        </w:numPr>
        <w:keepLines w:val="true"/>
        <w:keepNext w:val="true"/>
      </w:pPr>
      <w:r>
        <w:t xml:space="preserve">System Context and Diagnosis (15–20 pp) — an updated Oliver Wyman analysis: demographics, hospital finances, payer landscape, workforce, SDOH burden as of a 2028 baseline.</w:t>
      </w:r>
    </w:p>
    <w:p>
      <w:pPr>
        <w:numPr>
          <w:ilvl w:val="0"/>
          <w:numId w:val="1033"/>
        </w:numPr>
        <w:keepLines w:val="true"/>
      </w:pPr>
      <w:r>
        <w:t xml:space="preserve">Payment Reform Architecture — Economics (20–25 pp) — RBP status; global-budget parameters per hospital; AHEAD TCOC targets and performance; affordability benchmarks.</w:t>
      </w:r>
    </w:p>
    <w:p>
      <w:pPr>
        <w:numPr>
          <w:ilvl w:val="0"/>
          <w:numId w:val="1033"/>
        </w:numPr>
        <w:keepLines w:val="true"/>
      </w:pPr>
      <w:r>
        <w:t xml:space="preserve">Primary Care and Behavioral Health — Clinical (15–20 pp) — Blueprint enrollment/performance; CCBHC coverage; CoCM status; BH access indicators and 2028–2031 targets.</w:t>
      </w:r>
    </w:p>
    <w:p>
      <w:pPr>
        <w:numPr>
          <w:ilvl w:val="0"/>
          <w:numId w:val="1033"/>
        </w:numPr>
        <w:keepLines w:val="true"/>
      </w:pPr>
      <w:r>
        <w:t xml:space="preserve">Hospital Network and Regionalization — Operations (20–25 pp) — confirmed tier designations; COE network; transfer infrastructure; shared services; REH/CACC conversions; workforce distribution.</w:t>
      </w:r>
    </w:p>
    <w:p>
      <w:pPr>
        <w:numPr>
          <w:ilvl w:val="0"/>
          <w:numId w:val="1033"/>
        </w:numPr>
        <w:keepLines w:val="true"/>
      </w:pPr>
      <w:r>
        <w:t xml:space="preserve">Data and Technology Infrastructure — Technology (10–15 pp) — VHCURES enhancement; HIE connectivity; statewide-EHR decision; analytics capabilities; interoperability.</w:t>
      </w:r>
    </w:p>
    <w:p>
      <w:pPr>
        <w:numPr>
          <w:ilvl w:val="0"/>
          <w:numId w:val="1033"/>
        </w:numPr>
        <w:keepLines w:val="true"/>
      </w:pPr>
      <w:r>
        <w:t xml:space="preserve">Health Equity Strategy — Equity (15–20 pp) — geographic-equity indicators by HSA; disparity measures; SDOH coordination; culturally competent care; 2028–2031 targets.</w:t>
      </w:r>
    </w:p>
    <w:p>
      <w:pPr>
        <w:numPr>
          <w:ilvl w:val="0"/>
          <w:numId w:val="1033"/>
        </w:numPr>
        <w:keepLines w:val="true"/>
      </w:pPr>
      <w:r>
        <w:t xml:space="preserve">Workforce Strategy (15–20 pp) — supply/demand by profession and geography; RHT workforce investments and outcomes; scope-of-practice changes; pipeline; 2030 projections.</w:t>
      </w:r>
    </w:p>
    <w:p>
      <w:pPr>
        <w:numPr>
          <w:ilvl w:val="0"/>
          <w:numId w:val="1033"/>
        </w:numPr>
        <w:keepLines w:val="true"/>
      </w:pPr>
      <w:r>
        <w:t xml:space="preserve">AHS Organizational Architecture — Policy &amp; Operations (10–15 pp) — the redesigned structure; HSA Coordinator model; Division of Planning and Effectiveness; cross-program SDOH integration; governance relationships.</w:t>
      </w:r>
    </w:p>
    <w:p>
      <w:pPr>
        <w:numPr>
          <w:ilvl w:val="0"/>
          <w:numId w:val="1033"/>
        </w:numPr>
        <w:keepLines w:val="true"/>
      </w:pPr>
      <w:r>
        <w:t xml:space="preserve">Accountability Framework (10–15 pp) — full metrics dashboard (all 17+ Act 167/Act 68 measures); data sources and update frequencies; 2028–2031 targets; reporting calendar; revision conditions.</w:t>
      </w:r>
    </w:p>
    <w:p>
      <w:pPr>
        <w:numPr>
          <w:ilvl w:val="0"/>
          <w:numId w:val="1033"/>
        </w:numPr>
        <w:keepLines w:val="true"/>
      </w:pPr>
      <w:r>
        <w:t xml:space="preserve">Financial Plan (15–20 pp) — RHT capital allocation (remaining balance); EAST Fund allocation; Act 68 grant commitments; projected savings; state-budget implications.</w:t>
      </w:r>
    </w:p>
    <w:p>
      <w:pPr>
        <w:pStyle w:val="Heading3"/>
        <w:keepNext w:val="false"/>
      </w:pPr>
      <w:r>
        <w:rPr>
          <w:color w:val="161B22"/>
        </w:rPr>
        <w:t xml:space="preserve">16.6.1  </w:t>
      </w:r>
      <w:bookmarkStart w:id="1433" w:name="_Toc1432"/>
      <w:r>
        <w:rPr>
          <w:b/>
          <w:bCs/>
          <w:color w:val="161B22"/>
        </w:rPr>
        <w:t xml:space="preserve">The Central Commitment the Plan Must Make</w:t>
      </w:r>
      <w:bookmarkEnd w:id="1433"/>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16.5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4" w:name="_Toc1433"/>
      <w:r>
        <w:rPr>
          <w:b/>
          <w:bCs/>
          <w:color w:val="161B22"/>
        </w:rPr>
        <w:t xml:space="preserve">Vermont as National Template — Why This Restructuring Matters Beyond Vermont</w:t>
      </w:r>
      <w:bookmarkEnd w:id="1434"/>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5" w:name="_Toc1434"/>
      <w:r>
        <w:rPr>
          <w:b/>
          <w:bCs/>
          <w:color w:val="161B22"/>
        </w:rPr>
        <w:t xml:space="preserve">Work This Chapter on the Platform</w:t>
      </w:r>
      <w:bookmarkEnd w:id="1435"/>
    </w:p>
    <w:p>
      <w:pPr>
        <w:pStyle w:val="FirstParagraph"/>
        <w:keepNext w:val="false"/>
      </w:pPr>
      <w:r>
        <w:t xml:space="preserve">This chapter specifies an organizational design. The tools below let a system architect test that design against the five-pillar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five pillars and check for uncovered functions</w:t>
            </w:r>
          </w:p>
        </w:tc>
        <w:tc>
          <w:tcPr>
            <w:tcW w:w="2736" w:type="dxa"/>
          </w:tcPr>
          <w:p>
            <w:pPr>
              <w:pStyle w:val="Compact"/>
              <w:jc w:val="left"/>
            </w:pPr>
            <w:hyperlink r:id="rId475">
              <w:r>
                <w:rPr>
                  <w:rStyle w:val="Hyperlink"/>
                  <w:b/>
                  <w:bCs/>
                </w:rPr>
                <w:t xml:space="preserve">Five-Pillar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2">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16.6 — Hands-on platform tools for Chapter 16: testing the AHS restructuring design.</w:t>
      </w:r>
    </w:p>
    <w:p>
      <w:pPr>
        <w:pStyle w:val="Heading2"/>
        <w:pBdr>
          <w:top w:val="single" w:sz="6" w:space="10" w:color="C9D2DF"/>
        </w:pBdr>
      </w:pPr>
      <w:r>
        <w:rPr>
          <w:color w:val="161B22"/>
        </w:rPr>
        <w:t xml:space="preserve">16.9  </w:t>
      </w:r>
      <w:bookmarkStart w:id="1436" w:name="_Toc1435"/>
      <w:r>
        <w:rPr>
          <w:b/>
          <w:bCs/>
          <w:color w:val="161B22"/>
        </w:rPr>
        <w:t xml:space="preserve">Implications for You</w:t>
      </w:r>
      <w:bookmarkEnd w:id="1436"/>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7" w:name="_Toc1436"/>
      <w:r>
        <w:rPr>
          <w:b/>
          <w:bCs/>
          <w:color w:val="161B22"/>
        </w:rPr>
        <w:t xml:space="preserve">Key Concepts in This Chapter</w:t>
      </w:r>
      <w:bookmarkEnd w:id="1437"/>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8" w:name="_Toc1437"/>
      <w:r>
        <w:rPr>
          <w:b/>
          <w:bCs/>
          <w:color w:val="161B22"/>
        </w:rPr>
        <w:t xml:space="preserve">Conclusion — What Vermont Proves, and What Remains to Be Proven</w:t>
      </w:r>
      <w:bookmarkEnd w:id="1438"/>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9" w:name="_Toc1438"/>
      <w:r>
        <w:rPr>
          <w:b/>
          <w:bCs/>
          <w:color w:val="161B22"/>
        </w:rPr>
        <w:t xml:space="preserve">What Failure Actually Looks Like</w:t>
      </w:r>
      <w:bookmarkEnd w:id="1439"/>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0" w:name="_Toc1439"/>
      <w:r>
        <w:rPr>
          <w:b/>
          <w:bCs/>
          <w:color w:val="161B22"/>
        </w:rPr>
        <w:t xml:space="preserve">The Three Decisions That Are Not Yet Made</w:t>
      </w:r>
      <w:bookmarkEnd w:id="1440"/>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1" w:name="_Toc1440"/>
      <w:r>
        <w:rPr>
          <w:b/>
          <w:bCs/>
          <w:color w:val="161B22"/>
        </w:rPr>
        <w:t xml:space="preserve">Decision 1: Will the Statewide Strategic Plan Be Binding or Descriptive?</w:t>
      </w:r>
      <w:bookmarkEnd w:id="1441"/>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2" w:name="_Toc1441"/>
      <w:r>
        <w:rPr>
          <w:b/>
          <w:bCs/>
          <w:color w:val="161B22"/>
        </w:rPr>
        <w:t xml:space="preserve">Decision 2: Will the Analytics Vendor Be Operational Before Act 68’s Global Budgets Take Effect?</w:t>
      </w:r>
      <w:bookmarkEnd w:id="1442"/>
    </w:p>
    <w:p>
      <w:pPr>
        <w:pStyle w:val="FirstParagraph"/>
      </w:pPr>
      <w: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3" w:name="_Toc1442"/>
      <w:r>
        <w:rPr>
          <w:b/>
          <w:bCs/>
          <w:color w:val="161B22"/>
        </w:rPr>
        <w:t xml:space="preserve">Decision 3: Will H.R. 1’s Medicaid Cuts Force a Contraction or Accelerate a Transformation?</w:t>
      </w:r>
      <w:bookmarkEnd w:id="1443"/>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4" w:name="_Toc1443"/>
      <w:r>
        <w:rPr>
          <w:b/>
          <w:bCs/>
          <w:color w:val="161B22"/>
        </w:rPr>
        <w:t xml:space="preserve">What Vermont Has Proved — As of April 2026</w:t>
      </w:r>
      <w:bookmarkEnd w:id="1444"/>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5" w:name="_Toc1444"/>
      <w:r>
        <w:rPr>
          <w:b/>
          <w:bCs/>
          <w:color w:val="161B22"/>
        </w:rPr>
        <w:t xml:space="preserve">The People This Book Cannot Reach</w:t>
      </w:r>
      <w:bookmarkEnd w:id="1445"/>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6" w:name="_Toc1445"/>
      <w:r>
        <w:rPr>
          <w:b/>
          <w:bCs/>
          <w:color w:val="161B22"/>
        </w:rPr>
        <w:t xml:space="preserve">The Call</w:t>
      </w:r>
      <w:bookmarkEnd w:id="1446"/>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7" w:name="_Toc1446"/>
      <w:r>
        <w:rPr>
          <w:b/>
          <w:bCs/>
          <w:color w:val="161B22"/>
        </w:rPr>
        <w:t xml:space="preserve">Key Concepts in This Chapter</w:t>
      </w:r>
      <w:bookmarkEnd w:id="1447"/>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t xml:space="preserve"> </w:t>
      </w:r>
      <w:r>
        <w:rPr>
          <w:rFonts w:ascii="Calibri" w:hAnsi="Calibri"/>
          <w:color w:val="000000"/>
          <w:sz w:val="18"/>
        </w:rPr>
        <w:t xml:space="preserve">The failure mode in which Vermont makes progress on all five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t xml:space="preserve"> </w:t>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t xml:space="preserve"> </w:t>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8" w:name="_Toc1447"/>
      <w:r>
        <w:rPr>
          <w:b/>
          <w:bCs/>
          <w:color w:val="161B22"/>
        </w:rPr>
        <w:t xml:space="preserve">Appendix A — Vermont System Portrait</w:t>
      </w:r>
      <w:bookmarkEnd w:id="1448"/>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9" w:name="_Toc1448"/>
      <w:r>
        <w:rPr>
          <w:b/>
          <w:bCs/>
          <w:color w:val="161B22"/>
        </w:rPr>
        <w:t xml:space="preserve">Vermont: The State</w:t>
      </w:r>
      <w:bookmarkEnd w:id="1449"/>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0" w:name="_Toc1449"/>
      <w:r>
        <w:rPr>
          <w:b/>
          <w:bCs/>
          <w:color w:val="161B22"/>
        </w:rPr>
        <w:t xml:space="preserve">Demographics and Population Projections</w:t>
      </w:r>
      <w:bookmarkEnd w:id="1450"/>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1" w:name="_Toc1450"/>
      <w:r>
        <w:rPr>
          <w:b/>
          <w:bCs/>
          <w:color w:val="161B22"/>
        </w:rPr>
        <w:t xml:space="preserve">Regulatory Architecture: The Green Mountain Care Board</w:t>
      </w:r>
      <w:bookmarkEnd w:id="1451"/>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contested results in part because federal law — per</w:t>
      </w:r>
      <w:r>
        <w:t xml:space="preserve"> </w:t>
      </w:r>
      <w:r>
        <w:rPr>
          <w:i/>
          <w:iCs/>
        </w:rPr>
        <w:t xml:space="preserve">Gobeille v. Liberty Mutual</w:t>
      </w:r>
      <w:r>
        <w:t xml:space="preserve"> </w:t>
      </w:r>
      <w:r>
        <w:t xml:space="preserve">(2016)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2" w:name="_Toc1451"/>
      <w:r>
        <w:rPr>
          <w:b/>
          <w:bCs/>
          <w:color w:val="161B22"/>
        </w:rPr>
        <w:t xml:space="preserve">The Hospital System</w:t>
      </w:r>
      <w:bookmarkEnd w:id="1452"/>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3" w:name="_Toc1452"/>
      <w:r>
        <w:rPr>
          <w:b/>
          <w:bCs/>
          <w:color w:val="161B22"/>
        </w:rPr>
        <w:t xml:space="preserve">The Fourteen Hospitals (January 2026 transformation plans)</w:t>
      </w:r>
      <w:bookmarkEnd w:id="1453"/>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4" w:name="_Toc1453"/>
      <w:r>
        <w:rPr>
          <w:b/>
          <w:bCs/>
          <w:color w:val="161B22"/>
        </w:rPr>
        <w:t xml:space="preserve">Patterns in the Data</w:t>
      </w:r>
      <w:bookmarkEnd w:id="1454"/>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5" w:name="_Toc1454"/>
      <w:r>
        <w:rPr>
          <w:b/>
          <w:bCs/>
          <w:color w:val="161B22"/>
        </w:rPr>
        <w:t xml:space="preserve">The Transformation Plans: A System in Motion</w:t>
      </w:r>
      <w:bookmarkEnd w:id="1455"/>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6" w:name="_Toc1455"/>
      <w:r>
        <w:rPr>
          <w:b/>
          <w:bCs/>
          <w:color w:val="161B22"/>
        </w:rPr>
        <w:t xml:space="preserve">The Insurance and Premium Crisis</w:t>
      </w:r>
      <w:bookmarkEnd w:id="1456"/>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7" w:name="_Toc1456"/>
      <w:r>
        <w:rPr>
          <w:b/>
          <w:bCs/>
          <w:color w:val="161B22"/>
        </w:rPr>
        <w:t xml:space="preserve">Healthcare Workforce</w:t>
      </w:r>
      <w:bookmarkEnd w:id="1457"/>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8" w:name="_Toc1457"/>
      <w:r>
        <w:rPr>
          <w:b/>
          <w:bCs/>
          <w:color w:val="161B22"/>
        </w:rPr>
        <w:t xml:space="preserve">Clinical Quality Indicators</w:t>
      </w:r>
      <w:bookmarkEnd w:id="1458"/>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9" w:name="_Toc1458"/>
      <w:r>
        <w:rPr>
          <w:b/>
          <w:bCs/>
          <w:color w:val="161B22"/>
        </w:rPr>
        <w:t xml:space="preserve">Appendix B — Act 68 Statutory Timeline and Milestones</w:t>
      </w:r>
      <w:bookmarkEnd w:id="1459"/>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Medicaid global budgets continue under the Global Commitment demonstration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Act 68 hospital global budgets take effect (FY2028)</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AHEAD State Agreement (January 2025); Vermont RHT Program Application (November 2025); CMS BALANCE Model (December 2025).</w:t>
      </w:r>
    </w:p>
    <w:p>
      <w:pPr>
        <w:pStyle w:val="Heading3"/>
        <w:keepNext w:val="false"/>
      </w:pPr>
      <w:r>
        <w:rPr>
          <w:color w:val="161B22"/>
        </w:rPr>
        <w:t xml:space="preserve">B.0.1  </w:t>
      </w:r>
      <w:bookmarkStart w:id="1460" w:name="_Toc1459"/>
      <w:r>
        <w:rPr>
          <w:b/>
          <w:bCs/>
          <w:color w:val="161B22"/>
        </w:rPr>
        <w:t xml:space="preserve">Policy-Pillar Implementation Matrix</w:t>
      </w:r>
      <w:bookmarkEnd w:id="1460"/>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1" w:name="_Toc1460"/>
      <w:r>
        <w:rPr>
          <w:b/>
          <w:bCs/>
          <w:color w:val="161B22"/>
        </w:rPr>
        <w:t xml:space="preserve">Appendix C — The 14-Hospital Centers of Excellence Assignment Framework</w:t>
      </w:r>
      <w:bookmarkEnd w:id="1461"/>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pPr>
      <w:bookmarkStart w:id="1462" w:name="_Toc1461"/>
      <w:r>
        <w:rPr>
          <w:b/>
          <w:bCs/>
          <w:color w:val="161B22"/>
        </w:rPr>
        <w:t xml:space="preserve">Appendix D — HTR Platform Tools and Methodology Overview</w:t>
      </w:r>
      <w:bookmarkEnd w:id="1462"/>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five pillars. Convergence Newsletter (free weekly) for Observer-tier; full analysis with Vermont commentary for Strategist and Enterprise.</w:t>
      </w:r>
    </w:p>
    <w:p>
      <w:r>
        <w:br w:type="page"/>
      </w:r>
    </w:p>
    <w:p>
      <w:pPr>
        <w:pStyle w:val="Heading1"/>
      </w:pPr>
      <w:bookmarkStart w:id="1463" w:name="_Toc1462"/>
      <w:r>
        <w:rPr>
          <w:b/>
          <w:bCs/>
          <w:color w:val="161B22"/>
        </w:rPr>
        <w:t xml:space="preserve">Appendix E — Vermont Transformation Scorecard: 2022 Baseline, 2026 Status, 2028 Target</w:t>
      </w:r>
      <w:bookmarkEnd w:id="1463"/>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E.0.1  </w:t>
      </w:r>
      <w:bookmarkStart w:id="1464" w:name="_Toc1463"/>
      <w:r>
        <w:rPr>
          <w:b/>
          <w:bCs/>
          <w:color w:val="161B22"/>
        </w:rPr>
        <w:t xml:space="preserve">Policy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E.1 — Policy-pillar scorecard. Sources: Act 68 of 2025; Oliver Wyman Act 167 Report; CMS AHEAD documentation; Vermont RHT Program Application.</w:t>
      </w:r>
    </w:p>
    <w:p>
      <w:pPr>
        <w:pStyle w:val="Heading3"/>
        <w:keepNext w:val="false"/>
      </w:pPr>
      <w:r>
        <w:rPr>
          <w:color w:val="161B22"/>
        </w:rPr>
        <w:t xml:space="preserve">E.0.2  </w:t>
      </w:r>
      <w:bookmarkStart w:id="1465" w:name="_Toc1464"/>
      <w:r>
        <w:rPr>
          <w:b/>
          <w:bCs/>
          <w:color w:val="161B22"/>
        </w:rPr>
        <w:t xml:space="preserve">Technology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E.2 — Technology-pillar scorecard. Sources: GMCB VHCURES; VITL; Vermont DOH Health Equity Data Report (January 2025); Vermont RHT Application.</w:t>
      </w:r>
    </w:p>
    <w:p>
      <w:pPr>
        <w:pStyle w:val="Heading3"/>
        <w:keepNext w:val="false"/>
      </w:pPr>
      <w:r>
        <w:rPr>
          <w:color w:val="161B22"/>
        </w:rPr>
        <w:t xml:space="preserve">E.0.3  </w:t>
      </w:r>
      <w:bookmarkStart w:id="1466" w:name="_Toc1465"/>
      <w:r>
        <w:rPr>
          <w:b/>
          <w:bCs/>
          <w:color w:val="161B22"/>
        </w:rPr>
        <w:t xml:space="preserve">Economics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Act 68 global budgets take effect FY2028; commercial VBC growing</w:t>
            </w:r>
          </w:p>
        </w:tc>
        <w:tc>
          <w:tcPr>
            <w:tcW w:w="2326" w:type="dxa"/>
          </w:tcPr>
          <w:p>
            <w:pPr>
              <w:pStyle w:val="Compact"/>
              <w:jc w:val="left"/>
            </w:pPr>
            <w:r>
              <w:rPr>
                <w:sz w:val="18"/>
              </w:rPr>
              <w:t xml:space="preserve">Medicare: fee-for-service (AHEAD withdrawn);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E.3 — Economics-pillar scorecard. Sources: Oliver Wyman Act 167 Report; AHS November 2025 Report; GMCB price-transparency data; CMS AHEAD.</w:t>
      </w:r>
    </w:p>
    <w:p>
      <w:pPr>
        <w:pStyle w:val="Heading3"/>
        <w:keepNext w:val="false"/>
      </w:pPr>
      <w:r>
        <w:rPr>
          <w:color w:val="161B22"/>
        </w:rPr>
        <w:t xml:space="preserve">E.0.4  </w:t>
      </w:r>
      <w:bookmarkStart w:id="1467" w:name="_Toc1466"/>
      <w:r>
        <w:rPr>
          <w:b/>
          <w:bCs/>
          <w:color w:val="161B22"/>
        </w:rPr>
        <w:t xml:space="preserve">Clinical Pillar</w:t>
      </w:r>
      <w:bookmarkEnd w:id="1467"/>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E.4 — Clinical-pillar scorecard. Sources: Vermont Blueprint Annual Report 2024; Vermont AHS; GMCB quality reporting; Oliver Wyman workforce analysis.</w:t>
      </w:r>
    </w:p>
    <w:p>
      <w:pPr>
        <w:pStyle w:val="Heading3"/>
        <w:keepNext w:val="false"/>
      </w:pPr>
      <w:r>
        <w:rPr>
          <w:color w:val="161B22"/>
        </w:rPr>
        <w:t xml:space="preserve">E.0.5  </w:t>
      </w:r>
      <w:bookmarkStart w:id="1468" w:name="_Toc1467"/>
      <w:r>
        <w:rPr>
          <w:b/>
          <w:bCs/>
          <w:color w:val="161B22"/>
        </w:rPr>
        <w:t xml:space="preserve">Equity Imperative</w:t>
      </w:r>
      <w:bookmarkEnd w:id="1468"/>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E.5 — Equity Imperative scorecard. Sources: Vermont DOH Health Equity Data Report (January 2025); Act 68; GMCB equity reporting; HTR HEROI framework.</w:t>
      </w:r>
    </w:p>
    <w:p>
      <w:pPr>
        <w:pStyle w:val="Heading3"/>
        <w:keepNext w:val="false"/>
      </w:pPr>
      <w:r>
        <w:rPr>
          <w:color w:val="161B22"/>
        </w:rPr>
        <w:t xml:space="preserve">E.0.6  </w:t>
      </w:r>
      <w:bookmarkStart w:id="1469" w:name="_Toc1468"/>
      <w:r>
        <w:rPr>
          <w:b/>
          <w:bCs/>
          <w:color w:val="161B22"/>
        </w:rPr>
        <w:t xml:space="preserve">Operations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E.6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0" w:name="_Toc1469"/>
      <w:r>
        <w:rPr>
          <w:b/>
          <w:bCs/>
          <w:color w:val="161B22"/>
        </w:rPr>
        <w:t xml:space="preserve">Appendix F — A Reader’s Guide to the Health Transformation Review Platform</w:t>
      </w:r>
      <w:bookmarkEnd w:id="1470"/>
    </w:p>
    <w:p>
      <w:pPr>
        <w:pStyle w:val="FirstParagraph"/>
      </w:pPr>
      <w:r>
        <w:t xml:space="preserve">A companion to Transforming Healthcare.</w:t>
      </w:r>
    </w:p>
    <w:p>
      <w:pPr>
        <w:pStyle w:val="Heading2"/>
        <w:pBdr>
          <w:top w:val="single" w:sz="6" w:space="10" w:color="C9D2DF"/>
        </w:pBdr>
      </w:pPr>
      <w:r>
        <w:rPr>
          <w:color w:val="161B22"/>
        </w:rPr>
        <w:t xml:space="preserve">F.1  </w:t>
      </w:r>
      <w:bookmarkStart w:id="1471" w:name="_Toc1470"/>
      <w:r>
        <w:rPr>
          <w:b/>
          <w:bCs/>
          <w:color w:val="161B22"/>
        </w:rPr>
        <w:t xml:space="preserve">What This Platform Is</w:t>
      </w:r>
      <w:bookmarkEnd w:id="1471"/>
    </w:p>
    <w:p>
      <w:pPr>
        <w:pStyle w:val="FirstParagraph"/>
      </w:pPr>
      <w: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F.2  </w:t>
      </w:r>
      <w:bookmarkStart w:id="1472" w:name="_Toc1471"/>
      <w:r>
        <w:rPr>
          <w:b/>
          <w:bCs/>
          <w:color w:val="161B22"/>
        </w:rPr>
        <w:t xml:space="preserve">Navigating the Platform</w:t>
      </w:r>
      <w:bookmarkEnd w:id="1472"/>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F.3  </w:t>
      </w:r>
      <w:bookmarkStart w:id="1473" w:name="_Toc1472"/>
      <w:r>
        <w:rPr>
          <w:b/>
          <w:bCs/>
          <w:color w:val="161B22"/>
        </w:rPr>
        <w:t xml:space="preserve">The Five Pillars of Intelligence</w:t>
      </w:r>
      <w:bookmarkEnd w:id="1473"/>
    </w:p>
    <w:p>
      <w:pPr>
        <w:pStyle w:val="FirstParagraph"/>
        <w:keepNext w:val="false"/>
      </w:pPr>
      <w:r>
        <w:t xml:space="preserve">The knowledge base is organized around the same five-pillar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F.4  </w:t>
      </w:r>
      <w:bookmarkStart w:id="1474" w:name="_Toc1473"/>
      <w:r>
        <w:rPr>
          <w:b/>
          <w:bCs/>
          <w:color w:val="161B22"/>
        </w:rPr>
        <w:t xml:space="preserve">The Academy</w:t>
      </w:r>
      <w:bookmarkEnd w:id="1474"/>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F.5  </w:t>
      </w:r>
      <w:bookmarkStart w:id="1475" w:name="_Toc1474"/>
      <w:r>
        <w:rPr>
          <w:b/>
          <w:bCs/>
          <w:color w:val="161B22"/>
        </w:rPr>
        <w:t xml:space="preserve">The Research Lab</w:t>
      </w:r>
      <w:bookmarkEnd w:id="1475"/>
    </w:p>
    <w:p>
      <w:pPr>
        <w:pStyle w:val="FirstParagraph"/>
      </w:pPr>
      <w: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pPr>
        <w:pStyle w:val="Heading2"/>
        <w:pBdr>
          <w:top w:val="single" w:sz="6" w:space="10" w:color="C9D2DF"/>
        </w:pBdr>
      </w:pPr>
      <w:r>
        <w:rPr>
          <w:color w:val="161B22"/>
        </w:rPr>
        <w:t xml:space="preserve">F.6  </w:t>
      </w:r>
      <w:bookmarkStart w:id="1476" w:name="_Toc1475"/>
      <w:r>
        <w:rPr>
          <w:b/>
          <w:bCs/>
          <w:color w:val="161B22"/>
        </w:rPr>
        <w:t xml:space="preserve">States &amp; Programs</w:t>
      </w:r>
      <w:bookmarkEnd w:id="1476"/>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F.7  </w:t>
      </w:r>
      <w:bookmarkStart w:id="1477" w:name="_Toc1476"/>
      <w:r>
        <w:rPr>
          <w:b/>
          <w:bCs/>
          <w:color w:val="161B22"/>
        </w:rPr>
        <w:t xml:space="preserve">Advisory &amp; Services and the AI Analyst</w:t>
      </w:r>
      <w:bookmarkEnd w:id="1477"/>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F.8  </w:t>
      </w:r>
      <w:bookmarkStart w:id="1478" w:name="_Toc1477"/>
      <w:r>
        <w:rPr>
          <w:b/>
          <w:bCs/>
          <w:color w:val="161B22"/>
        </w:rPr>
        <w:t xml:space="preserve">Reader Profiles and Recommended Paths</w:t>
      </w:r>
      <w:bookmarkEnd w:id="1478"/>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9" w:name="_Toc1478"/>
      <w:r>
        <w:rPr>
          <w:b/>
          <w:bCs/>
          <w:color w:val="161B22"/>
        </w:rPr>
        <w:t xml:space="preserve">Appendix G — Adapting and Stress-Testing the Framework</w:t>
      </w:r>
      <w:bookmarkEnd w:id="1479"/>
    </w:p>
    <w:p>
      <w:pPr>
        <w:pStyle w:val="FirstParagraph"/>
      </w:pPr>
      <w: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G.1  </w:t>
      </w:r>
      <w:bookmarkStart w:id="1480" w:name="_Toc1479"/>
      <w:r>
        <w:rPr>
          <w:b/>
          <w:bCs/>
          <w:color w:val="161B22"/>
        </w:rPr>
        <w:t xml:space="preserve">Glossary of Vermont-Specific Acronyms and Institutions</w:t>
      </w:r>
      <w:bookmarkEnd w:id="1480"/>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G.2  </w:t>
      </w:r>
      <w:bookmarkStart w:id="1481" w:name="_Toc1480"/>
      <w:r>
        <w:rPr>
          <w:b/>
          <w:bCs/>
          <w:color w:val="161B22"/>
        </w:rPr>
        <w:t xml:space="preserve">Worksheet — Adapt This Framework to Your State</w:t>
      </w:r>
      <w:bookmarkEnd w:id="1481"/>
    </w:p>
    <w:p>
      <w:pPr>
        <w:pStyle w:val="FirstParagraph"/>
        <w:keepNext w:val="false"/>
      </w:pPr>
      <w: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G.3  </w:t>
      </w:r>
      <w:bookmarkStart w:id="1482" w:name="_Toc1481"/>
      <w:r>
        <w:rPr>
          <w:b/>
          <w:bCs/>
          <w:color w:val="161B22"/>
        </w:rPr>
        <w:t xml:space="preserve">The Transition Window — Financing FY2027–2030</w:t>
      </w:r>
      <w:bookmarkEnd w:id="1482"/>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G.3.1  </w:t>
      </w:r>
      <w:bookmarkStart w:id="1483" w:name="_Toc1482"/>
      <w:r>
        <w:rPr>
          <w:b/>
          <w:bCs/>
          <w:color w:val="161B22"/>
        </w:rPr>
        <w:t xml:space="preserve">What bridges exist</w:t>
      </w:r>
      <w:bookmarkEnd w:id="1483"/>
    </w:p>
    <w:p>
      <w:pPr>
        <w:pStyle w:val="FirstParagraph"/>
        <w:keepNext w:val="false"/>
      </w:pPr>
      <w:r>
        <w:t xml:space="preserve">Three sources of transition-period support were expected to exist in parallel, on different timelines and with different eligibility rules — though only two now actually apply. The Rural Health Transformation Program provides Vermont roughly $195M per year across five years (2026–2030), about $1 billion in total — capital funding intended for structural transformation, not operating-loss replacement, and explicitly time-limited. The AHEAD EAST Fund was to provide up to $150M per year to Vermont, contingent on Cohort 2 implementation milestones beginning January 2028 — but Vermont withdrew from AHEAD in July 2026, so this funding will not arrive at all (see</w:t>
      </w:r>
      <w:r>
        <w:t xml:space="preserve"> </w:t>
      </w:r>
      <w:r>
        <w:t xml:space="preserve">“The AHEAD Model”</w:t>
      </w:r>
      <w:r>
        <w:t xml:space="preserve"> </w:t>
      </w:r>
      <w:r>
        <w:t xml:space="preserve">in this chapter).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p>
        </w:tc>
      </w:tr>
    </w:tbl>
    <w:p>
      <w:pPr>
        <w:spacing w:after="120" w:line="240" w:lineRule="auto"/>
        <w:rPr>
          <w:sz w:val="16"/>
        </w:rPr>
      </w:pPr>
    </w:p>
    <w:p>
      <w:pPr>
        <w:pStyle w:val="Heading3"/>
      </w:pPr>
      <w:r>
        <w:rPr>
          <w:color w:val="161B22"/>
        </w:rPr>
        <w:t xml:space="preserve">G.3.2  </w:t>
      </w:r>
      <w:bookmarkStart w:id="1484" w:name="_Toc1483"/>
      <w:r>
        <w:rPr>
          <w:b/>
          <w:bCs/>
          <w:color w:val="161B22"/>
        </w:rPr>
        <w:t xml:space="preserve">What this means for a hospital CFO</w:t>
      </w:r>
      <w:bookmarkEnd w:id="1484"/>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G.4  </w:t>
      </w:r>
      <w:bookmarkStart w:id="1485" w:name="_Toc1484"/>
      <w:r>
        <w:rPr>
          <w:b/>
          <w:bCs/>
          <w:color w:val="161B22"/>
        </w:rPr>
        <w:t xml:space="preserve">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5"/>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G.4.1  </w:t>
      </w:r>
      <w:bookmarkStart w:id="1486" w:name="_Toc1485"/>
      <w:r>
        <w:rPr>
          <w:b/>
          <w:bCs/>
          <w:color w:val="161B22"/>
        </w:rPr>
        <w:t xml:space="preserve">GMCB’s enforcement toolkit</w:t>
      </w:r>
      <w:bookmarkEnd w:id="1486"/>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G.4.2  </w:t>
      </w:r>
      <w:bookmarkStart w:id="1487" w:name="_Toc1486"/>
      <w:r>
        <w:rPr>
          <w:b/>
          <w:bCs/>
          <w:color w:val="161B22"/>
        </w:rPr>
        <w:t xml:space="preserve">The test case: GMCB v. UVMMC</w:t>
      </w:r>
      <w:bookmarkEnd w:id="1487"/>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line="240" w:lineRule="auto"/>
        <w:rPr>
          <w:sz w:val="16"/>
        </w:rPr>
      </w:pPr>
    </w:p>
    <w:p>
      <w:r>
        <w:br w:type="page"/>
      </w:r>
    </w:p>
    <w:p>
      <w:pPr>
        <w:pStyle w:val="Heading1"/>
      </w:pPr>
      <w:bookmarkStart w:id="1488" w:name="_Toc1487"/>
      <w:r>
        <w:rPr>
          <w:b/>
          <w:bCs/>
          <w:color w:val="161B22"/>
        </w:rPr>
        <w:t xml:space="preserve">Appendix H — The HTR Lab Workbook: A Five-Pillar Practicum</w:t>
      </w:r>
      <w:bookmarkEnd w:id="1488"/>
    </w:p>
    <w:p>
      <w:pPr>
        <w:pStyle w:val="FirstParagraph"/>
      </w:pPr>
      <w:r>
        <w:rPr>
          <w:i/>
          <w:iCs/>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H.1  </w:t>
      </w:r>
      <w:bookmarkStart w:id="1489" w:name="_Toc1488"/>
      <w:r>
        <w:rPr>
          <w:b/>
          <w:bCs/>
          <w:color w:val="161B22"/>
        </w:rPr>
        <w:t xml:space="preserve">How to Use This Workbook</w:t>
      </w:r>
      <w:bookmarkEnd w:id="1489"/>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H.2  </w:t>
      </w:r>
      <w:bookmarkStart w:id="1490" w:name="_Toc1489"/>
      <w:r>
        <w:rPr>
          <w:b/>
          <w:bCs/>
          <w:color w:val="161B22"/>
        </w:rPr>
        <w:t xml:space="preserve">Stage 1 — Policy: Establish the Mandate</w:t>
      </w:r>
      <w:bookmarkEnd w:id="1490"/>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ody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H.3  </w:t>
      </w:r>
      <w:bookmarkStart w:id="1491" w:name="_Toc1490"/>
      <w:r>
        <w:rPr>
          <w:b/>
          <w:bCs/>
          <w:color w:val="161B22"/>
        </w:rPr>
        <w:t xml:space="preserve">Stage 2 — Technology: Build the Substrate</w:t>
      </w:r>
      <w:bookmarkEnd w:id="1491"/>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ody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H.4  </w:t>
      </w:r>
      <w:bookmarkStart w:id="1492" w:name="_Toc1491"/>
      <w:r>
        <w:rPr>
          <w:b/>
          <w:bCs/>
          <w:color w:val="161B22"/>
        </w:rPr>
        <w:t xml:space="preserve">Stage 3 — Economics: Put Incentives on a Visible System</w:t>
      </w:r>
      <w:bookmarkEnd w:id="1492"/>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ody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H.5  </w:t>
      </w:r>
      <w:bookmarkStart w:id="1493" w:name="_Toc1492"/>
      <w:r>
        <w:rPr>
          <w:b/>
          <w:bCs/>
          <w:color w:val="161B22"/>
        </w:rPr>
        <w:t xml:space="preserve">Stage 4 — Clinical: Redesign Care on Aligned Incentives</w:t>
      </w:r>
      <w:bookmarkEnd w:id="1493"/>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ody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H.6  </w:t>
      </w:r>
      <w:bookmarkStart w:id="1494" w:name="_Toc1493"/>
      <w:r>
        <w:rPr>
          <w:b/>
          <w:bCs/>
          <w:color w:val="161B22"/>
        </w:rPr>
        <w:t xml:space="preserve">The Equity Imperative: Calibrate for the Gap, Not the Average</w:t>
      </w:r>
      <w:bookmarkEnd w:id="1494"/>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ody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H.7  </w:t>
      </w:r>
      <w:bookmarkStart w:id="1495" w:name="_Toc1494"/>
      <w:r>
        <w:rPr>
          <w:b/>
          <w:bCs/>
          <w:color w:val="161B22"/>
        </w:rPr>
        <w:t xml:space="preserve">Stage 5 — Operations: Close the Execution Gap</w:t>
      </w:r>
      <w:bookmarkEnd w:id="1495"/>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five-pillar readiness and project the workforce required to operate the redesigned model.</w:t>
      </w:r>
    </w:p>
    <w:p>
      <w:pPr>
        <w:pStyle w:val="BodyText"/>
        <w:keepNext w:val="false"/>
      </w:pPr>
      <w:r>
        <w:t xml:space="preserve">The Stage 5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Healthcare</w:t>
            </w:r>
            <w:r>
              <w:rPr>
                <w:sz w:val="20"/>
                <w:szCs w:val="20"/>
              </w:rPr>
              <w:t xml:space="preserve">, reproduced by your own hand.</w:t>
            </w:r>
          </w:p>
        </w:tc>
      </w:tr>
    </w:tbl>
    <w:p>
      <w:pPr>
        <w:spacing w:after="120" w:line="240" w:lineRule="auto"/>
        <w:rPr>
          <w:sz w:val="16"/>
        </w:rPr>
      </w:pPr>
    </w:p>
    <w:p>
      <w:pPr>
        <w:pStyle w:val="Caption"/>
      </w:pPr>
      <w:r>
        <w:rPr>
          <w:i/>
          <w:iCs/>
        </w:rPr>
        <w:t xml:space="preserve">Figure I.1 — The HTR Lab Workbook maps each of the five pillars to a working platform tool, in the book’s execution sequence.</w:t>
      </w:r>
    </w:p>
    <w:p>
      <w:pPr>
        <w:pStyle w:val="Heading1"/>
      </w:pPr>
      <w:bookmarkStart w:id="1496" w:name="_Toc1495"/>
      <w:r>
        <w:rPr>
          <w:b/>
          <w:bCs/>
          <w:color w:val="161B22"/>
        </w:rPr>
        <w:t xml:space="preserve">Figure Index</w:t>
      </w:r>
      <w:bookmarkEnd w:id="1496"/>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five pillars: diagnostic questions and structural roles. Sources: Acts 167 (2022) and 68 (2025).</w:t>
      </w:r>
    </w:p>
    <w:p>
      <w:pPr>
        <w:pStyle w:val="Caption"/>
      </w:pPr>
      <w:r>
        <w:t xml:space="preserve">Figure 1.3 — The Dependency Matrix. Read each cell as row-pillar → column-pillar. Sources: Acts 167 (2022) and 68 (2025).</w:t>
      </w:r>
    </w:p>
    <w:p>
      <w:pPr>
        <w:pStyle w:val="Caption"/>
      </w:pPr>
      <w:r>
        <w:t xml:space="preserve">Figure 1.4 — Failure-cascade analysis: what breaks when each pillar is absent. Sources: HTR analysis; CMMI evaluation literature; Oliver Wyman Act 167 Report; Vermont experience.</w:t>
      </w:r>
    </w:p>
    <w:p>
      <w:pPr>
        <w:pStyle w:val="Caption"/>
      </w:pPr>
      <w:r>
        <w:t xml:space="preserve">Figure 1.5 — Vermont’s five-pillar transformation map. Sources: Acts 167, 51, 55, 62, 68 of 2022–2025; AHEAD State Agreement; Vermont RHT Program Application; Oliver Wyman Act 167 Report.</w:t>
      </w:r>
    </w:p>
    <w:p>
      <w:pPr>
        <w:pStyle w:val="Caption"/>
      </w:pPr>
      <w:r>
        <w:t xml:space="preserve">Figure 1.6 — The Five-Stage Execution Sequence. Source: HTR Analysis (2026).</w:t>
      </w:r>
    </w:p>
    <w:p>
      <w:pPr>
        <w:pStyle w:val="Caption"/>
      </w:pPr>
      <w:r>
        <w:t xml:space="preserve">Figure 1.7 — Five sequencing errors: the diagnostic pattern, early-warning signals, and correction for each. Sources: HTR analysis; Vermont experience; Oliver Wyman Act 167 Report.</w:t>
      </w:r>
    </w:p>
    <w:p>
      <w:pPr>
        <w:pStyle w:val="Caption"/>
      </w:pPr>
      <w:r>
        <w:t xml:space="preserve">Figure 1.8 — Vermont’s transformation timeline, by pillar. Sources: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1.10 — Academy Track 1 lessons mapped to this chapter.</w:t>
      </w:r>
    </w:p>
    <w:p>
      <w:pPr>
        <w:pStyle w:val="Caption"/>
      </w:pPr>
      <w:r>
        <w:t xml:space="preserve">Figure T.1 — Vermont Healthcare Transformation Timeline: 2022–2035. Source: Vermont Legislature, CMS, AHS, GMCB.</w:t>
      </w:r>
    </w:p>
    <w:p>
      <w:pPr>
        <w:pStyle w:val="Caption"/>
      </w:pPr>
      <w:r>
        <w:t xml:space="preserve">Figure 2.1 — Common perceptions of Vermont’s health system versus the data. Sources: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Sources: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Sources: GMCB VHCURES documentation; Vermont HIE Strategic Plan.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The UHDS three-layer architecture. Each layer is dependent on the one below it. Sources: Vermont UHDS Transition Plan; DVHA HIE program documentation.</w:t>
      </w:r>
    </w:p>
    <w:p>
      <w:pPr>
        <w:pStyle w:val="Caption"/>
      </w:pPr>
      <w:r>
        <w:t xml:space="preserve">Figure 4.5 — Vermont statewide EHR: case for and against. The feasibility assessment underway will weigh these factors against Vermont’s specific cost, disruption tolerance, and FHIR interoperability capacity.</w:t>
      </w:r>
    </w:p>
    <w:p>
      <w:pPr>
        <w:pStyle w:val="Caption"/>
      </w:pPr>
      <w:r>
        <w:t xml:space="preserve">Figure 4.6 — Vermont FHIR compliance landscape (estimated as of 2026). Sources: AHS Legislative Presentation January 2025; Vermont RHT Program Application; GMCB HIE connectivity criteria.</w:t>
      </w:r>
    </w:p>
    <w:p>
      <w:pPr>
        <w:pStyle w:val="Caption"/>
      </w:pPr>
      <w: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4.8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Sources: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Sources: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Oliver Wyman Vermont hospital financial projection scenarios. Source: Oliver Wyman Act 167 Community Engagement: Recommendations (August 2024, revised October 2024 and January 2025).</w:t>
      </w:r>
    </w:p>
    <w:p>
      <w:pPr>
        <w:pStyle w:val="Caption"/>
      </w:pPr>
      <w:r>
        <w:t xml:space="preserve">Figure 6.9 — Financial metrics that matter: FFS vs. global budget environment. Compiled from GMCB guidance, Maryland HSCRC methodology, and Act 68 accountability framework.</w:t>
      </w:r>
    </w:p>
    <w:p>
      <w:pPr>
        <w:pStyle w:val="Caption"/>
      </w:pPr>
      <w:r>
        <w:t xml:space="preserve">Figure 6.10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6.11 — Three-phase APM transition model for Vermont healthcare organizations.</w:t>
      </w:r>
    </w:p>
    <w:p>
      <w:pPr>
        <w:pStyle w:val="Caption"/>
      </w:pPr>
      <w:r>
        <w:t xml:space="preserve">Figure 6.12 — Hands-on platform tools for the Economics Pillar.</w:t>
      </w:r>
    </w:p>
    <w:p>
      <w:pPr>
        <w:pStyle w:val="Caption"/>
      </w:pPr>
      <w:r>
        <w:t xml:space="preserve">Figure 7.1 — APM shared savings calculation framework. Sources: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7.3 — APM contract review framework: provisions and key questions. Source: HTR Advisory framework.</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7.6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five pillars. Sources: Act 68 of 2025; Oliver Wyman Act 167 Report; five-pillar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equity imperative implementation matrix. Sources: Vermont Department of Health Health Equity Data Report (January 2025); Act 68 of 2025.</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10.11 — Hands-on platform tools for the Equity Imperative.</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Attribution error taxonomy and remediation. Sources: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11.10 — Hands-on platform tools for the Operations Pillar.</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Sources: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Sources: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E).</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Key parameters for the Strategic Plan. Sources: Act 68; VTDigger; Oliver Wyman Act 167 Report; Vermont RHT Program Application.</w:t>
      </w:r>
    </w:p>
    <w:p>
      <w:pPr>
        <w:pStyle w:val="Caption"/>
      </w:pPr>
      <w:r>
        <w:t xml:space="preserve">Figure 16.6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E.1 — Policy-pillar scorecard. Sources: Act 68 of 2025; Oliver Wyman Act 167 Report; CMS AHEAD documentation; Vermont RHT Program Application.</w:t>
      </w:r>
    </w:p>
    <w:p>
      <w:pPr>
        <w:pStyle w:val="Caption"/>
      </w:pPr>
      <w:r>
        <w:t xml:space="preserve">Figure E.2 — Technology-pillar scorecard. Sources: GMCB VHCURES; VITL; Vermont DOH Health Equity Data Report (January 2025); Vermont RHT Application.</w:t>
      </w:r>
    </w:p>
    <w:p>
      <w:pPr>
        <w:pStyle w:val="Caption"/>
      </w:pPr>
      <w:r>
        <w:t xml:space="preserve">Figure E.3 — Economics-pillar scorecard. Sources: Oliver Wyman Act 167 Report; AHS November 2025 Report; GMCB price-transparency data; CMS AHEAD.</w:t>
      </w:r>
    </w:p>
    <w:p>
      <w:pPr>
        <w:pStyle w:val="Caption"/>
      </w:pPr>
      <w:r>
        <w:t xml:space="preserve">Figure E.4 — Clinical-pillar scorecard. Sources: Vermont Blueprint Annual Report 2024; Vermont AHS; GMCB quality reporting; Oliver Wyman workforce analysis.</w:t>
      </w:r>
    </w:p>
    <w:p>
      <w:pPr>
        <w:pStyle w:val="Caption"/>
      </w:pPr>
      <w:r>
        <w:t xml:space="preserve">Figure E.5 — Equity Imperative scorecard. Sources: Vermont DOH Health Equity Data Report (January 2025); Act 68; GMCB equity reporting; HTR HEROI framework.</w:t>
      </w:r>
    </w:p>
    <w:p>
      <w:pPr>
        <w:pStyle w:val="Caption"/>
      </w:pPr>
      <w:r>
        <w:t xml:space="preserve">Figure E.6 — Operations-pillar scorecard. Sources: AHS Transformation Reports (August, November 2025); RHRC; Vermont RHT Program Application; Act 68.</w:t>
      </w:r>
    </w:p>
    <w:p>
      <w:pPr>
        <w:pStyle w:val="Caption"/>
      </w:pPr>
      <w:r>
        <w:t xml:space="preserve">Figure I.1 — The HTR Lab Workbook maps each of the five pillars to a working platform tool, in the book’s execution sequence.</w:t>
      </w:r>
    </w:p>
    <w:p>
      <w:pPr>
        <w:pStyle w:val="Heading1"/>
      </w:pPr>
      <w:bookmarkStart w:id="1497" w:name="_Toc1496"/>
      <w:r>
        <w:rPr>
          <w:b/>
          <w:bCs/>
          <w:color w:val="161B22"/>
        </w:rPr>
        <w:t xml:space="preserve">Bibliography and Source Notes</w:t>
      </w:r>
      <w:bookmarkEnd w:id="1497"/>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8" w:name="_Toc1497"/>
      <w:r>
        <w:rPr>
          <w:b/>
          <w:bCs/>
          <w:color w:val="161B22"/>
        </w:rPr>
        <w:t xml:space="preserve">Index (Selected)</w:t>
      </w:r>
      <w:bookmarkEnd w:id="1498"/>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5"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2"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8"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3" Type="http://schemas.openxmlformats.org/officeDocument/2006/relationships/hyperlink" Target="https://healthtransformationreview.org/research-lab/knowledge-workspace?tab=evidence" TargetMode="External"/><Relationship Id="rId423" Type="http://schemas.openxmlformats.org/officeDocument/2006/relationships/hyperlink" Target="https://healthtransformationreview.org/research-lab/knowledge-workspace?tab=leaderboard" TargetMode="External"/><Relationship Id="rId404"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4"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5"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2"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8"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3" Type="http://schemas.openxmlformats.org/officeDocument/2006/relationships/hyperlink" Target="https://healthtransformationreview.org/research-lab/knowledge-workspace?tab=evidence" TargetMode="External"/><Relationship Id="rId423" Type="http://schemas.openxmlformats.org/officeDocument/2006/relationships/hyperlink" Target="https://healthtransformationreview.org/research-lab/knowledge-workspace?tab=leaderboard" TargetMode="External"/><Relationship Id="rId404"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4"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2026-09-09T18:10:20Z</dcterms:created>
  <dcterms:modified xsi:type="dcterms:W3CDTF">2026-09-09T18:10:20Z</dcterms:modified>
</cp:coreProperties>
</file>

<file path=docProps/custom.xml><?xml version="1.0" encoding="utf-8"?>
<Properties xmlns="http://schemas.openxmlformats.org/officeDocument/2006/custom-properties" xmlns:vt="http://schemas.openxmlformats.org/officeDocument/2006/docPropsVTypes"/>
</file>