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second-oldest in the country by median age (43.6), tied with New Hampshire and behind only Maine (44.8); West Virginia (43.0) is next.</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tested against its most resourced potential opponent and held.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cut to a cap near $10M when Vermont withdrew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12-to-18-month reporting lag, lacks an opt-out mechanism,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legacy platforms, with Meditech sites FHIR-capable but unconfigured) and at community-based providers (mental health agencies, skilled nursing facilities, home health agencies) that lack FHIR-capable systems entirely.</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Community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15 to 25 minutes per provider per day through AI documentation support is equivalent to adding significant additional clinical capacity without hiring new providers.</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E">
      <w:pPr>
        <w:keepNext w:val="0"/>
        <w:keepLines w:val="0"/>
        <w:numPr>
          <w:ilvl w:val="0"/>
          <w:numId w:val="25"/>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F">
      <w:pPr>
        <w:keepNext w:val="0"/>
        <w:keepLines w:val="0"/>
        <w:numPr>
          <w:ilvl w:val="0"/>
          <w:numId w:val="25"/>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700">
      <w:pPr>
        <w:keepNext w:val="0"/>
        <w:keepLines w:val="0"/>
        <w:numPr>
          <w:ilvl w:val="0"/>
          <w:numId w:val="25"/>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701">
      <w:pPr>
        <w:keepNext w:val="0"/>
        <w:keepLines w:val="0"/>
        <w:numPr>
          <w:ilvl w:val="0"/>
          <w:numId w:val="25"/>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2">
      <w:pPr>
        <w:keepLines w:val="0"/>
        <w:numPr>
          <w:ilvl w:val="0"/>
          <w:numId w:val="25"/>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save ~15–25 min/day/provider (NEJM AI RCT, 2025;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global budgets take effect in FY2028, you will not be able to receive the real-time feedback the global budget management system is designed to provide.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NEJM AI ambient scribe randomized trial (2025); JAMA ambient scribe study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14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CMS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EAST Fund investments cut 30%+ due to federal Medicaid reductions.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(14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RHT Program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hire Portfolio Manager by Q2 2026; PMO by Q1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71">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January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roughly 2%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Quantified per-capita cost-growth targets, aligned with Act 68’s hospital-spending-reduction requirement.</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reports, the January 2028 plan, and the three-year updates. The monthly reporting requirement is a real accountability mechanism, not a formality.</w:t>
      </w:r>
    </w:p>
    <w:p w:rsidR="00000000" w:rsidDel="00000000" w:rsidP="00000000" w:rsidRDefault="00000000" w:rsidRPr="00000000" w14:paraId="000012E2">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Windsor</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Tier 2 (COE designations TBD);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resolving CMS’s July 2026 compliance notice on the Medicaid global budget, terms for any second federal agreement); Act 68 compliance tracking (RBP FY2027, non-CAH global budgets FY2028,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closeout (cut to a cap near $10M, against the ~$138M originally expected, before Vermont’s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Under CMS compliance notice</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barely moves — Operations is last in the sequence, so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Vermont created those conditions.</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Under CMS compliance notice (July 2026)</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All are available to Strategist and Enterprise subscribers at healthtransformationreview.org.</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is, perversely, the first to move to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