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July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July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open-access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thirteen years, formed in 2012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more than a decade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 The mandate itself has held: in June 2026 Governor Scott vetoed S.190, a further reference-based pricing bill, citing a Department of Financial Regulation analysis that its claimed savings did not hold up, and Act 68’s RBP requirement was unaffected.</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71% of primary care practices accepting new Medicaid patients (June 2026, up from 59% a year earlier) — still an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all 14 hospitals, which the RHT-funded CIN’s shared services can coordinate for the independent hospitals that join it.</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member hospitals sharing a common credentialing database — so that a provider credentialed at one CIN member facility has their verified credentials available to all member facilities — reduces the per-facility credentialing burden for providers practicing at multiple sites. It is a direct application of the shared services Oliver Wyman recommended and the RHT-funded CIN is designed to provide.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July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July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ACO model under the All-Payer ACO Model agreement; hospital budget review but no reference-based price limits</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(rule 2027; prices effective FY2028) and global budgets for at least one non-CAH hospital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First non-CAH hospital(s) under Act 68 global budgets (all hospitals by FY2030);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contract under negotiation; CIN of shared services in development; AI-scribe grants funded; EMR interoperability grants and a voluntary shared EMR planned</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enacted (rule 2027; prices effective FY2028); global-budget methodology under design; FY2026 system operating margin projected at −1.25%, with 7 of 13 reporting hospitals projecting losses (GMCB, August 2026)</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PCMH network statewide; 30-day follow-up after ED visit 76% (mental illness), 68% (alcohol use) (2023); readmission 14.8% (2021-2024); 370-FTE physician shortfall projected by 2030; no state-certified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6 CCBHCs (4 certified July 1, 2026, joining 2 earlier sites); CoCM pilots underway; team-based care deploying; readmission 14.8% (no newer measurement yet)</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all hospitals submitted final transformation plans (April 2026); PMO being established; CIN under development; monthly AHS Act 68 reports since October 2025</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July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The Congressional Budget Office estimates that its healthcare provisions cut federal health spending by more than $1 trillion over ten years, including $911 billion in Medicaid reductions,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a coverage contraction that CBO puts at 10 million people, partially offset by a time-limited capital investment in rural infrastructure that arrives before most of the cuts do.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offsets about 37% of rural Medicaid cuts (KFF)</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is the primary coverage for roughly one in five Vermonters (Census survey data; state enrollment counts run closer to one in four)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JULY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Its comment period closed on July 21, 2026, and its final terms remain unsettled as of this writing,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likely to follow ambient documentation within a few years.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set out in Chapters 4 and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one of the national canaries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build dementia-care and home- and community-based services (HCBS) capacity — and to fill the gap left since its only PACE program closed in 2013 —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Covering GLP-1s for obesity would add an estimated $25–35 billion over ten years to Medicare spending and about $15 billion to Medicaid (KFF, citing CBO) — while potentially delivering transformative reductions in the chronic-disease burden that drives the highest utilization. CMS’s BALANCE Model (announced December 2025) is the federal attempt to thread this needle: negotiating lower GLP-1 prices to enable coverage expansion without fiscal catastrophe — though CMS shelved its Medicare component in April 2026, leaving the Medicaid track and a temporary Medicare GLP-1 Bridge.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faced a BALANCE participation decision in 2026 (applications were due July 31, 2026) that weighed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a Medicare negotiated price of $274 for a 30-day supply effective in 2027, down from a $959 list price — shows how far GLP-1 prices can fall, which strengthens the case for coverage. Vermont’s participation choice is best judged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about 39% of commercial health care payments flowed through alternative payment models in 2024, and about 45% across all payers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CMMI’s current vehicle for all-payer total-cost-of-care accountability.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one of the most ambitious federal payment reforms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Pennsylvania’s now-concluded Rural Health Model ran rural hospital global budgets on problems structurally similar to Vermont’s Northeast Kingdom challenge, and all fifty states are now spending RHT funds on versions of the same rural problem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one of the most comprehensive state reform mandates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 in Medicaid.</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grants funding EMR interoperability and a voluntary shared EMR;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from FY2028 as resources allow; Medicaid hospital global budget halted July 2026. National: APMs ~39% of commercial payments; global budgets rare outside 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LEAD replacing ACO REACH (2027).</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commercial APM share flat near 40%, rising slowly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among the strongest in the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transformation plans submitted, implementation beginning; AHS kept unified after the Act 119 review;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final plans at varying stages of implementation;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AHS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Jill Mazza Olson, Vermont Agency of Human Services, December 2025</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July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transformation-success scenario rather than the partial-transformation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transformation-success and partial-transformation scenarios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Georgetown Center for Children and Families (March 2026); CMS BALANCE Model announcement (December 23, 2025); AHS Secretary Samuelson remarks (January 29, 2026); VTDigger, “Vermont receives $195M federal grant for rural health care transformation” (December 30, 2025); AHIP and Health Care Payment Learning &amp; Action Network, APM Measurement Effort (2025); GMCB, FY2027 Hospital Budget Staff Overview (August 2026); AHS Act 68 reports to the Legislature (October 2025–April 2026); CMS, Medicaid Managed Care State Directed Payments proposed rule, CMS-2449-P (May 22,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 The 2026 session showed the dynamic: the Legislature passed S.190, a reference-based pricing bill, and Governor Scott vetoed it on June 16, 2026, arguing that it “would exclude most payers from the affordability gains achieved in FY2027.”</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AHS’s hospital transformation engagements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for one or more non-critical-access hospitals from FY2028 and for all hospitals by FY2030, in each case to the extent resources are available,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Practices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GMCB’s annual hospital-budget and insurance-rate reviews,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tends to show in the operating data before it becomes a legislative problem; save a scoring and re-score as the data moves.</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of 5 certified Jul 2026 → fifth pending</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first-year RHT award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the $195M first-year RHT award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 first-year RHT award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(Montana: $47.8M saved, SFY2017–19)</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No Vermont program yet; Montana (2016) benchmark: about 220–250% of Medicare</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first-year award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