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open on state authority — the statutory architecture is complete — but narrower than planned: with AHEAD withdrawn and the Medicaid hospital global budget halted (July 2026), Medicare and Medicaid alignment must be rebuilt.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 analytics vendor contract under negotiation (April 2026).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(concluded October 2025), 14 hospital transformation plans (submitted April 2026), PMO being established — timed to precede the peak execution demand of FY2027–2028. The HSA Coordinator model (Chapter 16) and a Division of Planning and Effectiveness (Oliver Wyman) remain proposals; the Act 119 review kept AHS unified.</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Congressional Budget Office analysis found that CMMI’s first decade of models increased net federal spending by $5.4 billion rather than producing savings, and by January 2025 only four of the 70 models CMMI had tested had been expanded nationwide (GAO). Most models were discontinued. CMMI’s more recent designs — ACO REACH (formerly Direct Contracting), AHEAD, the Making Care Primary model — were built around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participation from as early as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from 2022 CMS approved 1115 waivers that use Medicaid funds for health-related social needs services, including housing supports, food assistance, and transportation, for enrollees at risk of institutionalization or with complex social needs. In March 2025 CMS rescinded its HRSN guidance: existing approvals stand, and new requests are considered case by case.</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January 2025 1115 amendment authorizes HRSN housing services — housing supports, medically necessary home remediation, and short-term rent and medical respite for homeless enrollees — so that social-needs screening can connect patients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a January 2025 amendment added HRSN housing services, while CMS and the state were still working on the authority for a Medicaid global budget.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moving before that negotiation is finished: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by voice vote in 2022 but died in the Senate and never became law. CMS achieved much of its substance through rulemaking instead: its 2024 prior authorization rule requires Medicare Advantage, Medicaid, CHIP and federal-exchange plans, from 2026,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its system map links long approval processes to cost-effective contracts that cannot be secured, and its recommendations call for further simplifying prior authorization, the CON process, and Medicaid billing.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(rule in 2027, maximum rates from FY2028);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federal Medicaid cuts over 10 years (CBO estimate).</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for expansion adults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all states; phase-down of existing taxes in expansion states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from FY2028 (October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FY2032</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New payments on enactment; existing payments from 2028</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Any Vermont hospital receiving state-directed supplemental payments faces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Combined Medicaid funding reductions (all provisions above)</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Georgetown Center for Children and Families.</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Oliver Wyman had already projected 5-year cumulative deficits for Vermont’s hospitals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generally take effect 30 to 60 days after publication, and proposed rules typically open a 30- to 60-day comment period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applies it within a three-phase engagement (Chapter 12), but its four steps can be applied internally — and are built into the Research Lab’s Policy Impact Assessment Framework:</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 one or more hospitals from hospital FY2028, all by FY2030, to the extent resources are available. The single most consequential preparation step is HCC documentation accuracy. Act 68 does not specify a risk adjustment method for global budgets — GMCB’s methodology is still being designed — but if it adjusts for population risk, as most budget models do, your benchmark will reflect your attributed population’s documented risk. A population with incomplete HCC documentation would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this book proposes (Chapter 16) — before performance accountability begins. Appropriating for them is not optional; it is the enabling condition for the global budgets Act 68 requires.</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independent hospitals and providers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of every 10,000 ED visits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one of the longest-running all-payer primary care transformation programs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 Commercial (Medicare to 2025)</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Payments from Medicaid and commercial insurers (and Medicare until December 2025); Blueprint program funding through DVHA;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peer-reviewed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a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included Medicare in its PCMH and CHT payments since Vermont joined CMS’s Multi-Payer Advanced Primary Care Practice Demonstration, and from 2017 under the All-Payer ACO Model agreement. That Medicare participation ended when the agreement ended in December 2025,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of every 10,000 ED visits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alcohol-use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of every 10,000 ED visits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has its own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and by November 2025 every HSA had hired pilot-funded CHT staff (62.2 FTE).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designated hospitals — among them the Brattleboro Retreat and the state-run Vermont Psychiatric Care Hospital — provide inpatient psychiatric care. The 30-day follow-up rate of 76% after mental health ED visits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the Health Care Delivery Advisory Committee must consider and which provides input to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Building on Act 68’s primary care provisions, comprehensive primary health care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Blueprint network and CHT training</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(14 hospitals, roughly 200,000+ ED visits annually across the system), reducing potentially avoidable ED visits from 32.3% to an illustrative 25% would eliminate approximately 14,600 ED visits per year. At an assumed average ED visit cost of $800-1,200,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(May 2026, up from 59% in June 2025)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(PPS hospitals):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Essex County uninsured rate highest in Vermont (2014 household survey);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clinical side depends on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For MIPS-eligible clinicians, Medicare’s Merit-based Incentive Payment System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return is measured, not projected: 5.8:1 in a 2016 study of 2008–2013 data, and about 3:1 to 3.8:1 in the Blueprint’s all-payer estimate for 2016.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one of Vermont’s most successful population health programs, and an underfunded one. Its measured returns — 5.8:1 in the 2016 study, about 3:1 in the Blueprint’s later all-payer estimate — are strong evidence from Vermont’s own experience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strong evidence that primary care investment produces system-level returns in a rural setting. The 5.8:1 ROI figure is from a 2016 peer-reviewed study of 2008–2013 data; the Blueprint’s own later estimate for 2016 was lower (about $3 to $3.80 saved per $1), and further evidence,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Billed to Medicare under its own designated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for which Vermont’s Blueprint primary care practices are expanding screening.</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nearly two decades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model built on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a practice new to NCQA recognition, the transformation process is operationally intensive; even recognized Vermont practices typically begin preparing six to nine months before each annual renewal.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They follow NCQA’s 2023 PCMH Standards, which practices are now updating to the 2026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with no federal replacement since Vermont withdrew from AHEAD — is a major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roughly 1,400 to 1,900 patients, depending on how much preventive and chronic care is delegated (Altschuler et al., 2012). Vermont’s Oliver Wyman finding — that Vermont’s primary care supply problem is primarily a productivity and care model problem, not a physician shortage problem — rests on this logic. Practices that adopt team-based models with full delegation can expand effective panel capacity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can account for close to half of the panel’s total cost of care — nationally, the costliest 5% of people account for about half of all health spending (AHRQ MEPS).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(at roughly $15,000 per admission)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built into PCMH recognition programs (NCQA, URAC, and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Telepsychiatry is the practical answer: a remote psychiatric consultant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funds Blueprint network and Community Health Team training that includes mental health and substance use integration.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62.2 FTE of MHI-funded CHT staff hired across every HSA by November 2025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that 9% of Vermont adults — roughly 45,000-50,000 people — have been diagnosed with diabetes (BRFSS 2023), applying that Blueprint-measured rate to the statewide population implies on the order of 10,000-11,000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alcohol-use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risk-adjusted payments under value-based contracts — and could shape global budgets if GMCB’s methodology adjusts for patient complexity, a question still under design. A clinician who documents a patient’s diabetes as ‘type 2 diabetes’ without documenting the complications it has caused — diabetic CKD, for example, carries its own HCC — is leaving RAF value uncaptured — which translates directly into lower risk-adjusted payment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Three common HCC documentation opportunities in primary care: chronic kidney disease staging (CKD is documented as present but stage is frequently not specified, and CKD Stage 3 and above have distinct HCC codes with progressively higher RAF values); diabetes complications (relevant chiefly under the V24 model — CMS’s V28 model, in full use from 2026, weights all diabetes HCCs equally, though complications such as CKD still carry their own HCCs; complications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A care transition protocol built on Vermont’s Community Health Teams works as follows.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Oliver Wyman’s Act 167 engagement included 35 provider meetings alongside 57 with hospital leadership and boards, but taking part in a consultant’s listening process is not the same as leading implementation. Clinical leaders — physician chiefs, medical staff presidents, nursing directors — need a defined role in the transformation itself. That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begin (non-CAH hospitals from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Blueprint investment (2008–2013 data)</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screening rates up;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Nationally, the costliest 5% ≈ half of health spending (AHRQ MEPS)</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common documentation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this book proposes (Chapter 16) — placing dedicated transformation coordinators in each HSA — is the operational infrastructure that translates system-level policy into community-level implementation. HSA Coordinators are not administrators; they are the connection between AHS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federal CCBHC demonstration is building a network of certified community behavioral health centers toward coverage of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risk-adjusted payment.</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Naylor MD,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13-point gap between Hispanic and White adults in having a personal health care provider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78% Hispanic adults with a personal provider — vs. 91% statewide</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Northeast Kingdom: the state’s most rural and least served region</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Highest in the state in the last county-level household survey (10% in 2014, vs. 3.7% statewide)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Northeast Kingdom counties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Vermont Department of Health’s January 2025 equity report shows that statewide, 94% of Vermont adults have health insurance (BRFSS self-report) — but only 82% of Black adults. Primary care access follows a similar pattern: in the Department’s newer BRFSS data (2023–2024, published March 2026), 91% of Vermont adults have a personal health care provider, but only 78% of Hispanic adults — the only group statistically below the state — with Black (85%) and American Indian or Alaska Native (82%) adults also reporting lower rates.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fourth highest among states (HUD 2024; second in 2022 and 2023)</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uninsurance concentrates in the Northeast Kingdom (Essex County had the state’s highest rate in the last county-level survey) and among adults with incomes just above Medicaid eligibility.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2024 Health Affairs commentary, “Reimagining Rural Health Equity,” argues that decades of underinvestment left rural communities exposed and calls for coordinated research, practice, and policy responses. Several priorities follow for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EMS, RPM, telehealth, e-Consult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at a date not yet set (CMS postponed its planned January 2027 start in April 2026),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BALANCE decision (state applications were due July 31, 2026) is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SDOH screening through the Blueprint for Health,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SDOH screening: Blueprint PCMH practices screen for health-related social needs (HRSN),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a strongly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toward the statewide rate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Hispanic adults: close the gap from 78% toward the 91% statewide rate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EMS and telehealth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91% statewide access vs. 78% for Hispanic adults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(regional and payer breakdowns not yet published)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tracks progress in its Act 68 reporting; the AHS analytics vendor enables near-real-time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Unified Health Data Space Act 68 sets up under AHS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13-point gap between Hispanic and White adults in having a personal health care provider, or a double-digit difference in diabetes control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HRSN screening data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13-point gap between Hispanic and White adults in having a personal health care provider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among the more comprehensive state-level equity monitoring architectures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in the last county-level survey,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Used across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of every 10,000 ED visits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the state’s highest uninsurance rates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Program management, change-management discipline, and shared analytical tools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shared analytical tools, and a change-management discipline — is the generic implementation layer that sits underneath every pillar, in every state. Vermont’s specific instantiations (the Transformation PMO proposed in Chapter 15, the Clinically Integrated Network of Shared Services in Vermont’s RHT plan) show what that infrastructure would look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more than thirty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Courses in value-based care, HEDIS quality measurement, and hospital finance, a Five Pillars course with lessons on global budgets and reference-based pricing,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healthtransformationreview.org/advisory/contact</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stratified quality outcomes,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lessons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HTR platform, healthtransformationreview.org.</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reference-based pricing and the first global budgets from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the Clinically Integrated Network of Shared Services that Vermont’s RHT plan funds for its independent hospitals and providers, the highest-priority Technology Strategy engagement is the data architecture design that enables shared services across its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of the organization this engagement type is built for.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turned RBP from a study into a statutory requirement. Better coordination across AHS’s departments would address the program silo obstacle. The analytics vendor would remove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AHS’s five regional planning meetings with hospital leadership in August and September 2025 are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once established as permanent payment architecture, would be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an RBP rule in 2027 with maximum rates from FY2028, and the first global budgets from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outcome disparities stratified by population group.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Shared implementation infrastructure — such as the shared services and analytics that Vermont’s RHT plan funds through a Clinically Integrated Network of independent providers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knowledge transfer is not optional generosity. It is a system obligation, and increasingly, a strategic interest: a system in which 9 of 14 hospitals reported operating losses in 2023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a change management function, shared analytical tools.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This chapter is among the most transferable content in this book. Every state attempting healthcare transformation will need a PMO,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courses in value-based care, quality measurement, and hospital finance, lessons on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HTR platform (healthtransformationreview.org); Kotter, J.P. (1996) Leading Change; Vermont Agency of Human Services Health Care System Transformation Reports (2025–2026); Green Mountain Care Board, Act 68 update (February 17, 2026); Oliver Wyman Act 167 Report; Act 68 of 2025; Act 113 of 2024; Vermont RHT Program Application.</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(Ch. 16 design)</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Not adopted: Act 119 report (Feb 2026) kept AHS unified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simplified CMS-HCC risk adjustment across 20 hierarchical condition categories (condition codes and coefficients follow the V24 model). Sub-tools: HCC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five pre-loaded state scenarios; All-Payer Global Budget Designer; Medicaid Expansion Impact Calculator (KFF coverage-gap data);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projections of up to 10 years with sensitivity analysis. Vermont: GMCB FY2025 audited actuals for all 14 hospitals and Oliver Wyman’s growth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8 platform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(21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mid-2026,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ACO model (OneCare) under the All-Payer ACO Model agreement</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RBP (rule 2027; maximum rates from FY2028) and global budgets (one or more non-CAH hospitals from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First non-CAH hospitals under global budgets; all hospitals by FY2030</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All-Payer ACO Model agreement with CMS (2018–2025)</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contract under negotiation (April 2026)</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FY2026 system operating margin projected at −1.25%, with 7 of 13 reporting hospitals projecting losses (GMCB, Aug 2026);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FY2027 Hospital Budget Staff Overview (Aug 2026)</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RBP enacted (rule 2027; maximum rates from FY2028);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(268%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No newer figure published; RHRC engagement concluded October 2025</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All-Payer ACO Model; OneCare contracts with Medicare, Medicaid, and BCBSVT (BCBSVT left in 2023)</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OneCare dissolved at the end of 2025; Act 68 global budgets begin FY2028 (non-CAH hospitals first)</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PCMH network statewide (most primary-care practices)</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Statewide; no published participation percentage</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30-day follow-up after ED visit (mental illness)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No newer measurement;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30-day follow-up after ED visit (alcohol use)</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No newer measurement;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None state-certified (Clara Martin a SAMHSA-grant CCBHC from 2021)</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4 certified July 1, 2026, joining 2 earlier —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Vermont RHT Application (Nov 2025); Oliver Wyman</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No newer measurement (14.8% covers 2021–2024)</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AHS Nov 2025 Report (VDH via CMS)</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by race/ethnicity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Hispanic adults 78% vs. White 91% (2023–24; the only group statistically below the state)</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No newer data</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for every group</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Highest county rate in Vermont (10% in the 2014 household survey)</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No newer county estimate in this book’s sources</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tool available (runs on user-entered data)</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Screening expanding; no statewide coverage figure published</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engagement concluded Oct 2025; all 14 submitted final plans (April 2026)</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plans in implementation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Act 119 review kept AHS unified (Feb 2026)</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monthly AHS reports since October 2025 (outcome measures since August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July 2026, and several metrics that show no change in 2026 will shift in 2027–2028 as Act 68 global budgets take effect, RBP takes effect, and the hospital plans move into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What’s on the Platform (a directory of major tools with direct links). On desktop, the left sidebar is the primary navigation and can be collapsed for reading space; on mobile, a bottom bar gives one-tap access to Home, Academy, Tools, and Advisory, with a toggle for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Courses are organized into tracks and lessons; the Five Pillars, One Imperative course follows this book chapter by chapter. Case studies include Vermont’s All-Payer ACO, the Camden Coalition, and Intermountain’s hospital-at-home program, with deep-dives on the Vermont RHT Program, Vermont Act 167, and California CalAIM. Reference materials include the Glossary (the source of each chapter’s Key Concepts) and the Vermont-specific Medicaid Learning Center.</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CEA Calculator, Global Budget Transition Modeler, VBC Contract Review Checklist); Policy &amp; Quality Sciences (Policy Simulator, Hospital Financial Stress Test, Actuarial Lab, Clinical Quality Optimizer); Population &amp; Equity (Population Health Modeler,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Dashboard and the CMS Rural Health Transformation awards view, the AHEAD Model analysis (five participating states, and why Vermont withdrew), California CalAIM (the Medi-Cal transformation under waivers approved in December 2021),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50-State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(the APCD Council tracks which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statewide ACO (formed 2012), the vehicle for the All-Payer ACO Model (performance years 2018–2025); dissolved at the end of 2025.</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reference-based pricing beginning no later than FY2027 (maximum rates from FY2028), global hospital budgets for one or more non-critical-access hospitals from FY2028 and all hospitals by FY2030 (both to the extent resources are available),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sub-state geographic planning units (13 in the Department of Health’s count, served by 14 hospitals).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 analytics vendor (procurement 2025–2026)</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the Vermont Clinical Transformation Toolkit (Chapter 9)</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(being established) + 14 hospital transformation plans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nine of fourteen hospitals in operating losses in FY2023 (Oliver Wyman) and, in GMCB’s August 2026 overview, seven of thirteen reporting hospitals projecting FY2026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its hospital-budget statute (18 V.S.A. § 9456) and Act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seven-year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score the Policy pillar as a voluntary model would score and leave Technology unbuilt. Re-run the Transformation Scorecard. Its effective composite collapses</w:t>
            </w:r>
            <w:r w:rsidDel="00000000" w:rsidR="00000000" w:rsidRPr="00000000">
              <w:rPr>
                <w:i w:val="1"/>
                <w:iCs w:val="1"/>
                <w:sz w:val="20"/>
                <w:szCs w:val="20"/>
                <w:rtl w:val="0"/>
              </w:rPr>
              <w:t xml:space="preserve"/>
            </w:r>
            <w:r w:rsidDel="00000000" w:rsidR="00000000" w:rsidRPr="00000000">
              <w:rPr>
                <w:sz w:val="20"/>
                <w:szCs w:val="20"/>
                <w:rtl w:val="0"/>
              </w:rPr>
              <w:t xml:space="preserve"/>
            </w:r>
            <w:r w:rsidDel="00000000" w:rsidR="00000000" w:rsidRPr="00000000">
              <w:rPr>
                <w:b w:val="1"/>
                <w:bCs w:val="1"/>
                <w:sz w:val="20"/>
                <w:szCs w:val="20"/>
                <w:rtl w:val="0"/>
              </w:rPr>
              <w:t xml:space="preserve"/>
            </w:r>
            <w:r w:rsidDel="00000000" w:rsidR="00000000" w:rsidRPr="00000000">
              <w:rPr>
                <w:sz w:val="20"/>
                <w:szCs w:val="20"/>
                <w:rtl w:val="0"/>
              </w:rPr>
              <w:t xml:space="preserve">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Georgetown Center for Children and Families.</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