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Two Decades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Work This Chapter on the Platform</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Implications for You</w:t>
        </w:r>
      </w:hyperlink>
      <w:r>
        <w:tab/>
      </w:r>
      <w:r>
        <w:fldChar w:fldCharType="begin"/>
      </w:r>
      <w:r>
        <w:instrText xml:space="preserve"> PAGEREF _Toc1365 \h </w:instrText>
      </w:r>
      <w:r>
        <w:fldChar w:fldCharType="separate"/>
      </w:r>
      <w:r>
        <w:t>1</w:t>
      </w:r>
      <w:r>
        <w:fldChar w:fldCharType="end"/>
      </w:r>
    </w:p>
    <w:p>
      <w:pPr>
        <w:pStyle w:val="TOC2"/>
      </w:pPr>
      <w:hyperlink w:anchor="_Toc1366">
        <w:r>
          <w:t xml:space="preserve">Key Concepts in This Chapter</w:t>
        </w:r>
      </w:hyperlink>
      <w:r>
        <w:tab/>
      </w:r>
      <w:r>
        <w:fldChar w:fldCharType="begin"/>
      </w:r>
      <w:r>
        <w:instrText xml:space="preserve"> PAGEREF _Toc1366 \h </w:instrText>
      </w:r>
      <w:r>
        <w:fldChar w:fldCharType="separate"/>
      </w:r>
      <w:r>
        <w:t>1</w:t>
      </w:r>
      <w:r>
        <w:fldChar w:fldCharType="end"/>
      </w:r>
    </w:p>
    <w:p>
      <w:pPr>
        <w:pStyle w:val="TOC1"/>
      </w:pPr>
      <w:hyperlink w:anchor="_Toc1367">
        <w:r>
          <w:t xml:space="preserve">Chapter 13 — The Future of Healthcare Transformation: 2026, What Vermont Proves, and What Remains</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Vermont Transformation Scorecard: Six-Pillar Status, April 2026</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Where the System Stands in April 2026 — A Necessary Update</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Five Forces Shaping the Next Decade</w:t>
        </w:r>
      </w:hyperlink>
      <w:r>
        <w:tab/>
      </w:r>
      <w:r>
        <w:fldChar w:fldCharType="begin"/>
      </w:r>
      <w:r>
        <w:instrText xml:space="preserve"> PAGEREF _Toc1370 \h </w:instrText>
      </w:r>
      <w:r>
        <w:fldChar w:fldCharType="separate"/>
      </w:r>
      <w:r>
        <w:t>1</w:t>
      </w:r>
      <w:r>
        <w:fldChar w:fldCharType="end"/>
      </w:r>
    </w:p>
    <w:p>
      <w:pPr>
        <w:pStyle w:val="TOC2"/>
      </w:pPr>
      <w:hyperlink w:anchor="_Toc1376">
        <w:r>
          <w:t xml:space="preserve">The Six-Pillar Forecast: 2026–2035</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Vermont’s Ten-Year Trajectory: Two Scenarios</w:t>
        </w:r>
      </w:hyperlink>
      <w:r>
        <w:tab/>
      </w:r>
      <w:r>
        <w:fldChar w:fldCharType="begin"/>
      </w:r>
      <w:r>
        <w:instrText xml:space="preserve"> PAGEREF _Toc1377 \h </w:instrText>
      </w:r>
      <w:r>
        <w:fldChar w:fldCharType="separate"/>
      </w:r>
      <w:r>
        <w:t>1</w:t>
      </w:r>
      <w:r>
        <w:fldChar w:fldCharType="end"/>
      </w:r>
    </w:p>
    <w:p>
      <w:pPr>
        <w:pStyle w:val="TOC2"/>
      </w:pPr>
      <w:hyperlink w:anchor="_Toc1380">
        <w:r>
          <w:t xml:space="preserve">Vermont as National Template — The Decisions That Will Determine Outcomes</w:t>
        </w:r>
      </w:hyperlink>
      <w:r>
        <w:tab/>
      </w:r>
      <w:r>
        <w:fldChar w:fldCharType="begin"/>
      </w:r>
      <w:r>
        <w:instrText xml:space="preserve"> PAGEREF _Toc1380 \h </w:instrText>
      </w:r>
      <w:r>
        <w:fldChar w:fldCharType="separate"/>
      </w:r>
      <w:r>
        <w:t>1</w:t>
      </w:r>
      <w:r>
        <w:fldChar w:fldCharType="end"/>
      </w:r>
    </w:p>
    <w:p>
      <w:pPr>
        <w:pStyle w:val="TOC2"/>
      </w:pPr>
      <w:hyperlink w:anchor="_Toc1381">
        <w:r>
          <w:t xml:space="preserve">Work This Chapter on the Platform</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Implications for You</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Key Concepts in This Chapter</w:t>
        </w:r>
      </w:hyperlink>
      <w:r>
        <w:tab/>
      </w:r>
      <w:r>
        <w:fldChar w:fldCharType="begin"/>
      </w:r>
      <w:r>
        <w:instrText xml:space="preserve"> PAGEREF _Toc1383 \h </w:instrText>
      </w:r>
      <w:r>
        <w:fldChar w:fldCharType="separate"/>
      </w:r>
      <w:r>
        <w:t>1</w:t>
      </w:r>
      <w:r>
        <w:fldChar w:fldCharType="end"/>
      </w:r>
    </w:p>
    <w:p>
      <w:pPr>
        <w:pStyle w:val="TOC2"/>
      </w:pPr>
      <w:hyperlink w:anchor="_Toc1384">
        <w:r>
          <w:t xml:space="preserve">A Closing Note: What This Book Is Betting On</w:t>
        </w:r>
      </w:hyperlink>
      <w:r>
        <w:tab/>
      </w:r>
      <w:r>
        <w:fldChar w:fldCharType="begin"/>
      </w:r>
      <w:r>
        <w:instrText xml:space="preserve"> PAGEREF _Toc1384 \h </w:instrText>
      </w:r>
      <w:r>
        <w:fldChar w:fldCharType="separate"/>
      </w:r>
      <w:r>
        <w:t>1</w:t>
      </w:r>
      <w:r>
        <w:fldChar w:fldCharType="end"/>
      </w:r>
    </w:p>
    <w:p>
      <w:pPr>
        <w:pStyle w:val="TOC1"/>
      </w:pPr>
      <w:hyperlink w:anchor="_Toc1385">
        <w:r>
          <w:t xml:space="preserve">Chapter 14 — Political Sustainability: Protecting Transformation Across Election Cycles</w:t>
        </w:r>
      </w:hyperlink>
      <w:r>
        <w:tab/>
      </w:r>
      <w:r>
        <w:fldChar w:fldCharType="begin"/>
      </w:r>
      <w:r>
        <w:instrText xml:space="preserve"> PAGEREF _Toc1385 \h </w:instrText>
      </w:r>
      <w:r>
        <w:fldChar w:fldCharType="separate"/>
      </w:r>
      <w:r>
        <w:t>1</w:t>
      </w:r>
      <w:r>
        <w:fldChar w:fldCharType="end"/>
      </w:r>
    </w:p>
    <w:p>
      <w:pPr>
        <w:pStyle w:val="TOC2"/>
      </w:pPr>
      <w:hyperlink w:anchor="_Toc1386">
        <w:r>
          <w:t xml:space="preserve">Why Political Sustainability Is an Analytical Problem, Not Only a Political One</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The Structural Durability of Vermont’s Reform Architecture</w:t>
        </w:r>
      </w:hyperlink>
      <w:r>
        <w:tab/>
      </w:r>
      <w:r>
        <w:fldChar w:fldCharType="begin"/>
      </w:r>
      <w:r>
        <w:instrText xml:space="preserve"> PAGEREF _Toc1387 \h </w:instrText>
      </w:r>
      <w:r>
        <w:fldChar w:fldCharType="separate"/>
      </w:r>
      <w:r>
        <w:t>1</w:t>
      </w:r>
      <w:r>
        <w:fldChar w:fldCharType="end"/>
      </w:r>
    </w:p>
    <w:p>
      <w:pPr>
        <w:pStyle w:val="TOC2"/>
      </w:pPr>
      <w:hyperlink w:anchor="_Toc1390">
        <w:r>
          <w:t xml:space="preserve">Early-Warning Signals of Political Risk</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Organizational Strategies for Political Risk Management</w:t>
        </w:r>
      </w:hyperlink>
      <w:r>
        <w:tab/>
      </w:r>
      <w:r>
        <w:fldChar w:fldCharType="begin"/>
      </w:r>
      <w:r>
        <w:instrText xml:space="preserve"> PAGEREF _Toc1391 \h </w:instrText>
      </w:r>
      <w:r>
        <w:fldChar w:fldCharType="separate"/>
      </w:r>
      <w:r>
        <w:t>1</w:t>
      </w:r>
      <w:r>
        <w:fldChar w:fldCharType="end"/>
      </w:r>
    </w:p>
    <w:p>
      <w:pPr>
        <w:pStyle w:val="TOC2"/>
      </w:pPr>
      <w:hyperlink w:anchor="_Toc1396">
        <w:r>
          <w:t xml:space="preserve">Vermont’s Reform Cascade as Political-Sustainability Architecture</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Work This Chapter on the Platform</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Implications for You</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Key Concepts in This Chapter</w:t>
        </w:r>
      </w:hyperlink>
      <w:r>
        <w:tab/>
      </w:r>
      <w:r>
        <w:fldChar w:fldCharType="begin"/>
      </w:r>
      <w:r>
        <w:instrText xml:space="preserve"> PAGEREF _Toc1399 \h </w:instrText>
      </w:r>
      <w:r>
        <w:fldChar w:fldCharType="separate"/>
      </w:r>
      <w:r>
        <w:t>1</w:t>
      </w:r>
      <w:r>
        <w:fldChar w:fldCharType="end"/>
      </w:r>
    </w:p>
    <w:p>
      <w:pPr>
        <w:pStyle w:val="TOC1"/>
      </w:pPr>
      <w:hyperlink w:anchor="_Toc1400">
        <w:r>
          <w:t xml:space="preserve">Chapter 15 — Healthcare Transformation as Portfolio Management: Applying PMI Standards to Six-Pillar Reform</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The Project-Management Gap in Healthcare Transformation</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Project, Program, and Portfolio: Getting the Levels Right</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Vermont’s Transformation Portfolio: 19 Components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Case for a Portfolio Manager</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Pillar-Level Project Managers: Six Roles, One Framework</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Governance Architecture and the Ten Knowledge Areas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Portfolio Sequence Is Dependency Sequence</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Predictive vs. Adaptive Approaches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Portfolio Risk Register</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Benefits Realization: Connecting the PMO to Act 167’s Five Goals</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The Business Case</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Implementation Roadmap</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Answering the Four Objections</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Work This Chapter on the Platform</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Implications for You</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Key Concepts in This Chapter</w:t>
        </w:r>
      </w:hyperlink>
      <w:r>
        <w:tab/>
      </w:r>
      <w:r>
        <w:fldChar w:fldCharType="begin"/>
      </w:r>
      <w:r>
        <w:instrText xml:space="preserve"> PAGEREF _Toc1416 \h </w:instrText>
      </w:r>
      <w:r>
        <w:fldChar w:fldCharType="separate"/>
      </w:r>
      <w:r>
        <w:t>1</w:t>
      </w:r>
      <w:r>
        <w:fldChar w:fldCharType="end"/>
      </w:r>
    </w:p>
    <w:p>
      <w:pPr>
        <w:pStyle w:val="TOC1"/>
      </w:pPr>
      <w:hyperlink w:anchor="_Toc1417">
        <w:r>
          <w:t xml:space="preserve">Chapter 16 — The AHS Restructuring Roadmap: A Six-Pillar Framework for System Architects</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The Statutory Mandate — What Act 68 Actually Requires AHS to Do</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Organizational Diagnosis — Why AHS Must Restructure, Not Just Plan</w:t>
        </w:r>
      </w:hyperlink>
      <w:r>
        <w:tab/>
      </w:r>
      <w:r>
        <w:fldChar w:fldCharType="begin"/>
      </w:r>
      <w:r>
        <w:instrText xml:space="preserve"> PAGEREF _Toc1419 \h </w:instrText>
      </w:r>
      <w:r>
        <w:fldChar w:fldCharType="separate"/>
      </w:r>
      <w:r>
        <w:t>1</w:t>
      </w:r>
      <w:r>
        <w:fldChar w:fldCharType="end"/>
      </w:r>
    </w:p>
    <w:p>
      <w:pPr>
        <w:pStyle w:val="TOC2"/>
      </w:pPr>
      <w:hyperlink w:anchor="_Toc1421">
        <w:r>
          <w:t xml:space="preserve">The Redesigned AHS Operating Model — A Population Health System Operator</w:t>
        </w:r>
      </w:hyperlink>
      <w:r>
        <w:tab/>
      </w:r>
      <w:r>
        <w:fldChar w:fldCharType="begin"/>
      </w:r>
      <w:r>
        <w:instrText xml:space="preserve"> PAGEREF _Toc1421 \h </w:instrText>
      </w:r>
      <w:r>
        <w:fldChar w:fldCharType="separate"/>
      </w:r>
      <w:r>
        <w:t>1</w:t>
      </w:r>
      <w:r>
        <w:fldChar w:fldCharType="end"/>
      </w:r>
    </w:p>
    <w:p>
      <w:pPr>
        <w:pStyle w:val="TOC2"/>
      </w:pPr>
      <w:hyperlink w:anchor="_Toc1425">
        <w:r>
          <w:t xml:space="preserve">The Six-Pillar Framework Applied to AHS’s Mandate</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AHS Restructuring Implementation Timeline</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A Framework for the 2028 Statewide Strategic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Vermont as National Template — Why This Restructuring Matters Beyond Vermont</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Work This Chapter on the Platform</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Implications for You</w:t>
        </w:r>
      </w:hyperlink>
      <w:r>
        <w:tab/>
      </w:r>
      <w:r>
        <w:fldChar w:fldCharType="begin"/>
      </w:r>
      <w:r>
        <w:instrText xml:space="preserve"> PAGEREF _Toc1431 \h </w:instrText>
      </w:r>
      <w:r>
        <w:fldChar w:fldCharType="separate"/>
      </w:r>
      <w:r>
        <w:t>1</w:t>
      </w:r>
      <w:r>
        <w:fldChar w:fldCharType="end"/>
      </w:r>
    </w:p>
    <w:p>
      <w:pPr>
        <w:pStyle w:val="TOC2"/>
      </w:pPr>
      <w:hyperlink w:anchor="_Toc1432">
        <w:r>
          <w:t xml:space="preserve">Key Concepts in This Chapter</w:t>
        </w:r>
      </w:hyperlink>
      <w:r>
        <w:tab/>
      </w:r>
      <w:r>
        <w:fldChar w:fldCharType="begin"/>
      </w:r>
      <w:r>
        <w:instrText xml:space="preserve"> PAGEREF _Toc1432 \h </w:instrText>
      </w:r>
      <w:r>
        <w:fldChar w:fldCharType="separate"/>
      </w:r>
      <w:r>
        <w:t>1</w:t>
      </w:r>
      <w:r>
        <w:fldChar w:fldCharType="end"/>
      </w:r>
    </w:p>
    <w:p>
      <w:pPr>
        <w:pStyle w:val="TOC1"/>
      </w:pPr>
      <w:hyperlink w:anchor="_Toc1433">
        <w:r>
          <w:t xml:space="preserve">Conclusion — What Vermont Proves, and What Remains to Be Proven</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What Failure Actually Looks Like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The Three Decisions That Are Not Yet Made</w:t>
        </w:r>
      </w:hyperlink>
      <w:r>
        <w:tab/>
      </w:r>
      <w:r>
        <w:fldChar w:fldCharType="begin"/>
      </w:r>
      <w:r>
        <w:instrText xml:space="preserve"> PAGEREF _Toc1435 \h </w:instrText>
      </w:r>
      <w:r>
        <w:fldChar w:fldCharType="separate"/>
      </w:r>
      <w:r>
        <w:t>1</w:t>
      </w:r>
      <w:r>
        <w:fldChar w:fldCharType="end"/>
      </w:r>
    </w:p>
    <w:p>
      <w:pPr>
        <w:pStyle w:val="TOC2"/>
      </w:pPr>
      <w:hyperlink w:anchor="_Toc1439">
        <w:r>
          <w:t xml:space="preserve">What Vermont Has Proved — As of April 2026</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The People This Book Cannot Reach</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The Call</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Key Concepts in This Chapter</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A — Vermont System Portrait</w:t>
        </w:r>
      </w:hyperlink>
      <w:r>
        <w:tab/>
      </w:r>
      <w:r>
        <w:fldChar w:fldCharType="begin"/>
      </w:r>
      <w:r>
        <w:instrText xml:space="preserve"> PAGEREF _Toc1443 \h </w:instrText>
      </w:r>
      <w:r>
        <w:fldChar w:fldCharType="separate"/>
      </w:r>
      <w:r>
        <w:t>1</w:t>
      </w:r>
      <w:r>
        <w:fldChar w:fldCharType="end"/>
      </w:r>
    </w:p>
    <w:p>
      <w:pPr>
        <w:pStyle w:val="TOC2"/>
      </w:pPr>
      <w:hyperlink w:anchor="_Toc1444">
        <w:r>
          <w:t xml:space="preserve">A.1 Vermont: The State</w:t>
        </w:r>
      </w:hyperlink>
      <w:r>
        <w:tab/>
      </w:r>
      <w:r>
        <w:fldChar w:fldCharType="begin"/>
      </w:r>
      <w:r>
        <w:instrText xml:space="preserve"> PAGEREF _Toc1444 \h </w:instrText>
      </w:r>
      <w:r>
        <w:fldChar w:fldCharType="separate"/>
      </w:r>
      <w:r>
        <w:t>1</w:t>
      </w:r>
      <w:r>
        <w:fldChar w:fldCharType="end"/>
      </w:r>
    </w:p>
    <w:p>
      <w:pPr>
        <w:pStyle w:val="TOC2"/>
      </w:pPr>
      <w:hyperlink w:anchor="_Toc1445">
        <w:r>
          <w:t xml:space="preserve">A.2 Demographics and Population Projections</w:t>
        </w:r>
      </w:hyperlink>
      <w:r>
        <w:tab/>
      </w:r>
      <w:r>
        <w:fldChar w:fldCharType="begin"/>
      </w:r>
      <w:r>
        <w:instrText xml:space="preserve"> PAGEREF _Toc1445 \h </w:instrText>
      </w:r>
      <w:r>
        <w:fldChar w:fldCharType="separate"/>
      </w:r>
      <w:r>
        <w:t>1</w:t>
      </w:r>
      <w:r>
        <w:fldChar w:fldCharType="end"/>
      </w:r>
    </w:p>
    <w:p>
      <w:pPr>
        <w:pStyle w:val="TOC2"/>
      </w:pPr>
      <w:hyperlink w:anchor="_Toc1446">
        <w:r>
          <w:t xml:space="preserve">A.3 Regulatory Architecture: The Green Mountain Care Board</w:t>
        </w:r>
      </w:hyperlink>
      <w:r>
        <w:tab/>
      </w:r>
      <w:r>
        <w:fldChar w:fldCharType="begin"/>
      </w:r>
      <w:r>
        <w:instrText xml:space="preserve"> PAGEREF _Toc1446 \h </w:instrText>
      </w:r>
      <w:r>
        <w:fldChar w:fldCharType="separate"/>
      </w:r>
      <w:r>
        <w:t>1</w:t>
      </w:r>
      <w:r>
        <w:fldChar w:fldCharType="end"/>
      </w:r>
    </w:p>
    <w:p>
      <w:pPr>
        <w:pStyle w:val="TOC2"/>
      </w:pPr>
      <w:hyperlink w:anchor="_Toc1447">
        <w:r>
          <w:t xml:space="preserve">A.4 The Hospital System</w:t>
        </w:r>
      </w:hyperlink>
      <w:r>
        <w:tab/>
      </w:r>
      <w:r>
        <w:fldChar w:fldCharType="begin"/>
      </w:r>
      <w:r>
        <w:instrText xml:space="preserve"> PAGEREF _Toc1447 \h </w:instrText>
      </w:r>
      <w:r>
        <w:fldChar w:fldCharType="separate"/>
      </w:r>
      <w:r>
        <w:t>1</w:t>
      </w:r>
      <w:r>
        <w:fldChar w:fldCharType="end"/>
      </w:r>
    </w:p>
    <w:p>
      <w:pPr>
        <w:pStyle w:val="TOC2"/>
      </w:pPr>
      <w:hyperlink w:anchor="_Toc1450">
        <w:r>
          <w:t xml:space="preserve">A.5 The Transformation Plans: A System in Motion</w:t>
        </w:r>
      </w:hyperlink>
      <w:r>
        <w:tab/>
      </w:r>
      <w:r>
        <w:fldChar w:fldCharType="begin"/>
      </w:r>
      <w:r>
        <w:instrText xml:space="preserve"> PAGEREF _Toc1450 \h </w:instrText>
      </w:r>
      <w:r>
        <w:fldChar w:fldCharType="separate"/>
      </w:r>
      <w:r>
        <w:t>1</w:t>
      </w:r>
      <w:r>
        <w:fldChar w:fldCharType="end"/>
      </w:r>
    </w:p>
    <w:p>
      <w:pPr>
        <w:pStyle w:val="TOC2"/>
      </w:pPr>
      <w:hyperlink w:anchor="_Toc1451">
        <w:r>
          <w:t xml:space="preserve">A.6 The Insurance and Premium Crisis</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A.7 Healthcare Workforce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A.8 Clinical Quality Indicators</w:t>
        </w:r>
      </w:hyperlink>
      <w:r>
        <w:tab/>
      </w:r>
      <w:r>
        <w:fldChar w:fldCharType="begin"/>
      </w:r>
      <w:r>
        <w:instrText xml:space="preserve"> PAGEREF _Toc1453 \h </w:instrText>
      </w:r>
      <w:r>
        <w:fldChar w:fldCharType="separate"/>
      </w:r>
      <w:r>
        <w:t>1</w:t>
      </w:r>
      <w:r>
        <w:fldChar w:fldCharType="end"/>
      </w:r>
    </w:p>
    <w:p>
      <w:pPr>
        <w:pStyle w:val="TOC1"/>
      </w:pPr>
      <w:hyperlink w:anchor="_Toc1454">
        <w:r>
          <w:t xml:space="preserve">Appendix B — Act 68 Statutory Timeline and Milestones</w:t>
        </w:r>
      </w:hyperlink>
      <w:r>
        <w:tab/>
      </w:r>
      <w:r>
        <w:fldChar w:fldCharType="begin"/>
      </w:r>
      <w:r>
        <w:instrText xml:space="preserve"> PAGEREF _Toc1454 \h </w:instrText>
      </w:r>
      <w:r>
        <w:fldChar w:fldCharType="separate"/>
      </w:r>
      <w:r>
        <w:t>1</w:t>
      </w:r>
      <w:r>
        <w:fldChar w:fldCharType="end"/>
      </w:r>
    </w:p>
    <w:p>
      <w:pPr>
        <w:pStyle w:val="TOC1"/>
      </w:pPr>
      <w:hyperlink w:anchor="_Toc1456">
        <w:r>
          <w:t xml:space="preserve">Appendix C — The 14-Hospital Centers of Excellence Assignment Framework</w:t>
        </w:r>
      </w:hyperlink>
      <w:r>
        <w:tab/>
      </w:r>
      <w:r>
        <w:fldChar w:fldCharType="begin"/>
      </w:r>
      <w:r>
        <w:instrText xml:space="preserve"> PAGEREF _Toc1456 \h </w:instrText>
      </w:r>
      <w:r>
        <w:fldChar w:fldCharType="separate"/>
      </w:r>
      <w:r>
        <w:t>1</w:t>
      </w:r>
      <w:r>
        <w:fldChar w:fldCharType="end"/>
      </w:r>
    </w:p>
    <w:p>
      <w:pPr>
        <w:pStyle w:val="TOC1"/>
      </w:pPr>
      <w:hyperlink w:anchor="_Toc1457">
        <w:r>
          <w:t xml:space="preserve">Appendix D — AHEAD State Agreement: Key Terms and Provisions</w:t>
        </w:r>
      </w:hyperlink>
      <w:r>
        <w:tab/>
      </w:r>
      <w:r>
        <w:fldChar w:fldCharType="begin"/>
      </w:r>
      <w:r>
        <w:instrText xml:space="preserve"> PAGEREF _Toc1457 \h </w:instrText>
      </w:r>
      <w:r>
        <w:fldChar w:fldCharType="separate"/>
      </w:r>
      <w:r>
        <w:t>1</w:t>
      </w:r>
      <w:r>
        <w:fldChar w:fldCharType="end"/>
      </w:r>
    </w:p>
    <w:p>
      <w:pPr>
        <w:pStyle w:val="TOC1"/>
      </w:pPr>
      <w:hyperlink w:anchor="_Toc1458">
        <w:r>
          <w:t xml:space="preserve">Appendix E — HTR Platform Tools and Methodology Overview</w:t>
        </w:r>
      </w:hyperlink>
      <w:r>
        <w:tab/>
      </w:r>
      <w:r>
        <w:fldChar w:fldCharType="begin"/>
      </w:r>
      <w:r>
        <w:instrText xml:space="preserve"> PAGEREF _Toc1458 \h </w:instrText>
      </w:r>
      <w:r>
        <w:fldChar w:fldCharType="separate"/>
      </w:r>
      <w:r>
        <w:t>1</w:t>
      </w:r>
      <w:r>
        <w:fldChar w:fldCharType="end"/>
      </w:r>
    </w:p>
    <w:p>
      <w:pPr>
        <w:pStyle w:val="TOC1"/>
      </w:pPr>
      <w:hyperlink w:anchor="_Toc1459">
        <w:r>
          <w:t xml:space="preserve">Appendix F — Vermont Transformation Scorecard: 2022 Baseline, 2026 Status, 2028 Target</w:t>
        </w:r>
      </w:hyperlink>
      <w:r>
        <w:tab/>
      </w:r>
      <w:r>
        <w:fldChar w:fldCharType="begin"/>
      </w:r>
      <w:r>
        <w:instrText xml:space="preserve"> PAGEREF _Toc1459 \h </w:instrText>
      </w:r>
      <w:r>
        <w:fldChar w:fldCharType="separate"/>
      </w:r>
      <w:r>
        <w:t>1</w:t>
      </w:r>
      <w:r>
        <w:fldChar w:fldCharType="end"/>
      </w:r>
    </w:p>
    <w:p>
      <w:pPr>
        <w:pStyle w:val="TOC1"/>
      </w:pPr>
      <w:hyperlink w:anchor="_Toc1466">
        <w:r>
          <w:t xml:space="preserve">Appendix G — A Reader’s Guide to the Health Transformation Review Platform</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What This Platform Is</w:t>
        </w:r>
      </w:hyperlink>
      <w:r>
        <w:tab/>
      </w:r>
      <w:r>
        <w:fldChar w:fldCharType="begin"/>
      </w:r>
      <w:r>
        <w:instrText xml:space="preserve"> PAGEREF _Toc1467 \h </w:instrText>
      </w:r>
      <w:r>
        <w:fldChar w:fldCharType="separate"/>
      </w:r>
      <w:r>
        <w:t>1</w:t>
      </w:r>
      <w:r>
        <w:fldChar w:fldCharType="end"/>
      </w:r>
    </w:p>
    <w:p>
      <w:pPr>
        <w:pStyle w:val="TOC2"/>
      </w:pPr>
      <w:hyperlink w:anchor="_Toc1468">
        <w:r>
          <w:t xml:space="preserve">Navigating the Platform</w:t>
        </w:r>
      </w:hyperlink>
      <w:r>
        <w:tab/>
      </w:r>
      <w:r>
        <w:fldChar w:fldCharType="begin"/>
      </w:r>
      <w:r>
        <w:instrText xml:space="preserve"> PAGEREF _Toc1468 \h </w:instrText>
      </w:r>
      <w:r>
        <w:fldChar w:fldCharType="separate"/>
      </w:r>
      <w:r>
        <w:t>1</w:t>
      </w:r>
      <w:r>
        <w:fldChar w:fldCharType="end"/>
      </w:r>
    </w:p>
    <w:p>
      <w:pPr>
        <w:pStyle w:val="TOC2"/>
      </w:pPr>
      <w:hyperlink w:anchor="_Toc1469">
        <w:r>
          <w:t xml:space="preserve">The Six Pillars of Intelligence</w:t>
        </w:r>
      </w:hyperlink>
      <w:r>
        <w:tab/>
      </w:r>
      <w:r>
        <w:fldChar w:fldCharType="begin"/>
      </w:r>
      <w:r>
        <w:instrText xml:space="preserve"> PAGEREF _Toc1469 \h </w:instrText>
      </w:r>
      <w:r>
        <w:fldChar w:fldCharType="separate"/>
      </w:r>
      <w:r>
        <w:t>1</w:t>
      </w:r>
      <w:r>
        <w:fldChar w:fldCharType="end"/>
      </w:r>
    </w:p>
    <w:p>
      <w:pPr>
        <w:pStyle w:val="TOC2"/>
      </w:pPr>
      <w:hyperlink w:anchor="_Toc1470">
        <w:r>
          <w:t xml:space="preserve">The Academy</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The Research Lab</w:t>
        </w:r>
      </w:hyperlink>
      <w:r>
        <w:tab/>
      </w:r>
      <w:r>
        <w:fldChar w:fldCharType="begin"/>
      </w:r>
      <w:r>
        <w:instrText xml:space="preserve"> PAGEREF _Toc1471 \h </w:instrText>
      </w:r>
      <w:r>
        <w:fldChar w:fldCharType="separate"/>
      </w:r>
      <w:r>
        <w:t>1</w:t>
      </w:r>
      <w:r>
        <w:fldChar w:fldCharType="end"/>
      </w:r>
    </w:p>
    <w:p>
      <w:pPr>
        <w:pStyle w:val="TOC2"/>
      </w:pPr>
      <w:hyperlink w:anchor="_Toc1472">
        <w:r>
          <w:t xml:space="preserve">States &amp; Programs</w:t>
        </w:r>
      </w:hyperlink>
      <w:r>
        <w:tab/>
      </w:r>
      <w:r>
        <w:fldChar w:fldCharType="begin"/>
      </w:r>
      <w:r>
        <w:instrText xml:space="preserve"> PAGEREF _Toc1472 \h </w:instrText>
      </w:r>
      <w:r>
        <w:fldChar w:fldCharType="separate"/>
      </w:r>
      <w:r>
        <w:t>1</w:t>
      </w:r>
      <w:r>
        <w:fldChar w:fldCharType="end"/>
      </w:r>
    </w:p>
    <w:p>
      <w:pPr>
        <w:pStyle w:val="TOC2"/>
      </w:pPr>
      <w:hyperlink w:anchor="_Toc1473">
        <w:r>
          <w:t xml:space="preserve">Advisory &amp; Services and the AI Analyst</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Reader Profiles and Recommended Paths</w:t>
        </w:r>
      </w:hyperlink>
      <w:r>
        <w:tab/>
      </w:r>
      <w:r>
        <w:fldChar w:fldCharType="begin"/>
      </w:r>
      <w:r>
        <w:instrText xml:space="preserve"> PAGEREF _Toc1474 \h </w:instrText>
      </w:r>
      <w:r>
        <w:fldChar w:fldCharType="separate"/>
      </w:r>
      <w:r>
        <w:t>1</w:t>
      </w:r>
      <w:r>
        <w:fldChar w:fldCharType="end"/>
      </w:r>
    </w:p>
    <w:p>
      <w:pPr>
        <w:pStyle w:val="TOC1"/>
      </w:pPr>
      <w:hyperlink w:anchor="_Toc1475">
        <w:r>
          <w:t xml:space="preserve">Appendix H — Adapting and Stress-Testing the Framework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H.1 Glossary of Vermont-Specific Acronyms and Institutions</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H.2 Worksheet — Adapt This Framework to Your State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H.3 The Transition Window — Financing FY2027–2030</w:t>
        </w:r>
      </w:hyperlink>
      <w:r>
        <w:tab/>
      </w:r>
      <w:r>
        <w:fldChar w:fldCharType="begin"/>
      </w:r>
      <w:r>
        <w:instrText xml:space="preserve"> PAGEREF _Toc1478 \h </w:instrText>
      </w:r>
      <w:r>
        <w:fldChar w:fldCharType="separate"/>
      </w:r>
      <w:r>
        <w:t>1</w:t>
      </w:r>
      <w:r>
        <w:fldChar w:fldCharType="end"/>
      </w:r>
    </w:p>
    <w:p>
      <w:pPr>
        <w:pStyle w:val="TOC2"/>
      </w:pPr>
      <w:hyperlink w:anchor="_Toc1481">
        <w:r>
          <w:t xml:space="preserve">H.4 Two Clocks — Reconciling Act 68 and AHEAD Cohort 2 Timelines</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H.5 Enforcement Mechanics — What “Mandatory” Means in Practice</w:t>
        </w:r>
      </w:hyperlink>
      <w:r>
        <w:tab/>
      </w:r>
      <w:r>
        <w:fldChar w:fldCharType="begin"/>
      </w:r>
      <w:r>
        <w:instrText xml:space="preserve"> PAGEREF _Toc1482 \h </w:instrText>
      </w:r>
      <w:r>
        <w:fldChar w:fldCharType="separate"/>
      </w:r>
      <w:r>
        <w:t>1</w:t>
      </w:r>
      <w:r>
        <w:fldChar w:fldCharType="end"/>
      </w:r>
    </w:p>
    <w:p>
      <w:pPr>
        <w:pStyle w:val="TOC1"/>
      </w:pPr>
      <w:hyperlink w:anchor="_Toc1485">
        <w:r>
          <w:t xml:space="preserve">Appendix I — The HTR Lab Workbook: A Six-Pillar Practicum</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How to Use This Workbook</w:t>
        </w:r>
      </w:hyperlink>
      <w:r>
        <w:tab/>
      </w:r>
      <w:r>
        <w:fldChar w:fldCharType="begin"/>
      </w:r>
      <w:r>
        <w:instrText xml:space="preserve"> PAGEREF _Toc1486 \h </w:instrText>
      </w:r>
      <w:r>
        <w:fldChar w:fldCharType="separate"/>
      </w:r>
      <w:r>
        <w:t>1</w:t>
      </w:r>
      <w:r>
        <w:fldChar w:fldCharType="end"/>
      </w:r>
    </w:p>
    <w:p>
      <w:pPr>
        <w:pStyle w:val="TOC2"/>
      </w:pPr>
      <w:hyperlink w:anchor="_Toc1487">
        <w:r>
          <w:t xml:space="preserve">Stage 1 — Policy: Establish the Mandate</w:t>
        </w:r>
      </w:hyperlink>
      <w:r>
        <w:tab/>
      </w:r>
      <w:r>
        <w:fldChar w:fldCharType="begin"/>
      </w:r>
      <w:r>
        <w:instrText xml:space="preserve"> PAGEREF _Toc1487 \h </w:instrText>
      </w:r>
      <w:r>
        <w:fldChar w:fldCharType="separate"/>
      </w:r>
      <w:r>
        <w:t>1</w:t>
      </w:r>
      <w:r>
        <w:fldChar w:fldCharType="end"/>
      </w:r>
    </w:p>
    <w:p>
      <w:pPr>
        <w:pStyle w:val="TOC2"/>
      </w:pPr>
      <w:hyperlink w:anchor="_Toc1488">
        <w:r>
          <w:t xml:space="preserve">Stage 2 — Technology: Build the Substrate</w:t>
        </w:r>
      </w:hyperlink>
      <w:r>
        <w:tab/>
      </w:r>
      <w:r>
        <w:fldChar w:fldCharType="begin"/>
      </w:r>
      <w:r>
        <w:instrText xml:space="preserve"> PAGEREF _Toc1488 \h </w:instrText>
      </w:r>
      <w:r>
        <w:fldChar w:fldCharType="separate"/>
      </w:r>
      <w:r>
        <w:t>1</w:t>
      </w:r>
      <w:r>
        <w:fldChar w:fldCharType="end"/>
      </w:r>
    </w:p>
    <w:p>
      <w:pPr>
        <w:pStyle w:val="TOC2"/>
      </w:pPr>
      <w:hyperlink w:anchor="_Toc1489">
        <w:r>
          <w:t xml:space="preserve">Stage 3 — Economics: Put Incentives on a Visible System</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Stage 4 — Clinical: Redesign Care on Aligned Incentives</w:t>
        </w:r>
      </w:hyperlink>
      <w:r>
        <w:tab/>
      </w:r>
      <w:r>
        <w:fldChar w:fldCharType="begin"/>
      </w:r>
      <w:r>
        <w:instrText xml:space="preserve"> PAGEREF _Toc1490 \h </w:instrText>
      </w:r>
      <w:r>
        <w:fldChar w:fldCharType="separate"/>
      </w:r>
      <w:r>
        <w:t>1</w:t>
      </w:r>
      <w:r>
        <w:fldChar w:fldCharType="end"/>
      </w:r>
    </w:p>
    <w:p>
      <w:pPr>
        <w:pStyle w:val="TOC2"/>
      </w:pPr>
      <w:hyperlink w:anchor="_Toc1491">
        <w:r>
          <w:t xml:space="preserve">Stage 5 — Equity: Calibrate for the Gap, Not the Average</w:t>
        </w:r>
      </w:hyperlink>
      <w:r>
        <w:tab/>
      </w:r>
      <w:r>
        <w:fldChar w:fldCharType="begin"/>
      </w:r>
      <w:r>
        <w:instrText xml:space="preserve"> PAGEREF _Toc1491 \h </w:instrText>
      </w:r>
      <w:r>
        <w:fldChar w:fldCharType="separate"/>
      </w:r>
      <w:r>
        <w:t>1</w:t>
      </w:r>
      <w:r>
        <w:fldChar w:fldCharType="end"/>
      </w:r>
    </w:p>
    <w:p>
      <w:pPr>
        <w:pStyle w:val="TOC2"/>
      </w:pPr>
      <w:hyperlink w:anchor="_Toc1492">
        <w:r>
          <w:t xml:space="preserve">Stage 6 — Operations: Close the Execution Gap</w:t>
        </w:r>
      </w:hyperlink>
      <w:r>
        <w:tab/>
      </w:r>
      <w:r>
        <w:fldChar w:fldCharType="begin"/>
      </w:r>
      <w:r>
        <w:instrText xml:space="preserve"> PAGEREF _Toc1492 \h </w:instrText>
      </w:r>
      <w:r>
        <w:fldChar w:fldCharType="separate"/>
      </w:r>
      <w:r>
        <w:t>1</w:t>
      </w:r>
      <w:r>
        <w:fldChar w:fldCharType="end"/>
      </w:r>
    </w:p>
    <w:p>
      <w:pPr>
        <w:pStyle w:val="TOC1"/>
      </w:pPr>
      <w:hyperlink w:anchor="_Toc1493">
        <w:r>
          <w:t xml:space="preserve">Figure Index</w:t>
        </w:r>
      </w:hyperlink>
      <w:r>
        <w:tab/>
      </w:r>
      <w:r>
        <w:fldChar w:fldCharType="begin"/>
      </w:r>
      <w:r>
        <w:instrText xml:space="preserve"> PAGEREF _Toc1493 \h </w:instrText>
      </w:r>
      <w:r>
        <w:fldChar w:fldCharType="separate"/>
      </w:r>
      <w:r>
        <w:t>1</w:t>
      </w:r>
      <w:r>
        <w:fldChar w:fldCharType="end"/>
      </w:r>
    </w:p>
    <w:p>
      <w:pPr>
        <w:pStyle w:val="TOC1"/>
      </w:pPr>
      <w:hyperlink w:anchor="_Toc1494">
        <w:r>
          <w:t xml:space="preserve">Bibliography and Source Notes</w:t>
        </w:r>
      </w:hyperlink>
      <w:r>
        <w:tab/>
      </w:r>
      <w:r>
        <w:fldChar w:fldCharType="begin"/>
      </w:r>
      <w:r>
        <w:instrText xml:space="preserve"> PAGEREF _Toc1494 \h </w:instrText>
      </w:r>
      <w:r>
        <w:fldChar w:fldCharType="separate"/>
      </w:r>
      <w:r>
        <w:t>1</w:t>
      </w:r>
      <w:r>
        <w:fldChar w:fldCharType="end"/>
      </w:r>
    </w:p>
    <w:p>
      <w:pPr>
        <w:pStyle w:val="TOC1"/>
      </w:pPr>
      <w:hyperlink w:anchor="_Toc1495">
        <w:r>
          <w:t xml:space="preserve">Index (Selected)</w:t>
        </w:r>
      </w:hyperlink>
      <w:r>
        <w:tab/>
      </w:r>
      <w:r>
        <w:fldChar w:fldCharType="begin"/>
      </w:r>
      <w:r>
        <w:instrText xml:space="preserve"> PAGEREF _Toc1495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50"/>
        <w:gridCol w:w="2070"/>
        <w:gridCol w:w="2970"/>
        <w:gridCol w:w="2070"/>
      </w:tblGrid>
      <w:tr>
        <w:trPr>
          <w:tblHeader w:val="on"/>
          <w:cantSplit/>
        </w:trPr>
        <w:tc>
          <w:tcPr>
            <w:shd w:val="clear" w:color="auto" w:fill="1B3A6B"/>
            <w:tcW w:w="1950" w:type="dxa"/>
          </w:tcPr>
          <w:p>
            <w:pPr>
              <w:pStyle w:val="Compact"/>
              <w:jc w:val="left"/>
            </w:pPr>
            <w:r>
              <w:rPr>
                <w:b/>
                <w:color w:val="FFFFFF"/>
                <w:sz w:val="18"/>
              </w:rPr>
              <w:t xml:space="preserve">Sequencing error</w:t>
            </w:r>
          </w:p>
        </w:tc>
        <w:tc>
          <w:tcPr>
            <w:shd w:val="clear" w:color="auto" w:fill="1B3A6B"/>
            <w:tcW w:w="2070" w:type="dxa"/>
          </w:tcPr>
          <w:p>
            <w:pPr>
              <w:pStyle w:val="Compact"/>
              <w:jc w:val="left"/>
            </w:pPr>
            <w:r>
              <w:rPr>
                <w:b/>
                <w:color w:val="FFFFFF"/>
                <w:sz w:val="18"/>
              </w:rPr>
              <w:t xml:space="preserve">Early-warning signals</w:t>
            </w:r>
          </w:p>
        </w:tc>
        <w:tc>
          <w:tcPr>
            <w:shd w:val="clear" w:color="auto" w:fill="1B3A6B"/>
            <w:tcW w:w="2970" w:type="dxa"/>
          </w:tcPr>
          <w:p>
            <w:pPr>
              <w:pStyle w:val="Compact"/>
              <w:jc w:val="left"/>
            </w:pPr>
            <w:r>
              <w:rPr>
                <w:b/>
                <w:color w:val="FFFFFF"/>
                <w:sz w:val="18"/>
              </w:rPr>
              <w:t xml:space="preserve">Vermont evidence</w:t>
            </w:r>
          </w:p>
        </w:tc>
        <w:tc>
          <w:tcPr>
            <w:shd w:val="clear" w:color="auto" w:fill="1B3A6B"/>
            <w:tcW w:w="2070" w:type="dxa"/>
          </w:tcPr>
          <w:p>
            <w:pPr>
              <w:pStyle w:val="Compact"/>
              <w:jc w:val="left"/>
            </w:pPr>
            <w:r>
              <w:rPr>
                <w:b/>
                <w:color w:val="FFFFFF"/>
                <w:sz w:val="18"/>
              </w:rPr>
              <w:t xml:space="preserve">Correction</w:t>
            </w:r>
          </w:p>
        </w:tc>
      </w:tr>
      <w:tr>
        <w:trPr>
          <w:cantSplit/>
        </w:trPr>
        <w:tc>
          <w:tcPr>
            <w:tcW w:w="1950"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070" w:type="dxa"/>
          </w:tcPr>
          <w:p>
            <w:pPr>
              <w:pStyle w:val="Compact"/>
              <w:jc w:val="left"/>
            </w:pPr>
            <w:r>
              <w:rPr>
                <w:sz w:val="18"/>
              </w:rPr>
              <w:t xml:space="preserve">Voluntary participation below 80%; highest-cost providers stay out; redesigns driven by adverse selection</w:t>
            </w:r>
          </w:p>
        </w:tc>
        <w:tc>
          <w:tcPr>
            <w:tcW w:w="2970"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070" w:type="dxa"/>
          </w:tcPr>
          <w:p>
            <w:pPr>
              <w:pStyle w:val="Compact"/>
              <w:jc w:val="left"/>
            </w:pPr>
            <w:r>
              <w:rPr>
                <w:sz w:val="18"/>
              </w:rPr>
              <w:t xml:space="preserve">Act 68 mandatory RBP + global budgets</w:t>
            </w:r>
          </w:p>
        </w:tc>
      </w:tr>
      <w:tr>
        <w:trPr/>
        <w:tc>
          <w:tcPr>
            <w:tcW w:w="1950"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070" w:type="dxa"/>
          </w:tcPr>
          <w:p>
            <w:pPr>
              <w:pStyle w:val="Compact"/>
              <w:jc w:val="left"/>
            </w:pPr>
            <w:r>
              <w:rPr>
                <w:sz w:val="18"/>
              </w:rPr>
              <w:t xml:space="preserve">Adoption below 30% six months post-deployment; continued manual processes; staff workarounds</w:t>
            </w:r>
          </w:p>
        </w:tc>
        <w:tc>
          <w:tcPr>
            <w:tcW w:w="2970" w:type="dxa"/>
          </w:tcPr>
          <w:p>
            <w:pPr>
              <w:pStyle w:val="Compact"/>
              <w:jc w:val="left"/>
            </w:pPr>
            <w:r>
              <w:rPr>
                <w:sz w:val="18"/>
              </w:rPr>
              <w:t xml:space="preserve">VITL: sound platform, incomplete adoption among smaller providers for lack of Operations-pillar support to connect and train them</w:t>
            </w:r>
          </w:p>
        </w:tc>
        <w:tc>
          <w:tcPr>
            <w:tcW w:w="2070" w:type="dxa"/>
          </w:tcPr>
          <w:p>
            <w:pPr>
              <w:pStyle w:val="Compact"/>
              <w:jc w:val="left"/>
            </w:pPr>
            <w:r>
              <w:rPr>
                <w:sz w:val="18"/>
              </w:rPr>
              <w:t xml:space="preserve">Vermont CIN shared-services model</w:t>
            </w:r>
          </w:p>
        </w:tc>
      </w:tr>
      <w:tr>
        <w:trPr/>
        <w:tc>
          <w:tcPr>
            <w:tcW w:w="1950"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070" w:type="dxa"/>
          </w:tcPr>
          <w:p>
            <w:pPr>
              <w:pStyle w:val="Compact"/>
              <w:jc w:val="left"/>
            </w:pPr>
            <w:r>
              <w:rPr>
                <w:sz w:val="18"/>
              </w:rPr>
              <w:t xml:space="preserve">Program running at a loss absorbed by cross-subsidy; support contingent on that cross-subsidy; perpetual budget-cut risk</w:t>
            </w:r>
          </w:p>
        </w:tc>
        <w:tc>
          <w:tcPr>
            <w:tcW w:w="2970" w:type="dxa"/>
          </w:tcPr>
          <w:p>
            <w:pPr>
              <w:pStyle w:val="Compact"/>
              <w:jc w:val="left"/>
            </w:pPr>
            <w:r>
              <w:rPr>
                <w:sz w:val="18"/>
              </w:rPr>
              <w:t xml:space="preserve">Blueprint PCMHs produce the 5.8:1 ROI, but under FFS most of it accrues to payers, not the practices generating it</w:t>
            </w:r>
          </w:p>
        </w:tc>
        <w:tc>
          <w:tcPr>
            <w:tcW w:w="2070" w:type="dxa"/>
          </w:tcPr>
          <w:p>
            <w:pPr>
              <w:pStyle w:val="Compact"/>
              <w:jc w:val="left"/>
            </w:pPr>
            <w:r>
              <w:rPr>
                <w:sz w:val="18"/>
              </w:rPr>
              <w:t xml:space="preserve">AHEAD global budgets align incentives with clinical investment</w:t>
            </w:r>
          </w:p>
        </w:tc>
      </w:tr>
      <w:tr>
        <w:trPr/>
        <w:tc>
          <w:tcPr>
            <w:tcW w:w="1950"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070" w:type="dxa"/>
          </w:tcPr>
          <w:p>
            <w:pPr>
              <w:pStyle w:val="Compact"/>
              <w:jc w:val="left"/>
            </w:pPr>
            <w:r>
              <w:rPr>
                <w:sz w:val="18"/>
              </w:rPr>
              <w:t xml:space="preserve">Equity staff flagging the same structural problems in finalized designs; high rate of equity modifications at approval stage</w:t>
            </w:r>
          </w:p>
        </w:tc>
        <w:tc>
          <w:tcPr>
            <w:tcW w:w="2970"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070" w:type="dxa"/>
          </w:tcPr>
          <w:p>
            <w:pPr>
              <w:pStyle w:val="Compact"/>
              <w:jc w:val="left"/>
            </w:pPr>
            <w:r>
              <w:rPr>
                <w:sz w:val="18"/>
              </w:rPr>
              <w:t xml:space="preserve">Health Equity Advisory Commission consulted at design stage, not comment stage</w:t>
            </w:r>
          </w:p>
        </w:tc>
      </w:tr>
      <w:tr>
        <w:trPr>
          <w:cantSplit/>
        </w:trPr>
        <w:tc>
          <w:tcPr>
            <w:tcW w:w="1950"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07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70"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07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spacing w:before="120"/>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spacing w:before="120"/>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spacing w:before="120"/>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1" w:name="_Toc1170"/>
      <w:r>
        <w:rPr>
          <w:b/>
          <w:bCs/>
          <w:color w:val="161B22"/>
        </w:rPr>
        <w:t xml:space="preserve">The Evidence Base: Cross-State Results</w:t>
      </w:r>
      <w:bookmarkEnd w:id="1171"/>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73" w:name="_Toc1172"/>
      <w:r>
        <w:rPr>
          <w:b/>
          <w:bCs/>
          <w:color w:val="161B22"/>
        </w:rPr>
        <w:t xml:space="preserve">Vermont’s Phased Implementation Timeline</w:t>
      </w:r>
      <w:bookmarkEnd w:id="1173"/>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Two Decades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07" w:name="_Toc1306"/>
      <w:r>
        <w:rPr>
          <w:b/>
          <w:bCs/>
          <w:color w:val="161B22"/>
        </w:rPr>
        <w:t xml:space="preserve">The Institutional Architecture</w:t>
      </w:r>
      <w:bookmarkEnd w:id="1307"/>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65" w:name="_Toc1364"/>
      <w:r>
        <w:rPr>
          <w:b/>
          <w:bCs/>
          <w:color w:val="161B22"/>
        </w:rPr>
        <w:t xml:space="preserve">Work This Chapter on the Platform</w:t>
      </w:r>
      <w:bookmarkEnd w:id="1365"/>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399">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0">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66" w:name="_Toc1365"/>
      <w:r>
        <w:rPr>
          <w:b/>
          <w:bCs/>
          <w:color w:val="161B22"/>
        </w:rPr>
        <w:t xml:space="preserve">Implications for You</w:t>
      </w:r>
      <w:bookmarkEnd w:id="1366"/>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67" w:name="_Toc1366"/>
      <w:r>
        <w:rPr>
          <w:b/>
          <w:bCs/>
          <w:color w:val="161B22"/>
        </w:rPr>
        <w:t xml:space="preserve">Key Concepts in This Chapter</w:t>
      </w:r>
      <w:bookmarkEnd w:id="1367"/>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8" w:name="_Toc1367"/>
      <w:r>
        <w:rPr>
          <w:b/>
          <w:bCs/>
          <w:color w:val="161B22"/>
        </w:rPr>
        <w:t xml:space="preserve">Chapter 13 — The Future of Healthcare Transformation: 2026, What Vermont Proves, and What Remains</w:t>
      </w:r>
      <w:bookmarkEnd w:id="136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69" w:name="_Toc1368"/>
      <w:r>
        <w:rPr>
          <w:b/>
          <w:bCs/>
          <w:color w:val="161B22"/>
        </w:rPr>
        <w:t xml:space="preserve">Vermont Transformation Scorecard: Six-Pillar Status, April 2026</w:t>
      </w:r>
      <w:bookmarkEnd w:id="1369"/>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0" w:name="_Toc1369"/>
      <w:r>
        <w:rPr>
          <w:b/>
          <w:bCs/>
          <w:color w:val="161B22"/>
        </w:rPr>
        <w:t xml:space="preserve">Where the System Stands in April 2026 — A Necessary Update</w:t>
      </w:r>
      <w:bookmarkEnd w:id="1370"/>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1" w:name="_Toc1370"/>
      <w:r>
        <w:rPr>
          <w:b/>
          <w:bCs/>
          <w:color w:val="161B22"/>
        </w:rPr>
        <w:t xml:space="preserve">Five Forces Shaping the Next Decade</w:t>
      </w:r>
      <w:bookmarkEnd w:id="1371"/>
    </w:p>
    <w:p>
      <w:pPr>
        <w:pStyle w:val="Heading3"/>
      </w:pPr>
      <w:r>
        <w:rPr>
          <w:color w:val="161B22"/>
        </w:rPr>
        <w:t xml:space="preserve">13.3.1  </w:t>
      </w:r>
      <w:bookmarkStart w:id="1372" w:name="_Toc1371"/>
      <w:r>
        <w:rPr>
          <w:b/>
          <w:bCs/>
          <w:color w:val="161B22"/>
        </w:rPr>
        <w:t xml:space="preserve">Force 1: The Medicaid–RHT Tension — the Defining Policy Dynamic</w:t>
      </w:r>
      <w:bookmarkEnd w:id="1372"/>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3" w:name="_Toc1372"/>
      <w:r>
        <w:rPr>
          <w:b/>
          <w:bCs/>
          <w:color w:val="161B22"/>
        </w:rPr>
        <w:t xml:space="preserve">Force 2: AI Clinical Transformation — Accelerating Faster Than Governance</w:t>
      </w:r>
      <w:bookmarkEnd w:id="1373"/>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4" w:name="_Toc1373"/>
      <w:r>
        <w:rPr>
          <w:b/>
          <w:bCs/>
          <w:color w:val="161B22"/>
        </w:rPr>
        <w:t xml:space="preserve">Force 3: The Demographic Reckoning — No Longer a Future Problem</w:t>
      </w:r>
      <w:bookmarkEnd w:id="1374"/>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5" w:name="_Toc1374"/>
      <w:r>
        <w:rPr>
          <w:b/>
          <w:bCs/>
          <w:color w:val="161B22"/>
        </w:rPr>
        <w:t xml:space="preserve">Force 4: The Drug-Pricing Reckoning — Complexity Compounding</w:t>
      </w:r>
      <w:bookmarkEnd w:id="1375"/>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6" w:name="_Toc1375"/>
      <w:r>
        <w:rPr>
          <w:b/>
          <w:bCs/>
          <w:color w:val="161B22"/>
        </w:rPr>
        <w:t xml:space="preserve">Force 5: The Value-Based-Care Tipping Point — Still Approaching</w:t>
      </w:r>
      <w:bookmarkEnd w:id="1376"/>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77" w:name="_Toc1376"/>
      <w:r>
        <w:rPr>
          <w:b/>
          <w:bCs/>
          <w:color w:val="161B22"/>
        </w:rPr>
        <w:t xml:space="preserve">The Six-Pillar Forecast: 2026–2035</w:t>
      </w:r>
      <w:bookmarkEnd w:id="1377"/>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78" w:name="_Toc1377"/>
      <w:r>
        <w:rPr>
          <w:b/>
          <w:bCs/>
          <w:color w:val="161B22"/>
        </w:rPr>
        <w:t xml:space="preserve">Vermont’s Ten-Year Trajectory: Two Scenarios</w:t>
      </w:r>
      <w:bookmarkEnd w:id="1378"/>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9" w:name="_Toc1378"/>
      <w:r>
        <w:rPr>
          <w:b/>
          <w:bCs/>
          <w:color w:val="161B22"/>
        </w:rPr>
        <w:t xml:space="preserve">The Transformation-Success Scenario</w:t>
      </w:r>
      <w:bookmarkEnd w:id="1379"/>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0" w:name="_Toc1379"/>
      <w:r>
        <w:rPr>
          <w:b/>
          <w:bCs/>
          <w:color w:val="161B22"/>
        </w:rPr>
        <w:t xml:space="preserve">The Partial-Transformation Scenario</w:t>
      </w:r>
      <w:bookmarkEnd w:id="1380"/>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1" w:name="_Toc1380"/>
      <w:r>
        <w:rPr>
          <w:b/>
          <w:bCs/>
          <w:color w:val="161B22"/>
        </w:rPr>
        <w:t xml:space="preserve">Vermont as National Template — The Decisions That Will Determine Outcomes</w:t>
      </w:r>
      <w:bookmarkEnd w:id="1381"/>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2" w:name="_Toc1381"/>
      <w:r>
        <w:rPr>
          <w:b/>
          <w:bCs/>
          <w:color w:val="161B22"/>
        </w:rPr>
        <w:t xml:space="preserve">Work This Chapter on the Platform</w:t>
      </w:r>
      <w:bookmarkEnd w:id="1382"/>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19">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83" w:name="_Toc1382"/>
      <w:r>
        <w:rPr>
          <w:b/>
          <w:bCs/>
          <w:color w:val="161B22"/>
        </w:rPr>
        <w:t xml:space="preserve">Implications for You</w:t>
      </w:r>
      <w:bookmarkEnd w:id="1383"/>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84" w:name="_Toc1383"/>
      <w:r>
        <w:rPr>
          <w:b/>
          <w:bCs/>
          <w:color w:val="161B22"/>
        </w:rPr>
        <w:t xml:space="preserve">Key Concepts in This Chapter</w:t>
      </w:r>
      <w:bookmarkEnd w:id="1384"/>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85" w:name="_Toc1384"/>
      <w:r>
        <w:rPr>
          <w:b/>
          <w:bCs/>
          <w:color w:val="161B22"/>
        </w:rPr>
        <w:t xml:space="preserve">A Closing Note: What This Book Is Betting On</w:t>
      </w:r>
      <w:bookmarkEnd w:id="1385"/>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6" w:name="_Toc1385"/>
      <w:r>
        <w:rPr>
          <w:b/>
          <w:bCs/>
          <w:color w:val="161B22"/>
        </w:rPr>
        <w:t xml:space="preserve">Chapter 14 — Political Sustainability: Protecting Transformation Across Election Cycles</w:t>
      </w:r>
      <w:bookmarkEnd w:id="138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7" w:name="_Toc1386"/>
      <w:r>
        <w:rPr>
          <w:b/>
          <w:bCs/>
          <w:color w:val="161B22"/>
        </w:rPr>
        <w:t xml:space="preserve">Why Political Sustainability Is an Analytical Problem, Not Only a Political One</w:t>
      </w:r>
      <w:bookmarkEnd w:id="1387"/>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8" w:name="_Toc1387"/>
      <w:r>
        <w:rPr>
          <w:b/>
          <w:bCs/>
          <w:color w:val="161B22"/>
        </w:rPr>
        <w:t xml:space="preserve">The Structural Durability of Vermont’s Reform Architecture</w:t>
      </w:r>
      <w:bookmarkEnd w:id="1388"/>
    </w:p>
    <w:p>
      <w:pPr>
        <w:pStyle w:val="Heading3"/>
      </w:pPr>
      <w:r>
        <w:rPr>
          <w:color w:val="161B22"/>
        </w:rPr>
        <w:t xml:space="preserve">14.2.1  </w:t>
      </w:r>
      <w:bookmarkStart w:id="1389" w:name="_Toc1388"/>
      <w:r>
        <w:rPr>
          <w:b/>
          <w:bCs/>
          <w:color w:val="161B22"/>
        </w:rPr>
        <w:t xml:space="preserve">What Is Hard to Reverse</w:t>
      </w:r>
      <w:bookmarkEnd w:id="1389"/>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0" w:name="_Toc1389"/>
      <w:r>
        <w:rPr>
          <w:b/>
          <w:bCs/>
          <w:color w:val="161B22"/>
        </w:rPr>
        <w:t xml:space="preserve">What Is Politically Exposed</w:t>
      </w:r>
      <w:bookmarkEnd w:id="1390"/>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1" w:name="_Toc1390"/>
      <w:r>
        <w:rPr>
          <w:b/>
          <w:bCs/>
          <w:color w:val="161B22"/>
        </w:rPr>
        <w:t xml:space="preserve">Early-Warning Signals of Political Risk</w:t>
      </w:r>
      <w:bookmarkEnd w:id="1391"/>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92" w:name="_Toc1391"/>
      <w:r>
        <w:rPr>
          <w:b/>
          <w:bCs/>
          <w:color w:val="161B22"/>
        </w:rPr>
        <w:t xml:space="preserve">Organizational Strategies for Political Risk Management</w:t>
      </w:r>
      <w:bookmarkEnd w:id="1392"/>
    </w:p>
    <w:p>
      <w:pPr>
        <w:pStyle w:val="Heading3"/>
      </w:pPr>
      <w:r>
        <w:rPr>
          <w:color w:val="161B22"/>
        </w:rPr>
        <w:t xml:space="preserve">14.4.1  </w:t>
      </w:r>
      <w:bookmarkStart w:id="1393" w:name="_Toc1392"/>
      <w:r>
        <w:rPr>
          <w:b/>
          <w:bCs/>
          <w:color w:val="161B22"/>
        </w:rPr>
        <w:t xml:space="preserve">Strategy 1 — Build investments that are hard to reverse</w:t>
      </w:r>
      <w:bookmarkEnd w:id="1393"/>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4" w:name="_Toc1393"/>
      <w:r>
        <w:rPr>
          <w:b/>
          <w:bCs/>
          <w:color w:val="161B22"/>
        </w:rPr>
        <w:t xml:space="preserve">Strategy 2 — Engage the regulatory process early and substantively</w:t>
      </w:r>
      <w:bookmarkEnd w:id="1394"/>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5" w:name="_Toc1394"/>
      <w:r>
        <w:rPr>
          <w:b/>
          <w:bCs/>
          <w:color w:val="161B22"/>
        </w:rPr>
        <w:t xml:space="preserve">Strategy 3 — Maintain scenario plans for policy disruption</w:t>
      </w:r>
      <w:bookmarkEnd w:id="1395"/>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6" w:name="_Toc1395"/>
      <w:r>
        <w:rPr>
          <w:b/>
          <w:bCs/>
          <w:color w:val="161B22"/>
        </w:rPr>
        <w:t xml:space="preserve">Strategy 4 — Document and communicate transformation progress</w:t>
      </w:r>
      <w:bookmarkEnd w:id="1396"/>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7" w:name="_Toc1396"/>
      <w:r>
        <w:rPr>
          <w:b/>
          <w:bCs/>
          <w:color w:val="161B22"/>
        </w:rPr>
        <w:t xml:space="preserve">Vermont’s Reform Cascade as Political-Sustainability Architecture</w:t>
      </w:r>
      <w:bookmarkEnd w:id="1397"/>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398" w:name="_Toc1397"/>
      <w:r>
        <w:rPr>
          <w:b/>
          <w:bCs/>
          <w:color w:val="161B22"/>
        </w:rPr>
        <w:t xml:space="preserve">Work This Chapter on the Platform</w:t>
      </w:r>
      <w:bookmarkEnd w:id="1398"/>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399" w:name="_Toc1398"/>
      <w:r>
        <w:rPr>
          <w:b/>
          <w:bCs/>
          <w:color w:val="161B22"/>
        </w:rPr>
        <w:t xml:space="preserve">Implications for You</w:t>
      </w:r>
      <w:bookmarkEnd w:id="1399"/>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0" w:name="_Toc1399"/>
      <w:r>
        <w:rPr>
          <w:b/>
          <w:bCs/>
          <w:color w:val="161B22"/>
        </w:rPr>
        <w:t xml:space="preserve">Key Concepts in This Chapter</w:t>
      </w:r>
      <w:bookmarkEnd w:id="1400"/>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1" w:name="_Toc1400"/>
      <w:r>
        <w:rPr>
          <w:b/>
          <w:bCs/>
          <w:color w:val="161B22"/>
        </w:rPr>
        <w:t xml:space="preserve">Chapter 15 — Healthcare Transformation as Portfolio Management: Applying PMI Standards to Six-Pillar Reform</w:t>
      </w:r>
      <w:bookmarkEnd w:id="140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402" w:name="_Toc1401"/>
      <w:r>
        <w:rPr>
          <w:b/>
          <w:bCs/>
          <w:color w:val="161B22"/>
        </w:rPr>
        <w:t xml:space="preserve">The Project-Management Gap in Healthcare Transformation</w:t>
      </w:r>
      <w:bookmarkEnd w:id="1402"/>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03" w:name="_Toc1402"/>
      <w:r>
        <w:rPr>
          <w:b/>
          <w:bCs/>
          <w:color w:val="161B22"/>
        </w:rPr>
        <w:t xml:space="preserve">Project, Program, and Portfolio: Getting the Levels Right</w:t>
      </w:r>
      <w:bookmarkEnd w:id="1403"/>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04" w:name="_Toc1403"/>
      <w:r>
        <w:rPr>
          <w:b/>
          <w:bCs/>
          <w:color w:val="161B22"/>
        </w:rPr>
        <w:t xml:space="preserve">Vermont’s Transformation Portfolio: 19 Components</w:t>
      </w:r>
      <w:bookmarkEnd w:id="1404"/>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05" w:name="_Toc1404"/>
      <w:r>
        <w:rPr>
          <w:b/>
          <w:bCs/>
          <w:color w:val="161B22"/>
        </w:rPr>
        <w:t xml:space="preserve">The Case for a Portfolio Manager</w:t>
      </w:r>
      <w:bookmarkEnd w:id="1405"/>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6" w:name="_Toc1405"/>
      <w:r>
        <w:rPr>
          <w:b/>
          <w:bCs/>
          <w:color w:val="161B22"/>
        </w:rPr>
        <w:t xml:space="preserve">Pillar-Level Project Managers: Six Roles, One Framework</w:t>
      </w:r>
      <w:bookmarkEnd w:id="1406"/>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7" w:name="_Toc1406"/>
      <w:r>
        <w:rPr>
          <w:b/>
          <w:bCs/>
          <w:color w:val="161B22"/>
        </w:rPr>
        <w:t xml:space="preserve">Governance Architecture and the Ten Knowledge Areas</w:t>
      </w:r>
      <w:bookmarkEnd w:id="1407"/>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8" w:name="_Toc1407"/>
      <w:r>
        <w:rPr>
          <w:b/>
          <w:bCs/>
          <w:color w:val="161B22"/>
        </w:rPr>
        <w:t xml:space="preserve">Portfolio Sequence Is Dependency Sequence</w:t>
      </w:r>
      <w:bookmarkEnd w:id="1408"/>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09" w:name="_Toc1408"/>
      <w:r>
        <w:rPr>
          <w:b/>
          <w:bCs/>
          <w:color w:val="161B22"/>
        </w:rPr>
        <w:t xml:space="preserve">Predictive vs. Adaptive Approaches</w:t>
      </w:r>
      <w:bookmarkEnd w:id="1409"/>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0" w:name="_Toc1409"/>
      <w:r>
        <w:rPr>
          <w:b/>
          <w:bCs/>
          <w:color w:val="161B22"/>
        </w:rPr>
        <w:t xml:space="preserve">The Portfolio Risk Register</w:t>
      </w:r>
      <w:bookmarkEnd w:id="1410"/>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1" w:name="_Toc1410"/>
      <w:r>
        <w:rPr>
          <w:b/>
          <w:bCs/>
          <w:color w:val="161B22"/>
        </w:rPr>
        <w:t xml:space="preserve">Benefits Realization: Connecting the PMO to Act 167’s Five Goals</w:t>
      </w:r>
      <w:bookmarkEnd w:id="1411"/>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12" w:name="_Toc1411"/>
      <w:r>
        <w:rPr>
          <w:b/>
          <w:bCs/>
          <w:color w:val="161B22"/>
        </w:rPr>
        <w:t xml:space="preserve">The Business Case</w:t>
      </w:r>
      <w:bookmarkEnd w:id="1412"/>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13" w:name="_Toc1412"/>
      <w:r>
        <w:rPr>
          <w:b/>
          <w:bCs/>
          <w:color w:val="161B22"/>
        </w:rPr>
        <w:t xml:space="preserve">Implementation Roadmap</w:t>
      </w:r>
      <w:bookmarkEnd w:id="1413"/>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14" w:name="_Toc1413"/>
      <w:r>
        <w:rPr>
          <w:b/>
          <w:bCs/>
          <w:color w:val="161B22"/>
        </w:rPr>
        <w:t xml:space="preserve">Answering the Four Objections</w:t>
      </w:r>
      <w:bookmarkEnd w:id="1414"/>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15" w:name="_Toc1414"/>
      <w:r>
        <w:rPr>
          <w:b/>
          <w:bCs/>
          <w:color w:val="161B22"/>
        </w:rPr>
        <w:t xml:space="preserve">Work This Chapter on the Platform</w:t>
      </w:r>
      <w:bookmarkEnd w:id="1415"/>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54">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16" w:name="_Toc1415"/>
      <w:r>
        <w:rPr>
          <w:b/>
          <w:bCs/>
          <w:color w:val="161B22"/>
        </w:rPr>
        <w:t xml:space="preserve">Implications for You</w:t>
      </w:r>
      <w:bookmarkEnd w:id="1416"/>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17" w:name="_Toc1416"/>
      <w:r>
        <w:rPr>
          <w:b/>
          <w:bCs/>
          <w:color w:val="161B22"/>
        </w:rPr>
        <w:t xml:space="preserve">Key Concepts in This Chapter</w:t>
      </w:r>
      <w:bookmarkEnd w:id="1417"/>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18" w:name="_Toc1417"/>
      <w:r>
        <w:rPr>
          <w:b/>
          <w:bCs/>
          <w:color w:val="161B22"/>
        </w:rPr>
        <w:t xml:space="preserve">Chapter 16 — The AHS Restructuring Roadmap: A Six-Pillar Framework for System Architects</w:t>
      </w:r>
      <w:bookmarkEnd w:id="141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9" w:name="_Toc1418"/>
      <w:r>
        <w:rPr>
          <w:b/>
          <w:bCs/>
          <w:color w:val="161B22"/>
        </w:rPr>
        <w:t xml:space="preserve">The Statutory Mandate — What Act 68 Actually Requires AHS to Do</w:t>
      </w:r>
      <w:bookmarkEnd w:id="1419"/>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0" w:name="_Toc1419"/>
      <w:r>
        <w:rPr>
          <w:b/>
          <w:bCs/>
          <w:color w:val="161B22"/>
        </w:rPr>
        <w:t xml:space="preserve">The Organizational Diagnosis — Why AHS Must Restructure, Not Just Plan</w:t>
      </w:r>
      <w:bookmarkEnd w:id="1420"/>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1" w:name="_Toc1420"/>
      <w:r>
        <w:rPr>
          <w:b/>
          <w:bCs/>
          <w:color w:val="161B22"/>
        </w:rPr>
        <w:t xml:space="preserve">The Four Structural Gaps</w:t>
      </w:r>
      <w:bookmarkEnd w:id="1421"/>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2" w:name="_Toc1421"/>
      <w:r>
        <w:rPr>
          <w:b/>
          <w:bCs/>
          <w:color w:val="161B22"/>
        </w:rPr>
        <w:t xml:space="preserve">The Redesigned AHS Operating Model — A Population Health System Operator</w:t>
      </w:r>
      <w:bookmarkEnd w:id="1422"/>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23" w:name="_Toc1422"/>
      <w:r>
        <w:rPr>
          <w:b/>
          <w:bCs/>
          <w:color w:val="161B22"/>
        </w:rPr>
        <w:t xml:space="preserve">Level 1 — Statewide System Architect</w:t>
      </w:r>
      <w:bookmarkEnd w:id="1423"/>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24" w:name="_Toc1423"/>
      <w:r>
        <w:rPr>
          <w:b/>
          <w:bCs/>
          <w:color w:val="161B22"/>
        </w:rPr>
        <w:t xml:space="preserve">Level 2 — Regional Network Convener (HSA Level)</w:t>
      </w:r>
      <w:bookmarkEnd w:id="1424"/>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25" w:name="_Toc1424"/>
      <w:r>
        <w:rPr>
          <w:b/>
          <w:bCs/>
          <w:color w:val="161B22"/>
        </w:rPr>
        <w:t xml:space="preserve">Level 3 — Program Delivery Operator</w:t>
      </w:r>
      <w:bookmarkEnd w:id="1425"/>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26" w:name="_Toc1425"/>
      <w:r>
        <w:rPr>
          <w:b/>
          <w:bCs/>
          <w:color w:val="161B22"/>
        </w:rPr>
        <w:t xml:space="preserve">The Six-Pillar Framework Applied to AHS’s Mandate</w:t>
      </w:r>
      <w:bookmarkEnd w:id="1426"/>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27" w:name="_Toc1426"/>
      <w:r>
        <w:rPr>
          <w:b/>
          <w:bCs/>
          <w:color w:val="161B22"/>
        </w:rPr>
        <w:t xml:space="preserve">The AHS Restructuring Implementation Timeline</w:t>
      </w:r>
      <w:bookmarkEnd w:id="1427"/>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28" w:name="_Toc1427"/>
      <w:r>
        <w:rPr>
          <w:b/>
          <w:bCs/>
          <w:color w:val="161B22"/>
        </w:rPr>
        <w:t xml:space="preserve">A Framework for the 2028 Statewide Strategic Plan</w:t>
      </w:r>
      <w:bookmarkEnd w:id="1428"/>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9" w:name="_Toc1428"/>
      <w:r>
        <w:rPr>
          <w:b/>
          <w:bCs/>
          <w:color w:val="161B22"/>
        </w:rPr>
        <w:t xml:space="preserve">The Central Commitment the Plan Must Make</w:t>
      </w:r>
      <w:bookmarkEnd w:id="1429"/>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0" w:name="_Toc1429"/>
      <w:r>
        <w:rPr>
          <w:b/>
          <w:bCs/>
          <w:color w:val="161B22"/>
        </w:rPr>
        <w:t xml:space="preserve">Vermont as National Template — Why This Restructuring Matters Beyond Vermont</w:t>
      </w:r>
      <w:bookmarkEnd w:id="1430"/>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1" w:name="_Toc1430"/>
      <w:r>
        <w:rPr>
          <w:b/>
          <w:bCs/>
          <w:color w:val="161B22"/>
        </w:rPr>
        <w:t xml:space="preserve">Work This Chapter on the Platform</w:t>
      </w:r>
      <w:bookmarkEnd w:id="1431"/>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1">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32" w:name="_Toc1431"/>
      <w:r>
        <w:rPr>
          <w:b/>
          <w:bCs/>
          <w:color w:val="161B22"/>
        </w:rPr>
        <w:t xml:space="preserve">Implications for You</w:t>
      </w:r>
      <w:bookmarkEnd w:id="1432"/>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33" w:name="_Toc1432"/>
      <w:r>
        <w:rPr>
          <w:b/>
          <w:bCs/>
          <w:color w:val="161B22"/>
        </w:rPr>
        <w:t xml:space="preserve">Key Concepts in This Chapter</w:t>
      </w:r>
      <w:bookmarkEnd w:id="1433"/>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34" w:name="_Toc1433"/>
      <w:r>
        <w:rPr>
          <w:b/>
          <w:bCs/>
          <w:color w:val="161B22"/>
        </w:rPr>
        <w:t xml:space="preserve">Conclusion — What Vermont Proves, and What Remains to Be Proven</w:t>
      </w:r>
      <w:bookmarkEnd w:id="1434"/>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35" w:name="_Toc1434"/>
      <w:r>
        <w:rPr>
          <w:b/>
          <w:bCs/>
          <w:color w:val="161B22"/>
        </w:rPr>
        <w:t xml:space="preserve">What Failure Actually Looks Like</w:t>
      </w:r>
      <w:bookmarkEnd w:id="1435"/>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36" w:name="_Toc1435"/>
      <w:r>
        <w:rPr>
          <w:b/>
          <w:bCs/>
          <w:color w:val="161B22"/>
        </w:rPr>
        <w:t xml:space="preserve">The Three Decisions That Are Not Yet Made</w:t>
      </w:r>
      <w:bookmarkEnd w:id="1436"/>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37" w:name="_Toc1436"/>
      <w:r>
        <w:rPr>
          <w:b/>
          <w:bCs/>
          <w:color w:val="161B22"/>
        </w:rPr>
        <w:t xml:space="preserve">Decision 1: Will the Statewide Strategic Plan Be Binding or Descriptive?</w:t>
      </w:r>
      <w:bookmarkEnd w:id="1437"/>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38" w:name="_Toc1437"/>
      <w:r>
        <w:rPr>
          <w:b/>
          <w:bCs/>
          <w:color w:val="161B22"/>
        </w:rPr>
        <w:t xml:space="preserve">Decision 2: Will the Analytics Vendor Be Operational Before AHEAD’s Financial Accountability Begins?</w:t>
      </w:r>
      <w:bookmarkEnd w:id="1438"/>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39" w:name="_Toc1438"/>
      <w:r>
        <w:rPr>
          <w:b/>
          <w:bCs/>
          <w:color w:val="161B22"/>
        </w:rPr>
        <w:t xml:space="preserve">Decision 3: Will H.R. 1’s Medicaid Cuts Force a Contraction or Accelerate a Transformation?</w:t>
      </w:r>
      <w:bookmarkEnd w:id="1439"/>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0" w:name="_Toc1439"/>
      <w:r>
        <w:rPr>
          <w:b/>
          <w:bCs/>
          <w:color w:val="161B22"/>
        </w:rPr>
        <w:t xml:space="preserve">What Vermont Has Proved — As of April 2026</w:t>
      </w:r>
      <w:bookmarkEnd w:id="1440"/>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1" w:name="_Toc1440"/>
      <w:r>
        <w:rPr>
          <w:b/>
          <w:bCs/>
          <w:color w:val="161B22"/>
        </w:rPr>
        <w:t xml:space="preserve">The People This Book Cannot Reach</w:t>
      </w:r>
      <w:bookmarkEnd w:id="1441"/>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2" w:name="_Toc1441"/>
      <w:r>
        <w:rPr>
          <w:b/>
          <w:bCs/>
          <w:color w:val="161B22"/>
        </w:rPr>
        <w:t xml:space="preserve">The Call</w:t>
      </w:r>
      <w:bookmarkEnd w:id="1442"/>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43" w:name="_Toc1442"/>
      <w:r>
        <w:rPr>
          <w:b/>
          <w:bCs/>
          <w:color w:val="161B22"/>
        </w:rPr>
        <w:t xml:space="preserve">Key Concepts in This Chapter</w:t>
      </w:r>
      <w:bookmarkEnd w:id="1443"/>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44" w:name="_Toc1443"/>
      <w:r>
        <w:rPr>
          <w:b/>
          <w:bCs/>
          <w:color w:val="161B22"/>
        </w:rPr>
        <w:t xml:space="preserve">Appendix A — Vermont System Portrait</w:t>
      </w:r>
      <w:bookmarkEnd w:id="1444"/>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45" w:name="_Toc1444"/>
      <w:r>
        <w:rPr>
          <w:b/>
          <w:bCs/>
          <w:color w:val="161B22"/>
        </w:rPr>
        <w:t xml:space="preserve">A.1 Vermont: The State</w:t>
      </w:r>
      <w:bookmarkEnd w:id="1445"/>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46" w:name="_Toc1445"/>
      <w:r>
        <w:rPr>
          <w:b/>
          <w:bCs/>
          <w:color w:val="161B22"/>
        </w:rPr>
        <w:t xml:space="preserve">A.2 Demographics and Population Projections</w:t>
      </w:r>
      <w:bookmarkEnd w:id="1446"/>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47" w:name="_Toc1446"/>
      <w:r>
        <w:rPr>
          <w:b/>
          <w:bCs/>
          <w:color w:val="161B22"/>
        </w:rPr>
        <w:t xml:space="preserve">A.3 Regulatory Architecture: The Green Mountain Care Board</w:t>
      </w:r>
      <w:bookmarkEnd w:id="1447"/>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48" w:name="_Toc1447"/>
      <w:r>
        <w:rPr>
          <w:b/>
          <w:bCs/>
          <w:color w:val="161B22"/>
        </w:rPr>
        <w:t xml:space="preserve">A.4 The Hospital System</w:t>
      </w:r>
      <w:bookmarkEnd w:id="1448"/>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49" w:name="_Toc1448"/>
      <w:r>
        <w:rPr>
          <w:b/>
          <w:bCs/>
          <w:color w:val="161B22"/>
        </w:rPr>
        <w:t xml:space="preserve">The Fourteen Hospitals (January 2026 transformation plans)</w:t>
      </w:r>
      <w:bookmarkEnd w:id="1449"/>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0" w:name="_Toc1449"/>
      <w:r>
        <w:rPr>
          <w:b/>
          <w:bCs/>
          <w:color w:val="161B22"/>
        </w:rPr>
        <w:t xml:space="preserve">Patterns in the Data</w:t>
      </w:r>
      <w:bookmarkEnd w:id="1450"/>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1" w:name="_Toc1450"/>
      <w:r>
        <w:rPr>
          <w:b/>
          <w:bCs/>
          <w:color w:val="161B22"/>
        </w:rPr>
        <w:t xml:space="preserve">A.5 The Transformation Plans: A System in Motion</w:t>
      </w:r>
      <w:bookmarkEnd w:id="1451"/>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2" w:name="_Toc1451"/>
      <w:r>
        <w:rPr>
          <w:b/>
          <w:bCs/>
          <w:color w:val="161B22"/>
        </w:rPr>
        <w:t xml:space="preserve">A.6 The Insurance and Premium Crisis</w:t>
      </w:r>
      <w:bookmarkEnd w:id="1452"/>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53" w:name="_Toc1452"/>
      <w:r>
        <w:rPr>
          <w:b/>
          <w:bCs/>
          <w:color w:val="161B22"/>
        </w:rPr>
        <w:t xml:space="preserve">A.7 Healthcare Workforce</w:t>
      </w:r>
      <w:bookmarkEnd w:id="1453"/>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54" w:name="_Toc1453"/>
      <w:r>
        <w:rPr>
          <w:b/>
          <w:bCs/>
          <w:color w:val="161B22"/>
        </w:rPr>
        <w:t xml:space="preserve">A.8 Clinical Quality Indicators</w:t>
      </w:r>
      <w:bookmarkEnd w:id="1454"/>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55" w:name="_Toc1454"/>
      <w:r>
        <w:rPr>
          <w:b/>
          <w:bCs/>
          <w:color w:val="161B22"/>
        </w:rPr>
        <w:t xml:space="preserve">Appendix B — Act 68 Statutory Timeline and Milestones</w:t>
      </w:r>
      <w:bookmarkEnd w:id="1455"/>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56" w:name="_Toc1455"/>
      <w:r>
        <w:rPr>
          <w:b/>
          <w:bCs/>
          <w:color w:val="161B22"/>
        </w:rPr>
        <w:t xml:space="preserve">Policy-Pillar Implementation Matrix</w:t>
      </w:r>
      <w:bookmarkEnd w:id="1456"/>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57" w:name="_Toc1456"/>
      <w:r>
        <w:rPr>
          <w:b/>
          <w:bCs/>
          <w:color w:val="161B22"/>
        </w:rPr>
        <w:t xml:space="preserve">Appendix C — The 14-Hospital Centers of Excellence Assignment Framework</w:t>
      </w:r>
      <w:bookmarkEnd w:id="1457"/>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58" w:name="_Toc1457"/>
      <w:r>
        <w:rPr>
          <w:b/>
          <w:bCs/>
          <w:color w:val="161B22"/>
        </w:rPr>
        <w:t xml:space="preserve">Appendix D — AHEAD State Agreement: Key Terms and Provisions</w:t>
      </w:r>
      <w:bookmarkEnd w:id="1458"/>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59" w:name="_Toc1458"/>
      <w:r>
        <w:rPr>
          <w:b/>
          <w:bCs/>
          <w:color w:val="161B22"/>
        </w:rPr>
        <w:t xml:space="preserve">Appendix E — HTR Platform Tools and Methodology Overview</w:t>
      </w:r>
      <w:bookmarkEnd w:id="1459"/>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0" w:name="_Toc1459"/>
      <w:r>
        <w:rPr>
          <w:b/>
          <w:bCs/>
          <w:color w:val="161B22"/>
        </w:rPr>
        <w:t xml:space="preserve">Appendix F — Vermont Transformation Scorecard: 2022 Baseline, 2026 Status, 2028 Target</w:t>
      </w:r>
      <w:bookmarkEnd w:id="1460"/>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1" w:name="_Toc1460"/>
      <w:r>
        <w:rPr>
          <w:b/>
          <w:bCs/>
          <w:color w:val="161B22"/>
        </w:rPr>
        <w:t xml:space="preserve">Policy Pillar</w:t>
      </w:r>
      <w:bookmarkEnd w:id="146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62" w:name="_Toc1461"/>
      <w:r>
        <w:rPr>
          <w:b/>
          <w:bCs/>
          <w:color w:val="161B22"/>
        </w:rPr>
        <w:t xml:space="preserve">Technology Pillar</w:t>
      </w:r>
      <w:bookmarkEnd w:id="146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63" w:name="_Toc1462"/>
      <w:r>
        <w:rPr>
          <w:b/>
          <w:bCs/>
          <w:color w:val="161B22"/>
        </w:rPr>
        <w:t xml:space="preserve">Economics Pillar</w:t>
      </w:r>
      <w:bookmarkEnd w:id="146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64" w:name="_Toc1463"/>
      <w:r>
        <w:rPr>
          <w:b/>
          <w:bCs/>
          <w:color w:val="161B22"/>
        </w:rPr>
        <w:t xml:space="preserve">Clinical Pillar</w:t>
      </w:r>
      <w:bookmarkEnd w:id="146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65" w:name="_Toc1464"/>
      <w:r>
        <w:rPr>
          <w:b/>
          <w:bCs/>
          <w:color w:val="161B22"/>
        </w:rPr>
        <w:t xml:space="preserve">Equity Pillar</w:t>
      </w:r>
      <w:bookmarkEnd w:id="1465"/>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66" w:name="_Toc1465"/>
      <w:r>
        <w:rPr>
          <w:b/>
          <w:bCs/>
          <w:color w:val="161B22"/>
        </w:rPr>
        <w:t xml:space="preserve">Operations Pillar</w:t>
      </w:r>
      <w:bookmarkEnd w:id="1466"/>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67" w:name="_Toc1466"/>
      <w:r>
        <w:rPr>
          <w:b/>
          <w:bCs/>
          <w:color w:val="161B22"/>
        </w:rPr>
        <w:t xml:space="preserve">Appendix G — A Reader’s Guide to the Health Transformation Review Platform</w:t>
      </w:r>
      <w:bookmarkEnd w:id="1467"/>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68" w:name="_Toc1467"/>
      <w:r>
        <w:rPr>
          <w:b/>
          <w:bCs/>
          <w:color w:val="161B22"/>
        </w:rPr>
        <w:t xml:space="preserve">What This Platform Is</w:t>
      </w:r>
      <w:bookmarkEnd w:id="1468"/>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69" w:name="_Toc1468"/>
      <w:r>
        <w:rPr>
          <w:b/>
          <w:bCs/>
          <w:color w:val="161B22"/>
        </w:rPr>
        <w:t xml:space="preserve">Navigating the Platform</w:t>
      </w:r>
      <w:bookmarkEnd w:id="1469"/>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0" w:name="_Toc1469"/>
      <w:r>
        <w:rPr>
          <w:b/>
          <w:bCs/>
          <w:color w:val="161B22"/>
        </w:rPr>
        <w:t xml:space="preserve">The Six Pillars of Intelligence</w:t>
      </w:r>
      <w:bookmarkEnd w:id="1470"/>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1" w:name="_Toc1470"/>
      <w:r>
        <w:rPr>
          <w:b/>
          <w:bCs/>
          <w:color w:val="161B22"/>
        </w:rPr>
        <w:t xml:space="preserve">The Academy</w:t>
      </w:r>
      <w:bookmarkEnd w:id="1471"/>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72" w:name="_Toc1471"/>
      <w:r>
        <w:rPr>
          <w:b/>
          <w:bCs/>
          <w:color w:val="161B22"/>
        </w:rPr>
        <w:t xml:space="preserve">The Research Lab</w:t>
      </w:r>
      <w:bookmarkEnd w:id="1472"/>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73" w:name="_Toc1472"/>
      <w:r>
        <w:rPr>
          <w:b/>
          <w:bCs/>
          <w:color w:val="161B22"/>
        </w:rPr>
        <w:t xml:space="preserve">States &amp; Programs</w:t>
      </w:r>
      <w:bookmarkEnd w:id="1473"/>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74" w:name="_Toc1473"/>
      <w:r>
        <w:rPr>
          <w:b/>
          <w:bCs/>
          <w:color w:val="161B22"/>
        </w:rPr>
        <w:t xml:space="preserve">Advisory &amp; Services and the AI Analyst</w:t>
      </w:r>
      <w:bookmarkEnd w:id="1474"/>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75" w:name="_Toc1474"/>
      <w:r>
        <w:rPr>
          <w:b/>
          <w:bCs/>
          <w:color w:val="161B22"/>
        </w:rPr>
        <w:t xml:space="preserve">Reader Profiles and Recommended Paths</w:t>
      </w:r>
      <w:bookmarkEnd w:id="1475"/>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76" w:name="_Toc1475"/>
      <w:r>
        <w:rPr>
          <w:b/>
          <w:bCs/>
          <w:color w:val="161B22"/>
        </w:rPr>
        <w:t xml:space="preserve">Appendix H — Adapting and Stress-Testing the Framework</w:t>
      </w:r>
      <w:bookmarkEnd w:id="1476"/>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77" w:name="_Toc1476"/>
      <w:r>
        <w:rPr>
          <w:b/>
          <w:bCs/>
          <w:color w:val="161B22"/>
        </w:rPr>
        <w:t xml:space="preserve">H.1 Glossary of Vermont-Specific Acronyms and Institutions</w:t>
      </w:r>
      <w:bookmarkEnd w:id="1477"/>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78" w:name="_Toc1477"/>
      <w:r>
        <w:rPr>
          <w:b/>
          <w:bCs/>
          <w:color w:val="161B22"/>
        </w:rPr>
        <w:t xml:space="preserve">H.2 Worksheet — Adapt This Framework to Your State</w:t>
      </w:r>
      <w:bookmarkEnd w:id="1478"/>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79" w:name="_Toc1478"/>
      <w:r>
        <w:rPr>
          <w:b/>
          <w:bCs/>
          <w:color w:val="161B22"/>
        </w:rPr>
        <w:t xml:space="preserve">H.3 The Transition Window — Financing FY2027–2030</w:t>
      </w:r>
      <w:bookmarkEnd w:id="1479"/>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0" w:name="_Toc1479"/>
      <w:r>
        <w:rPr>
          <w:b/>
          <w:bCs/>
          <w:color w:val="161B22"/>
        </w:rPr>
        <w:t xml:space="preserve">What bridges exist</w:t>
      </w:r>
      <w:bookmarkEnd w:id="1480"/>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1" w:name="_Toc1480"/>
      <w:r>
        <w:rPr>
          <w:b/>
          <w:bCs/>
          <w:color w:val="161B22"/>
        </w:rPr>
        <w:t xml:space="preserve">What this means for a hospital CFO</w:t>
      </w:r>
      <w:bookmarkEnd w:id="1481"/>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82" w:name="_Toc1481"/>
      <w:r>
        <w:rPr>
          <w:b/>
          <w:bCs/>
          <w:color w:val="161B22"/>
        </w:rPr>
        <w:t xml:space="preserve">H.4 Two Clocks — Reconciling Act 68 and AHEAD Cohort 2 Timelines</w:t>
      </w:r>
      <w:bookmarkEnd w:id="1482"/>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83" w:name="_Toc1482"/>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83"/>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84" w:name="_Toc1483"/>
      <w:r>
        <w:rPr>
          <w:b/>
          <w:bCs/>
          <w:color w:val="161B22"/>
        </w:rPr>
        <w:t xml:space="preserve">GMCB’s enforcement toolkit</w:t>
      </w:r>
      <w:bookmarkEnd w:id="1484"/>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85" w:name="_Toc1484"/>
      <w:r>
        <w:rPr>
          <w:b/>
          <w:bCs/>
          <w:color w:val="161B22"/>
        </w:rPr>
        <w:t xml:space="preserve">The test case: GMCB v. UVMMC</w:t>
      </w:r>
      <w:bookmarkEnd w:id="1485"/>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86" w:name="_Toc1485"/>
      <w:r>
        <w:rPr>
          <w:b/>
          <w:bCs/>
          <w:color w:val="161B22"/>
        </w:rPr>
        <w:t xml:space="preserve">Appendix I — The HTR Lab Workbook: A Six-Pillar Practicum</w:t>
      </w:r>
      <w:bookmarkEnd w:id="1486"/>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87" w:name="_Toc1486"/>
      <w:r>
        <w:rPr>
          <w:b/>
          <w:bCs/>
          <w:color w:val="161B22"/>
        </w:rPr>
        <w:t xml:space="preserve">How to Use This Workbook</w:t>
      </w:r>
      <w:bookmarkEnd w:id="1487"/>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88" w:name="_Toc1487"/>
      <w:r>
        <w:rPr>
          <w:b/>
          <w:bCs/>
          <w:color w:val="161B22"/>
        </w:rPr>
        <w:t xml:space="preserve">Stage 1 — Policy: Establish the Mandate</w:t>
      </w:r>
      <w:bookmarkEnd w:id="1488"/>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89" w:name="_Toc1488"/>
      <w:r>
        <w:rPr>
          <w:b/>
          <w:bCs/>
          <w:color w:val="161B22"/>
        </w:rPr>
        <w:t xml:space="preserve">Stage 2 — Technology: Build the Substrate</w:t>
      </w:r>
      <w:bookmarkEnd w:id="1489"/>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0" w:name="_Toc1489"/>
      <w:r>
        <w:rPr>
          <w:b/>
          <w:bCs/>
          <w:color w:val="161B22"/>
        </w:rPr>
        <w:t xml:space="preserve">Stage 3 — Economics: Put Incentives on a Visible System</w:t>
      </w:r>
      <w:bookmarkEnd w:id="1490"/>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1" w:name="_Toc1490"/>
      <w:r>
        <w:rPr>
          <w:b/>
          <w:bCs/>
          <w:color w:val="161B22"/>
        </w:rPr>
        <w:t xml:space="preserve">Stage 4 — Clinical: Redesign Care on Aligned Incentives</w:t>
      </w:r>
      <w:bookmarkEnd w:id="1491"/>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92" w:name="_Toc1491"/>
      <w:r>
        <w:rPr>
          <w:b/>
          <w:bCs/>
          <w:color w:val="161B22"/>
        </w:rPr>
        <w:t xml:space="preserve">Stage 5 — Equity: Calibrate for the Gap, Not the Average</w:t>
      </w:r>
      <w:bookmarkEnd w:id="1492"/>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93" w:name="_Toc1492"/>
      <w:r>
        <w:rPr>
          <w:b/>
          <w:bCs/>
          <w:color w:val="161B22"/>
        </w:rPr>
        <w:t xml:space="preserve">Stage 6 — Operations: Close the Execution Gap</w:t>
      </w:r>
      <w:bookmarkEnd w:id="1493"/>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94" w:name="_Toc1493"/>
      <w:r>
        <w:rPr>
          <w:b/>
          <w:bCs/>
          <w:color w:val="161B22"/>
        </w:rPr>
        <w:t xml:space="preserve">Figure Index</w:t>
      </w:r>
      <w:bookmarkEnd w:id="1494"/>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Vermont statewide EHR: case for and against. The feasibility assessment underway will weigh these factors against Vermont’s specific cost, disruption tolerance, and FHIR interoperability capacity.</w:t>
      </w:r>
    </w:p>
    <w:p>
      <w:pPr>
        <w:pStyle w:val="Caption"/>
      </w:pPr>
      <w:r>
        <w:t xml:space="preserve">Figure 4.5 — Vermont FHIR compliance landscape (estimated as of 2026). Sources: AHS Legislative Presentation January 2025; Vermont RHT Program Application; GMCB HIE connectivity criteria.</w:t>
      </w:r>
    </w:p>
    <w:p>
      <w:pPr>
        <w:pStyle w:val="Caption"/>
      </w:pPr>
      <w: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495" w:name="_Toc1494"/>
      <w:r>
        <w:rPr>
          <w:b/>
          <w:bCs/>
          <w:color w:val="161B22"/>
        </w:rPr>
        <w:t xml:space="preserve">Bibliography and Source Notes</w:t>
      </w:r>
      <w:bookmarkEnd w:id="1495"/>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96" w:name="_Toc1495"/>
      <w:r>
        <w:rPr>
          <w:b/>
          <w:bCs/>
          <w:color w:val="161B22"/>
        </w:rPr>
        <w:t xml:space="preserve">Index (Selected)</w:t>
      </w:r>
      <w:bookmarkEnd w:id="1496"/>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2026-07-31T20:46:58Z</dcterms:created>
  <dcterms:modified xsi:type="dcterms:W3CDTF">2026-07-31T20:46:58Z</dcterms:modified>
</cp:coreProperties>
</file>

<file path=docProps/custom.xml><?xml version="1.0" encoding="utf-8"?>
<Properties xmlns="http://schemas.openxmlformats.org/officeDocument/2006/custom-properties" xmlns:vt="http://schemas.openxmlformats.org/officeDocument/2006/docPropsVTypes"/>
</file>