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Making Care Primary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Project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Four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Vermont now ranks fourth-oldest in the country by median age (42.8), behind Maine (45.1), New Hampshire (43.0), and West Virginia (42.9).</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and roughly 768 are at risk of closing, 315 of them within three years (Center for Healthcare Quality and Payment Reform).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monthly hospital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nearly forty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two doorways: an </w:t>
      </w:r>
      <w:r w:rsidDel="00000000" w:rsidR="00000000" w:rsidRPr="00000000">
        <w:rPr>
          <w:i w:val="1"/>
          <w:iCs w:val="1"/>
          <w:rtl w:val="0"/>
        </w:rPr>
        <w:t xml:space="preserve">“Explore on the Platform”</w:t>
      </w:r>
      <w:r w:rsidDel="00000000" w:rsidR="00000000" w:rsidRPr="00000000">
        <w:rPr>
          <w:rtl w:val="0"/>
        </w:rPr>
        <w:t xml:space="preserve"> guide that maps the chapter’s argument to the specific tools that let you manipulate it, and a </w:t>
      </w:r>
      <w:r w:rsidDel="00000000" w:rsidR="00000000" w:rsidRPr="00000000">
        <w:rPr>
          <w:i w:val="1"/>
          <w:iCs w:val="1"/>
          <w:rtl w:val="0"/>
        </w:rPr>
        <w:t xml:space="preserve">“Go Deeper — Academy”</w:t>
      </w:r>
      <w:r w:rsidDel="00000000" w:rsidR="00000000" w:rsidRPr="00000000">
        <w:rPr>
          <w:rtl w:val="0"/>
        </w:rPr>
        <w:t xml:space="preserve"> guide pointing to the lessons that teach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was charging commercial payers roughly 358% of Medicare rates — RAND’s published figure for inpatient and outpatient services combined, drawn from 2018–2020 claims — making it, by RAND’s own accounting, the most expensive hospital in Vermont.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regulatory brakes.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community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nine years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Acts 167 and 68 require hospitals to participate in global budgets and reference-based pricing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Acts 167 and 68 remained fully in force, and the reform continued without missing a step.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and the sequencing of Medicaid versus commercial global budgets — which together determine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appeal of that enforcement — Vermont’s largest, most powerful hospital system testing GMCB’s authority directly — ended in April 2025, when UVMMC dismissed its appeals under a settlement that left the enforcement order in place. That outcome is the strongest available evidence that “mandatory” in this book’s framework describes a regime that has been tested against its most resourced potential opponent and held.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Vermont’s primary care access rate is roughly 91% — four points above the national benchmark and a genuine achievement. Yet that aggregate figure conceals an 11-point gap between white Vermont adults and BIPOC Vermont adults (Vermont Department of Health, Health Equity Data Report). The gap becomes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w:t>
            </w:r>
            <w:hyperlink r:id="rId18">
              <w:r w:rsidDel="00000000" w:rsidR="00000000" w:rsidRPr="00000000">
                <w:rPr>
                  <w:rtl w:val="0"/>
                </w:rPr>
                <w:t xml:space="preserve">Research Lab</w:t>
              </w:r>
            </w:hyperlink>
            <w:r w:rsidDel="00000000" w:rsidR="00000000" w:rsidRPr="00000000">
              <w:rPr>
                <w:sz w:val="18"/>
                <w:szCs w:val="18"/>
                <w:rtl w:val="0"/>
              </w:rPr>
              <w:t xml:space="preserve"> of nearly forty interactive analytical tools,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“Explore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 </w:t>
            </w:r>
            <w:r w:rsidDel="00000000" w:rsidR="00000000" w:rsidRPr="00000000">
              <w:rPr>
                <w:i w:val="1"/>
                <w:iCs w:val="1"/>
                <w:sz w:val="18"/>
                <w:szCs w:val="18"/>
                <w:rtl w:val="0"/>
              </w:rPr>
              <w:t xml:space="preserve">“Go Deeper — Academy”</w:t>
            </w:r>
            <w:r w:rsidDel="00000000" w:rsidR="00000000" w:rsidRPr="00000000">
              <w:rPr>
                <w:sz w:val="18"/>
                <w:szCs w:val="18"/>
                <w:rtl w:val="0"/>
              </w:rPr>
              <w:t xml:space="preserve"> guide naming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every hub and tool.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EXPLORE ON THE PLATFORM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then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GO DEEPER — ACADEMY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and shorter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w:t>
      </w:r>
      <w:hyperlink r:id="rId38">
        <w:r w:rsidDel="00000000" w:rsidR="00000000" w:rsidRPr="00000000">
          <w:rPr>
            <w:rtl w:val="0"/>
          </w:rPr>
          <w:t xml:space="preserve">/academy</w:t>
        </w:r>
      </w:hyperlink>
      <w:r w:rsidDel="00000000" w:rsidR="00000000" w:rsidRPr="00000000">
        <w:rPr>
          <w:rtl w:val="0"/>
        </w:rPr>
        <w:t xml:space="preserve">.</w:t>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launched more than seventy models, investing billions of dollars and attracting the attention of thousands of healthcare organizations. A 2023 Congressional Budget Office analysis found that the vast majority had not achieved statistically significant reductions in spending or improvements in quality — and that CMMI’s models, taken together, had not saved money at all: they cost $7.9 billion to operate,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That legal limitation became a concrete failure on January 1, 2023, when Blue Cross Blue Shield of Vermont—the state’s largest private insurer—exercised its legal right to opt out and refused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and global budgets are not optional — every Vermont hospital is in.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makes global budgets binding on every Vermont hospital — the one lever state law can pull, since federal law cannot compel insurers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FY2028),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Auditor Findings: A state audit revealed the utilization signature of a population managed reactively rather than proactively—patients attributed to OneCare visited the emergency department 36% more frequently than peer ACOs nationally, while recording 18% fewer primary care visits.</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pattern—auditor-documented 36% higher ED visits and 18% lower primary care visits than national peer ACOs.</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~8-year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(FY2027),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14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is mandatory for all Vermont hospitals beginning FY2027, and global budgets are mandatory beginning FY2028.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essentially every hospital in the state — 52 of them — under global budgets beginning in 2014, mandatorily,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fell 2.8% against a comparison group, driven by a 4.1% reduction in hospital expenditures — more than $780 million saved. Potentially preventable admissions fell 16.1%, unplanned readmissions 9.5%.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beginning in FY2028, to set prospective annual hospital global budgets based on historical spending adjusted for population risk.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primary care access rate and the 11-point white/BIPOC gap behind it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Vermont Department of Health’s Health Equity Data Report (January 2025) documents this limitation explicitly.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 HSCRC early period: global budgets without adequate primary care produced pressure without sustainable improvement.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Blueprint’s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budget guidance (-1% commercial rate); Act 55 drug cap ($135M savings)</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(5 entities by July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represents the primary source of the $100 million or more in projected direct savings from shared services and administrative simplification.</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at 200% of Medicare or less; EAST Fund (roughly $138M expected; cut to a cap near $10M when Vermont withdrew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11-point primary care access gap between white and BIPOC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(FY2027) and global budgets (FY2028).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mandatory beginning FY2027, global budgets mandatory beginning FY2028.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Act 68 global budgets, the equity measurement capability for the Statewide Strategic Plan, and the risk stratification capability for Blueprint’s CCBHC expansion. Three dependencies converge on this single Technology pillar investment.</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highest-ROI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constitute the most comprehensive state-level healthcare reform mandate in the United States since Maryland’s all-payer model in the 1970s.</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Commissioned Oliver Wyman analysis; mandated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award application; 19 HTR tools; 370-FTE workforce plan</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its Cohort 2 performance period (Jan 2028) ever began.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First mandatory all-payer price cap in modern Vermont history; GMCB sets the maximum by rule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mandatory (non-CAH hospitals)</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6">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7">
            <w:pPr>
              <w:spacing w:after="0" w:before="0" w:line="240" w:lineRule="auto"/>
              <w:jc w:val="left"/>
              <w:rPr/>
            </w:pPr>
            <w:r w:rsidDel="00000000" w:rsidR="00000000" w:rsidRPr="00000000">
              <w:rPr>
                <w:sz w:val="17"/>
                <w:szCs w:val="17"/>
                <w:rtl w:val="0"/>
              </w:rPr>
              <w:t xml:space="preserve">Act 68 hospital global budgets take effect (FY2028)</w:t>
            </w:r>
            <w:r w:rsidDel="00000000" w:rsidR="00000000" w:rsidRPr="00000000">
              <w:rPr>
                <w:rtl w:val="0"/>
              </w:rPr>
            </w:r>
          </w:p>
        </w:tc>
        <w:tc>
          <w:tcPr/>
          <w:p w:rsidR="00000000" w:rsidDel="00000000" w:rsidP="00000000" w:rsidRDefault="00000000" w:rsidRPr="00000000" w14:paraId="00000458">
            <w:pPr>
              <w:spacing w:after="0" w:before="0" w:line="240" w:lineRule="auto"/>
              <w:jc w:val="left"/>
              <w:rPr/>
            </w:pPr>
            <w:r w:rsidDel="00000000" w:rsidR="00000000" w:rsidRPr="00000000">
              <w:rPr>
                <w:sz w:val="17"/>
                <w:szCs w:val="17"/>
                <w:rtl w:val="0"/>
              </w:rPr>
              <w:t xml:space="preserve">Economics / Technology</w:t>
            </w:r>
            <w:r w:rsidDel="00000000" w:rsidR="00000000" w:rsidRPr="00000000">
              <w:rPr>
                <w:rtl w:val="0"/>
              </w:rPr>
            </w:r>
          </w:p>
        </w:tc>
        <w:tc>
          <w:tcPr/>
          <w:p w:rsidR="00000000" w:rsidDel="00000000" w:rsidP="00000000" w:rsidRDefault="00000000" w:rsidRPr="00000000" w14:paraId="00000459">
            <w:pPr>
              <w:spacing w:after="0" w:before="0" w:line="240" w:lineRule="auto"/>
              <w:jc w:val="left"/>
              <w:rPr/>
            </w:pPr>
            <w:r w:rsidDel="00000000" w:rsidR="00000000" w:rsidRPr="00000000">
              <w:rPr>
                <w:sz w:val="17"/>
                <w:szCs w:val="17"/>
                <w:rtl w:val="0"/>
              </w:rPr>
              <w:t xml:space="preserve">Updated per CMS Sept 2025; Vermont hospitals begin Act 68 global-budget accountability (FY2028)</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mandatory — all 14 hospitals</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Full all-payer global budget coverage; complete transition from fee-for-service signal</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premium data from Vermont Blue Cross Blue Shield confirms and extends this picture. Average annual per-member-per-month medical and pharmacy costs rose from $481 in 2020 to $812 in 2024 for local claims — a 69% increase in four years. A 2025 state survey found that many Vermonters, even those with insurance, delay care due to fears of medical debt.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realistic assumptions (7-8%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 suggesting the conservative scenario is already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since 2018; median household income grew only 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 It covers a minority of total healthcare spending.</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HRSA recognizes no Health Profession Shortage Areas in Vermont.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legislative changes for the Vermont General Assembly:</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14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geriatric care, orthopedics,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(White River Junction)</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 the more than $100 million in direct savings projected from administrative consolidation and shared services.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savings sources break down as follows:</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Reference-based pricing mandatory for all commercial payers</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non-Critical Access Hospitals; commercial global budgets phase in January 2028</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published 2018–2020 data — the highest of any hospital in Vermont. Hospitals are not clustered near a rational break-even point of 136% of Medicare; they are distributed across a range from roughly profitable to wildly extractive, with no relationship between price and quality.</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during FY2026; maximum allowable payments mandatory from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 — the first negative benchmark in Vermont history</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effective April 2025, generating estimated $135M in annual savings</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Reference-based pricing for hospital services implemented — maximum amounts hospitals can charge commercial payers, set by GMCB rule</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and among the highest per-capita awards nationally.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the Oliver Wyman benchmark GMCB is working from is 200% of Medicare or less.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order standing.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term for the five interconnected challenge domains — decreasing affordability, deteriorating sustainability, demographic trap, interconnected failure system, and equity gaps — that collectively make structural transformation unavoidable for Vermont.</w:t>
      </w:r>
      <w:r w:rsidDel="00000000" w:rsidR="00000000" w:rsidRPr="00000000">
        <w:rPr>
          <w:rtl w:val="0"/>
        </w:rPr>
      </w:r>
    </w:p>
    <w:p w:rsidR="00000000" w:rsidDel="00000000" w:rsidP="00000000" w:rsidRDefault="00000000" w:rsidRPr="00000000" w14: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imperatives</w:t>
      </w:r>
      <w:r w:rsidDel="00000000" w:rsidR="00000000" w:rsidRPr="00000000">
        <w:rPr>
          <w:rtl w:val="0"/>
        </w:rPr>
      </w:r>
    </w:p>
    <w:p w:rsidR="00000000" w:rsidDel="00000000" w:rsidP="00000000" w:rsidRDefault="00000000" w:rsidRPr="00000000" w14: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Vermont has 14 HSAs corresponding to its 14 hospitals.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AHEAD (for participating states, all hospitals must participate). 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14:paraId="0000058D">
            <w:pPr>
              <w:jc w:val="left"/>
              <w:rPr/>
            </w:pPr>
            <w:r w:rsidDel="00000000" w:rsidR="00000000" w:rsidRPr="00000000">
              <w:rPr>
                <w:sz w:val="18"/>
                <w:szCs w:val="18"/>
                <w:rtl w:val="0"/>
              </w:rPr>
              <w:t xml:space="preserve">AHEAD (Achieving Healthcare Efficiency through Accountable Design)</w:t>
            </w:r>
            <w:r w:rsidDel="00000000" w:rsidR="00000000" w:rsidRPr="00000000">
              <w:rPr>
                <w:rtl w:val="0"/>
              </w:rPr>
            </w:r>
          </w:p>
        </w:tc>
        <w:tc>
          <w:tcPr/>
          <w:p w:rsidR="00000000" w:rsidDel="00000000" w:rsidP="00000000" w:rsidRDefault="00000000" w:rsidRPr="00000000" w14:paraId="0000058E">
            <w:pPr>
              <w:jc w:val="left"/>
              <w:rPr/>
            </w:pPr>
            <w:r w:rsidDel="00000000" w:rsidR="00000000" w:rsidRPr="00000000">
              <w:rPr>
                <w:sz w:val="18"/>
                <w:szCs w:val="18"/>
                <w:rtl w:val="0"/>
              </w:rPr>
              <w:t xml:space="preserve">Five-state voluntary total cost of care model (Maryland, Connecticut, Hawaii, Rhode Island, New York). Hospital global budgets for Medicare FFS. Enhanced primary care payments. Vermont signed for Cohort 2 in January 2025 but withdrew in July 2026 after CMS cut the expected EAST Fund from ~$138M/year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in 8-state initial cohort. 10-year model. Three-stage progression from basic to advanced primary care capabilities. States not participating in AHEAD may find MCP a viable primary care transformation vehicle.</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January 2028.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For health systems and post-acute providers, BPCI-A remains a viable two-sided risk VBC entry point for specific service lines (joint replacement, cardiac, etc.).</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the January 2025 renewal.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H.R. 1 and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AHEAD hospital global budget participation;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Late 2026 (states must implement by December 31, 2026)</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Vermont has not expressed intent to implement work requirements; federal law now clearly authorizes them.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2026</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January 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Has launched 70+ models since 2010;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and Act 68 both address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A potential vehicle for states not participating in AHEAD seeking federal support for primary care investment.</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12–18+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Typical Data Lag</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VUHDDS hospital discharge records); hospital price transparency analysis (the GMCB’s 2026 RBP report used VHCURES-derived 2024 claims data to show hospital prices ranging from 279% to 697% of Medicare for hospital outpatient services overall (specific high-cost lines such as imaging run higher — see Chapter 2));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of 12-18+ months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60-90 day claims lag instead of 12-18 months</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Transfers HIE Authority to DVHA</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Act 61 of 2009 designated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VHCURES-VITL linkage already used for Blueprint HEDIS measurement;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3)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through which the Act 68 §10 integration mandate is actually delivered.</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weekly-refreshed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over $14 million annually statewide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live since November 2024, rather than through VHCURES. The reason is timeliness: MDWAS refreshes weekly and carries an integrated opt-out consent model compliant with Act 53, where VHCURES operates on a 12-to-18-month reporting lag, lacks an opt-out mechanism, and — because of ERISA preemption — excludes large segments of the commercially insured population. For retrospective research VHCURES remains serviceable. For intervening in a patient’s care, a 12-month lag is not a data source; it is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Medicaid clinical and claims data went live in 2024; Medicare data scales across 2026–2028, meeting Act 68 reporting requirements and supporting hospital global-budget monitoring; and full multi-payer integration, incorporating commercial claims and standardized SDOH data, follows in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 RHT investment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real-time population health data that VHCURES’s 12-18 month lag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RHT Program IT advance funds can support the capital investment — this is an explicitly authorized use of RHT funds</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§4.5 develops the FHIR picture. AHS’s feasibility assessment should produce a clear answer on this question by 2026–2027 — in time to inform the 2028 Strategic Plan.</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particularly UVMMC with its Epic EHR — are FHIR-compliant for the CMS-mandated payer-to-patient and payer-to-payer API requirements. The critical gap is at smaller community hospitals (on TruBridge legacy platforms, with Meditech sites FHIR-capable but unconfigured) and at community-based providers (mental health agencies, skilled nursing facilities, home health agencies) that lack FHIR-capable systems entirely.</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Full FHIR R4 compliance</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UVMMC (Epic); Vermont hospitals on Oracle Health (Cerner) post-2022 upgrade; major commercial payers (BCBS VT, MVP)</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Partial FHIR implementation</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Community hospitals on Meditech Expanse (FHIR-capable but may require configuration)</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Smaller community hospitals on TruBridge legacy; most Designated Mental Health Agencies; many skilled nursing facilities; independent primary care practices on older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30 to 45 minutes per provider per day through AI documentation support is equivalent to adding significant additional clinical capacity without hiring new providers.</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The book’s later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The book’s later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rsidR="00000000" w:rsidDel="00000000" w:rsidP="00000000" w:rsidRDefault="00000000" w:rsidRPr="00000000" w14:paraId="000006FE">
      <w:pPr>
        <w:keepNext w:val="0"/>
        <w:keepLines w:val="0"/>
        <w:numPr>
          <w:ilvl w:val="0"/>
          <w:numId w:val="25"/>
        </w:numPr>
        <w:ind w:left="720" w:hanging="360"/>
        <w:rPr/>
      </w:pPr>
      <w:r w:rsidDel="00000000" w:rsidR="00000000" w:rsidRPr="00000000">
        <w:rPr>
          <w:rtl w:val="0"/>
        </w:rP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rsidR="00000000" w:rsidDel="00000000" w:rsidP="00000000" w:rsidRDefault="00000000" w:rsidRPr="00000000" w14:paraId="000006FF">
      <w:pPr>
        <w:keepNext w:val="0"/>
        <w:keepLines w:val="0"/>
        <w:numPr>
          <w:ilvl w:val="0"/>
          <w:numId w:val="25"/>
        </w:numPr>
        <w:ind w:left="720" w:hanging="360"/>
        <w:rPr/>
      </w:pPr>
      <w:r w:rsidDel="00000000" w:rsidR="00000000" w:rsidRPr="00000000">
        <w:rPr>
          <w:rtl w:val="0"/>
        </w:rP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rsidR="00000000" w:rsidDel="00000000" w:rsidP="00000000" w:rsidRDefault="00000000" w:rsidRPr="00000000" w14:paraId="00000700">
      <w:pPr>
        <w:keepNext w:val="0"/>
        <w:keepLines w:val="0"/>
        <w:numPr>
          <w:ilvl w:val="0"/>
          <w:numId w:val="25"/>
        </w:numPr>
        <w:ind w:left="720" w:hanging="360"/>
        <w:rPr/>
      </w:pPr>
      <w:r w:rsidDel="00000000" w:rsidR="00000000" w:rsidRPr="00000000">
        <w:rPr>
          <w:rtl w:val="0"/>
        </w:rPr>
        <w:t xml:space="preserve">Transparency requirements: Patients must be informed when AI tools are involved in their care. Clinicians must understand the basis and limitations of AI outputs. ‘Black box’ AI with no explainability is inappropriate for clinical settings regardless of its overall accuracy.</w:t>
      </w:r>
    </w:p>
    <w:p w:rsidR="00000000" w:rsidDel="00000000" w:rsidP="00000000" w:rsidRDefault="00000000" w:rsidRPr="00000000" w14:paraId="00000701">
      <w:pPr>
        <w:keepNext w:val="0"/>
        <w:keepLines w:val="0"/>
        <w:numPr>
          <w:ilvl w:val="0"/>
          <w:numId w:val="25"/>
        </w:numPr>
        <w:ind w:left="720" w:hanging="360"/>
        <w:rPr/>
      </w:pPr>
      <w:r w:rsidDel="00000000" w:rsidR="00000000" w:rsidRPr="00000000">
        <w:rPr>
          <w:rtl w:val="0"/>
        </w:rP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rsidR="00000000" w:rsidDel="00000000" w:rsidP="00000000" w:rsidRDefault="00000000" w:rsidRPr="00000000" w14:paraId="00000702">
      <w:pPr>
        <w:keepLines w:val="0"/>
        <w:numPr>
          <w:ilvl w:val="0"/>
          <w:numId w:val="25"/>
        </w:numPr>
        <w:ind w:left="720" w:hanging="360"/>
        <w:rPr/>
      </w:pPr>
      <w:r w:rsidDel="00000000" w:rsidR="00000000" w:rsidRPr="00000000">
        <w:rPr>
          <w:rtl w:val="0"/>
        </w:rP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CMS-mandated payer and provider APIs;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CommonWell / Carequality: national network connectivity for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(UVMMC, CVMC), Oracle Health (others), TruBridge (CAHs), Meditech (others)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mandated by CMS for payers and providers beginning 2021–2022.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transferred responsibility for the statewide Health Information Technology Plan from GMCB to DVHA, effective July 1, 2025. Aligns HIT strategy coordination with DVHA’s operational relationships with providers through Medicaid, Blueprint, and AHEAD.</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can access their health records through third-party apps, supporting patient engagement and longitudinal care coordination. Required by CMS for hospitals and clinicians receiving Medicare/Medicaid payments.</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must expose FHIR R4 patient access endpoint; practice must register with Smart Health IT or similar app authorization framework; patient-facing app must be certified.</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Required compliance — all Vermont hospitals must be compliant. Monitor for compliance at smaller CAHs without robust IT departments.</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 access API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FHIR query capability; master patient index for patient matching across organizations; trust framework (CommonWell/Carequality membership);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Payer-to-provider API (prior authorization and formulary)</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Electronic prior authorization using FHIR-based DA Vinci implementation guides eliminates manual PA processes; formulary information exchange reduces prescription errors.</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must support CRD (Coverage Requirements Discovery) and DTR (Documentation Templates and Rules) Da Vinci implementation guides; payers (BCBS VT, MVP) must implement complementary APIs.</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Vermont’s prior authorization reform agenda is accelerated by FHIR-based electronic PA. GMCB should require payer FHIR API compliance as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Vermont VITL FHIR mandate; CMS interoperability rule compliance</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save ~15–25 min/day/provider (NEJM AI RCT, 2025;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Vermont rural CAH vulnerability; ransomware risk at Grace Cottage scale</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global budgets take effect in FY2028, you will not be able to receive the real-time feedback the global budget management system is designed to provide.</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Act 68 implementation,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enable FHIR-based record sharing between health systems across organizational boundaries. VITL participates in CommonWell; Vermont CIN membership would enable access to both networks for out-of-state record retrieval.</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NEJM AI ambient scribe randomized trial (2025); JAMA ambient scribe study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JAMA Network Open study of the Maryland All-Payer Model</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and confirmed by independent analyses, is among the most extreme in the country: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 2018–2020 data) — the highest in Vermont</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tracks hospital charge growth with high fidelity.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average monthly silver marketplace premium (2018–2024)</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0"/>
          <w:tblHeader w:val="0"/>
        </w:trPr>
        <w:tc>
          <w:tcPr/>
          <w:p w:rsidR="00000000" w:rsidDel="00000000" w:rsidP="00000000" w:rsidRDefault="00000000" w:rsidRPr="00000000" w14:paraId="00000811">
            <w:pPr>
              <w:jc w:val="left"/>
              <w:rPr/>
            </w:pPr>
            <w:r w:rsidDel="00000000" w:rsidR="00000000" w:rsidRPr="00000000">
              <w:rPr>
                <w:sz w:val="18"/>
                <w:szCs w:val="18"/>
                <w:rtl w:val="0"/>
              </w:rPr>
              <w:t xml:space="preserve">2021</w:t>
            </w:r>
            <w:r w:rsidDel="00000000" w:rsidR="00000000" w:rsidRPr="00000000">
              <w:rPr>
                <w:rtl w:val="0"/>
              </w:rPr>
            </w:r>
          </w:p>
        </w:tc>
        <w:tc>
          <w:tcPr/>
          <w:p w:rsidR="00000000" w:rsidDel="00000000" w:rsidP="00000000" w:rsidRDefault="00000000" w:rsidRPr="00000000" w14:paraId="00000812">
            <w:pPr>
              <w:jc w:val="left"/>
              <w:rPr/>
            </w:pPr>
            <w:r w:rsidDel="00000000" w:rsidR="00000000" w:rsidRPr="00000000">
              <w:rPr>
                <w:sz w:val="18"/>
                <w:szCs w:val="18"/>
                <w:rtl w:val="0"/>
              </w:rPr>
              <w:t xml:space="preserve">$580</w:t>
            </w:r>
            <w:r w:rsidDel="00000000" w:rsidR="00000000" w:rsidRPr="00000000">
              <w:rPr>
                <w:rtl w:val="0"/>
              </w:rPr>
            </w:r>
          </w:p>
        </w:tc>
      </w:tr>
      <w:tr>
        <w:trPr>
          <w:cantSplit w:val="0"/>
          <w:tblHeader w:val="0"/>
        </w:trPr>
        <w:tc>
          <w:tcPr/>
          <w:p w:rsidR="00000000" w:rsidDel="00000000" w:rsidP="00000000" w:rsidRDefault="00000000" w:rsidRPr="00000000" w14:paraId="00000813">
            <w:pPr>
              <w:jc w:val="left"/>
              <w:rPr/>
            </w:pPr>
            <w:r w:rsidDel="00000000" w:rsidR="00000000" w:rsidRPr="00000000">
              <w:rPr>
                <w:sz w:val="18"/>
                <w:szCs w:val="18"/>
                <w:rtl w:val="0"/>
              </w:rPr>
              <w:t xml:space="preserve">2022</w:t>
            </w:r>
            <w:r w:rsidDel="00000000" w:rsidR="00000000" w:rsidRPr="00000000">
              <w:rPr>
                <w:rtl w:val="0"/>
              </w:rPr>
            </w:r>
          </w:p>
        </w:tc>
        <w:tc>
          <w:tcPr/>
          <w:p w:rsidR="00000000" w:rsidDel="00000000" w:rsidP="00000000" w:rsidRDefault="00000000" w:rsidRPr="00000000" w14:paraId="00000814">
            <w:pPr>
              <w:jc w:val="left"/>
              <w:rPr/>
            </w:pPr>
            <w:r w:rsidDel="00000000" w:rsidR="00000000" w:rsidRPr="00000000">
              <w:rPr>
                <w:sz w:val="18"/>
                <w:szCs w:val="18"/>
                <w:rtl w:val="0"/>
              </w:rPr>
              <w:t xml:space="preserve">$730</w:t>
            </w:r>
            <w:r w:rsidDel="00000000" w:rsidR="00000000" w:rsidRPr="00000000">
              <w:rPr>
                <w:rtl w:val="0"/>
              </w:rPr>
            </w:r>
          </w:p>
        </w:tc>
      </w:tr>
      <w:tr>
        <w:trPr>
          <w:cantSplit w:val="0"/>
          <w:tblHeader w:val="0"/>
        </w:trPr>
        <w:tc>
          <w:tcPr/>
          <w:p w:rsidR="00000000" w:rsidDel="00000000" w:rsidP="00000000" w:rsidRDefault="00000000" w:rsidRPr="00000000" w14:paraId="00000815">
            <w:pPr>
              <w:jc w:val="left"/>
              <w:rPr/>
            </w:pPr>
            <w:r w:rsidDel="00000000" w:rsidR="00000000" w:rsidRPr="00000000">
              <w:rPr>
                <w:sz w:val="18"/>
                <w:szCs w:val="18"/>
                <w:rtl w:val="0"/>
              </w:rPr>
              <w:t xml:space="preserve">2023</w:t>
            </w:r>
            <w:r w:rsidDel="00000000" w:rsidR="00000000" w:rsidRPr="00000000">
              <w:rPr>
                <w:rtl w:val="0"/>
              </w:rPr>
            </w:r>
          </w:p>
        </w:tc>
        <w:tc>
          <w:tcPr/>
          <w:p w:rsidR="00000000" w:rsidDel="00000000" w:rsidP="00000000" w:rsidRDefault="00000000" w:rsidRPr="00000000" w14:paraId="00000816">
            <w:pPr>
              <w:jc w:val="left"/>
              <w:rPr/>
            </w:pPr>
            <w:r w:rsidDel="00000000" w:rsidR="00000000" w:rsidRPr="00000000">
              <w:rPr>
                <w:sz w:val="18"/>
                <w:szCs w:val="18"/>
                <w:rtl w:val="0"/>
              </w:rPr>
              <w:t xml:space="preserve">$875</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every commercial payer, by FY2027</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to date. 7% reduction in hospital admissions. $800M reduction in hospital spending. Model extended and expanded.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recommends -1% commercial rate growth benchmark — first negative benchmark in Vermont history.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2028.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Non-CAH global hospital budgets by FY28. All-hospital global budgets by FY30.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The Maryland regulator quoted at the opening of this chapter described the result plainly: hospitals had to transition from business strategies that chase volume to ones that focused on population health management.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Hospital opposition and implementation complexity prevented launch.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design and implement mandatory global budgets: non-CAH hospitals by FY2028, all hospitals by FY2030</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to date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hospital spending $800M Medicare Part A and B combined (CMS evaluation)</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providing up to $138 million in additional Medicare funds annually starting in 2027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is, from the beginning, paired with the community investment that Maryland added only after its first years of operation.</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released March 2027 for FY2028 rates; Act 68 hospital global budgets take effect FY2028</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non-CAH hospitals; Statewide Strategic Plan delivered January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global budgets take effect in FY2028.</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non-CAH global budgets take effect in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to be set by GMCB rule in March 2027, with 200% of Medicare the benchmark most often modeled — is the most specific mandatory statewide price ceiling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The model Vermont’s GMCB-designed commercial global budgets will most closely follow.</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mandate is designed to achieve this across commercial payers and Medicaid by FY2028-2030, with Medicare alignment now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provide up to $138M annually in additional Medicare funds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14:paraId="000009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AHEAD (Achieving Healthcare Efficiency through Accountable Design)</w:t>
      </w:r>
      <w:r w:rsidDel="00000000" w:rsidR="00000000" w:rsidRPr="00000000">
        <w:rPr>
          <w:rtl w:val="0"/>
        </w:rPr>
      </w:r>
    </w:p>
    <w:p w:rsidR="00000000" w:rsidDel="00000000" w:rsidP="00000000" w:rsidRDefault="00000000" w:rsidRPr="00000000" w14:paraId="000009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CMMI’s voluntary state total cost of care model, now operating in five states (Maryland, Connecticut, Hawaii, Rhode Island, and New York).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global budget baselines for hospitals from their historical Medicare FFS spending, with adjustments; Act 68’s global budgets inherit the same benchmark logic.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Vermont’s Act 68 global budgets for non-CAH hospitals must specify how the prospective budget is set and adjusted for patient complexity — the risk adjustment methodology is a key design question currently under development.</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tracked total cost of care for Medicare FFS beneficiaries attributed to Vermont hospitals across all payer settings; Act 68’s global budgets apply the same all-payer accounting.</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(typically 2-3.5%) before the organization shares in them</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 and Act 68’s state-level global budget targets apply the minimum threshold concept the same way.</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typically 50-75% for one-sided models, and reaches 100% in global-risk models such as ACO REACH.</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100% of premium passthrough per GMCB monitoring requirement.</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Inpatient Cost Prevented</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Avg. Preventable ED Visit</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ROI Range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Year 1: 3-8% RAF improvement</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Vermont CAHs: avg 12% HCC gap (2025 RHRC assessment)</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$300M+ annual projection</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Vermont-specific benchmarks: Blueprint-participating PCMH practices with active CHT support typically score 40-60% in Domain 3 (care delivery) — strong by national standards. Most Vermont hospitals score 25-45% in Domain 2 (data and technology). The RHRC engagement’s explicit focus on developing analytic dashboards for hospitals reflects the recognition that Domain 2 is the binding constraint for most Vermont providers.</w:t>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2027–2031,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 $1,800 saved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MHI pilot: 80% of administrative entities increased CHT staffing.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Literature suggests 5-15% reduction in total cost of care for high-SDOH-burden populations receiving coordinated SDOH intervention.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at $10,000/year RPM program cost.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Making Care Primary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VITL-based health information exchange linking practices to the statewide clinical data registry and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specifying complication status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AHEAD implementation team</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AHEAD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AHEAD hospital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5 planned CCBHCs; enhanced Medicaid FMAP funding for 8 years</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 under AHEAD.</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Black adults in Vermont have an 82% health insurance coverage rate compared to 94% of Vermont adults statewide (BRFSS self-report).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access, affordability, and outcome disparities:</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BE7">
            <w:pPr>
              <w:jc w:val="left"/>
              <w:rPr/>
            </w:pPr>
            <w:r w:rsidDel="00000000" w:rsidR="00000000" w:rsidRPr="00000000">
              <w:rPr>
                <w:b w:val="1"/>
                <w:bCs w:val="1"/>
                <w:color w:val="111111"/>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shd w:fill="edf2f9" w:val="clear"/>
          </w:tcPr>
          <w:p w:rsidR="00000000" w:rsidDel="00000000" w:rsidP="00000000" w:rsidRDefault="00000000" w:rsidRPr="00000000" w14:paraId="00000BE8">
            <w:pPr>
              <w:jc w:val="left"/>
              <w:rPr/>
            </w:pPr>
            <w:r w:rsidDel="00000000" w:rsidR="00000000" w:rsidRPr="00000000">
              <w:rPr>
                <w:b w:val="1"/>
                <w:bCs w:val="1"/>
                <w:color w:val="111111"/>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rural Vermonters have broadband; 14% of all Vermonters lack access</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and AHEAD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Decision needed by January 2026 (BALANCE opt-in deadline); coverage effective May 2026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2026 (CCBHC designation);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June 2026;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The first half of this chapter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(FUH); follow-up after ED visit for alcohol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Vermont HEROI: 14 HSA-level equity scores; GMCB reporting requirement</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AHEAD: active SRA design question as of early 2026</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AHEAD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Medicaid global budget;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Managing AHEAD Medicaid alignment;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(White River Junction)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Jct.)</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below AHEAD total cost of care targets.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sections develop the operational mechanics of healthcare transformation — the specific processes, metrics, and management disciplines that determine whether value-based care contracts produce the results they are designed for. They fall into four operational domains: revenue cycle transformation for VBC, HCC coding and risk adjustment excellence, credentialing efficiency, and the workforce operations framework.</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(HCC 19, lower RAF) versus ‘diabetes with diabetic CKD’ (HCC 18 + HCC 136,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AHEAD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is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 Convergence Newsletter (free weekly) for Observer subscribers.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p w:rsidR="00000000" w:rsidDel="00000000" w:rsidP="00000000" w:rsidRDefault="00000000" w:rsidRPr="00000000" w14:paraId="00000F32">
      <w:pPr>
        <w:pStyle w:val="Heading3"/>
        <w:keepNext w:val="0"/>
        <w:rPr/>
      </w:pPr>
      <w:bookmarkStart w:colFirst="0" w:colLast="0" w:name="_lq2plq41pd5s" w:id="353"/>
      <w:bookmarkEnd w:id="353"/>
      <w:r w:rsidDel="00000000" w:rsidR="00000000" w:rsidRPr="00000000">
        <w:rPr>
          <w:color w:val="161b22"/>
          <w:rtl w:val="0"/>
        </w:rPr>
        <w:t xml:space="preserve">12.2.2  </w:t>
      </w:r>
      <w:r w:rsidDel="00000000" w:rsidR="00000000" w:rsidRPr="00000000">
        <w:rPr>
          <w:b w:val="1"/>
          <w:bCs w:val="1"/>
          <w:color w:val="161b22"/>
          <w:rtl w:val="0"/>
        </w:rPr>
        <w:t xml:space="preserve">Four Components of the HTR Platform</w:t>
      </w:r>
      <w:r w:rsidDel="00000000" w:rsidR="00000000" w:rsidRPr="00000000">
        <w:rPr>
          <w:rtl w:val="0"/>
        </w:rPr>
      </w:r>
    </w:p>
    <w:p w:rsidR="00000000" w:rsidDel="00000000" w:rsidP="00000000" w:rsidRDefault="00000000" w:rsidRPr="00000000" w14:paraId="00000F33">
      <w:pPr>
        <w:keepNext w:val="0"/>
        <w:rPr/>
      </w:pPr>
      <w:r w:rsidDel="00000000" w:rsidR="00000000" w:rsidRPr="00000000">
        <w:rPr>
          <w:rtl w:val="0"/>
        </w:rPr>
        <w:t xml:space="preserve">The transformation implementation platform has four integrated components, each designed for a different kind of engagement with the transformation agenda:</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Weekly synthesis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January 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EHR-specific configuration notes for Epic, Oracle Health, Meditech, and TruBridge.</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this chapter describes is the operational spine of Vermont’s transformation program. Without a function that tracks milestones across all five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color w:val="000000"/>
          <w:sz w:val="18"/>
          <w:szCs w:val="18"/>
          <w:rtl w:val="0"/>
        </w:rPr>
        <w:t xml:space="preserve">The Wire</w:t>
      </w:r>
      <w:r w:rsidDel="00000000" w:rsidR="00000000" w:rsidRPr="00000000">
        <w:rPr>
          <w:rtl w:val="0"/>
        </w:rPr>
      </w:r>
    </w:p>
    <w:p w:rsidR="00000000" w:rsidDel="00000000" w:rsidP="00000000" w:rsidRDefault="00000000" w:rsidRPr="00000000" w14:paraId="00000F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weekly policy and practice intelligence service,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with 2-year lag;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 scribes deployed;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RHRC engagement is the right investment at the right time</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Two-year VHCURES data lag;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CMS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Hospital Association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EAST Fund investments cut 30%+ due to federal Medicaid reductions.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7</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Statutory deadlines requiring PM discipline</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AHS programs requiring portfolio coordination</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(14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In progress → FY2026</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Plan submission → FY2026 approved</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Q1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Project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Project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5 CCBHCs (FY2026);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approved (FY2026); HSA coordinators staffed (FY2027); PMO operational (Q1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14:paraId="00001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design, RHT Program deployment — cannot be productively worked before the Technology components that make them measurable.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1.2’s gate definition: open means the enabling work is finished, not that a milestone was declared.)</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Q1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hire Portfolio Manager by Q2 2026; PMO by Q1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15.7</w:t>
      </w:r>
      <w:r w:rsidDel="00000000" w:rsidR="00000000" w:rsidRPr="00000000">
        <w:rPr>
          <w:rtl w:val="0"/>
        </w:rPr>
        <w:t xml:space="preserve"> answers that objection directly. The ~$4–6.4M cost of a staffed PMO over four to five years is roughly 2% of the portfolio value it protects.</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&lt;2% of the portfolio value managed vs. $195M RHT + $300M+ RBP savings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14:paraId="00001271">
      <w:pPr>
        <w:rPr/>
      </w:pPr>
      <w:r w:rsidDel="00000000" w:rsidR="00000000" w:rsidRPr="00000000">
        <w:rPr>
          <w:rtl w:val="0"/>
        </w:rPr>
        <w:t xml:space="preserve">Q1–Q2 2026: Post the Portfolio Manager position (PfMP preferred); begin recruitment (AHS Secretary).</w:t>
      </w:r>
    </w:p>
    <w:p w:rsidR="00000000" w:rsidDel="00000000" w:rsidP="00000000" w:rsidRDefault="00000000" w:rsidRPr="00000000" w14:paraId="00001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2026: Portfolio Manager hired; portfolio register (Figure 15.3) and risk register formalized.</w:t>
      </w:r>
    </w:p>
    <w:p w:rsidR="00000000" w:rsidDel="00000000" w:rsidP="00000000" w:rsidRDefault="00000000" w:rsidRPr="00000000" w14:paraId="00001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Q3 2026: Integrated master schedule developed; all 19 component leads identified; PMO analyst positions posted.</w:t>
      </w:r>
    </w:p>
    <w:p w:rsidR="00000000" w:rsidDel="00000000" w:rsidP="00000000" w:rsidRDefault="00000000" w:rsidRPr="00000000" w14:paraId="00001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Q4 2026: PMO software deployed; monthly dashboard live; first formal Portfolio Governance Board meeting.</w:t>
      </w:r>
    </w:p>
    <w:p w:rsidR="00000000" w:rsidDel="00000000" w:rsidP="00000000" w:rsidRDefault="00000000" w:rsidRPr="00000000" w14:paraId="00001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Q1 2027: Five pillar PMs designated; weekly pillar-level reporting; resource-conflict resolution operational.</w:t>
      </w:r>
    </w:p>
    <w:p w:rsidR="00000000" w:rsidDel="00000000" w:rsidP="00000000" w:rsidRDefault="00000000" w:rsidRPr="00000000" w14:paraId="00001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Q2 2027 onward: Monthly governance reviews; quarterly performance reviews vs. the Vermont Scorecard; annual portfolio rebalancing.</w:t>
      </w:r>
    </w:p>
    <w:p w:rsidR="00000000" w:rsidDel="00000000" w:rsidP="00000000" w:rsidRDefault="00000000" w:rsidRPr="00000000" w14:paraId="00001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January 2028: Strategic Plan delivered with portfolio-management evidence — benefits realized, risks managed, resources optimally deployed; PMO transitions to the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Four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roughly 2%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comprehensive plan covering payment-reform trajectory, primary-care investment targets, hospital-network configuration, behavioral-health integration, equity goals, and administrative simplification. Updated every three years.</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Quantified per-capita cost-growth targets, aligned with Act 68’s hospital-spending-reduction requirement.</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reported monthly and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Monthly already;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A plan to raise primary care as a share of total spend (retained as state policy after the AHEAD withdrawal), including Blueprint expansion, CCBHC development, and CoCM deployment.</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State policy after the AHEAD withdrawal; plan formalizes it</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 plan to attract and retain professionals (Act 68),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Establish a Division of Planning and Effectiveness; partner with GMCB on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build a shared data architecture linking social-service utilization to healthcare outcomes in VHCURES;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AHEAD wind-down alone requires ongoing withdrawal-condition management, EAST Fund closeout, and negotiation of the terms of any successor federal agreement.</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reports, the January 2028 plan, and the three-year updates. The monthly reporting requirement is a real accountability mechanism, not a formality.</w:t>
      </w:r>
    </w:p>
    <w:p w:rsidR="00000000" w:rsidDel="00000000" w:rsidP="00000000" w:rsidRDefault="00000000" w:rsidRPr="00000000" w14:paraId="000012E2">
      <w:pPr>
        <w:rPr/>
      </w:pPr>
      <w:r w:rsidDel="00000000" w:rsidR="00000000" w:rsidRPr="00000000">
        <w:rPr>
          <w:rtl w:val="0"/>
        </w:rP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~230K, growing, most diverse; non-rural</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Admin-overhead reduction at UVMMC; primary-care access for growing immigrant population;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~65K, aging, state-government center</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Radiation/neurology COE development; state-employee-plan RBP transition; Washington County rural access</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~62K, aging, lower income</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 development (surgery, neurology, psych); high opioid overdose; workforce-housing shortage</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Windsor</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~59K, aging, Dartmouth Health connection</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 or focused-scope transition; cross-border coordination; rehabilitation COE</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~53K, rural,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Cancer-surgery and radiation COEs; workforce recruitment; northern-border needs</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~48K, aging, rural, southwest VT</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COEs — secondary RSC role; critical psych services; Berkshire/Taconic coordination</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~46K, aging,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TBD tier; UVM-network affiliation; shared-service opportunities with UVMMC</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~42K, aging, high SUD/MH burden</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Acute general-surgery COE; high suicide/self-harm rates;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~41K, very rural, NEK</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Among most financially vulnerable; REH candidacy; high Essex/Orleans uninsurance</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~39K, very rural, NEK</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Cancer-surgery and infusion COEs; highest poverty (Caledonia/Essex); broadband/telehealth priority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~31K, rural, Windsor/Windham border</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Memory-care and adult-psych COEs; SUD corridor; most complex plan given financial position</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~31K, rural, Lamoille/Orleans</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Orthopedics/rheumatology COEs; Stowe seasonal population; critical workforce housing</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~28K, very rural,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TBD tier — among most vulnerable; comprehensive assessment needed; Act 68 CAH global-budget deferral to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~14K, very rural; 19-bed, Vermont’s smallest</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REH conversion the likely path; coordination with Brattleboro Memorial essential; palliative-care specialty worth preserving</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AHEAD wind-down and successor-agreement strategy (EAST Fund closeout, resolving CMS’s July 2026 compliance notice on the Medicaid global budget, terms for any second federal agreement); Act 68 compliance tracking (RBP FY2027, non-CAH global budgets FY2028,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closeout (cut to a cap near $10M, against the ~$138M originally expected, before Vermont’s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In progress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Underway as of November 2025</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Under CMS compliance notice</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received Dec 2025; planning underway</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Plans expected early 2026</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Organizational change requiring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OW-recommended; critical for plan development</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Enhanced primary-care payments — state/Medicaid-funded successor to the expired Medicare demo</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Replaces expiring Medicare demo</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non-CAH hospitals</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capital available</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Vermont’s December 2025 award; aligned with Acts 167 and 68</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collapse is the argument for this chapter in one number.</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provide another $138 million annually in Medicare performance funds for a state that invests in population health — a renegotiation cut that to a cap near $10 million before Vermont withdrew from AHEAD in July 2026. Federal capital is available for states that create the regulatory conditions that justify it. Vermont created those conditions.</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Technology for acuity management and transfers;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Acuity-management and transfer technology</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Acuity/transfer technology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$29M cancer center; Epic migration ($30M);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tele-neonatology</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Limited IT staff; depends on CIN shared services</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cardiology; tele-ICU</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ambient AI scribe (Coverys grant)</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SVMC Epic migration ($30M); CVMC/Porter acuity tech; Grace Cottage EMR interfaces and ambient AI scribe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Grace Cottage’s plan describes a process “from order to completion [that] is arduous and full of administrative waste,” relying on “antiquated and insecure technologies” 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published data — the highest in the state.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11-point white/BIPOC primary-care access gap,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Under CMS compliance notice (July 2026)</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($135M savings target)</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launches</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All are available to Strategist and Enterprise subscribers at healthtransformationreview.org.</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(13 PQI conditions);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(CPT 99453/99454/99457/99458,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State Health Transformation Rankings (50 states + DC); Hospital System VBC Maturity Index (30 systems); Payer Innovation Index (20 payers, 3-year trajectory).</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 Convergence Newsletter (free weekly) for Observer-tier; full analysis with Vermont commentary for Strategist and Enterprise.</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2-year data lag</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grants deployed;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certification in progress</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14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nearly forty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roughly 20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two now actually apply. The Rural Health Transformation Program provided Vermont $195M for its first year (2026), with amounts for 2027–2030 not yet published — capital funding intended for structural transformation, not operating-loss replacement, and explicitly time-limited. The AHEAD EAST Fund was to provide up to $138M per year to Vermont,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is, perversely, the first to move to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Vermont UHDS Transition Plan;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compliance landscape (estimated as of 2026). Sources: AHS Legislative Presentation January 2025; Vermont RHT Program Application; GMCB HIE connectivity criteria.</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ONC 21st Century Cures Rule;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silver marketplace premium trajectory 2018–2024, showing 108% increase over six years. Sources: Oliver Wyman Act 167 Report; GMCB analysis.</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available tools for Strategist and Enterprise subscribers.</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PMI Standard for Portfolio Management (5th ed.); Oliver Wyman Act 167 Report; AHS November 2025 Transformation Report.</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(5th ed.); PMBOK Guide 7th ed.; PMI Program Management Standard.</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Vermont’s portfolio risk register (PMI format). Risk score = probability (Low=1, Low–Med=2.5, Medium=3, Med–High=3.75, High=4) × impact (Low=1, Medium=3, High=4, Critical=5); hyphenated bands are scored at the midpoint. Sources: PMI Standard for Portfolio Management (5th ed.); analytical risk assessment throughout this book; AHS November 2025 Report.</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Benefits-realization plan. Sources: Act 167 of 2022; PMI Standard for Portfolio Management (5th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14 HSAs: regional profile and priority transformation challenges. Sources: Oliver Wyman Act 167 Report; Vermont RHT Program Application; AHS Transformation Reports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Sources: Act 68 of 2025; AHEAD State Agreement (January 2025);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