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2018–2024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 the one lever state law can pull, since federal law cannot compel insurers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pattern—auditor-documented 36% higher ED visits and 18% lower primary care visits than national peer ACOs.</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is mandatory for all Vermont hospitals beginning FY2027, and global budgets are mandatory beginning FY2028.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racial and ethnic gaps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(4 of 5 planned new entities certified July 1,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at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for the first mandatory all-payer price cap in modern Vermont history;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realistic assumptions (10% labor, 7-8%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 the more than $100 million in direct savings projected from administrative consolidation and shared services.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four of which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the Oliver Wyman benchmark GMCB is working from is 200% of Medicare or less.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order standing.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70+ models since 2010;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813">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The Maryland regulator quoted at the opening of this chapter described the result plainly: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released March 2027 for FY2028 rates; Act 68 hospital global budgets take effect FY2028</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non-CAH hospitals; Statewide Strategic Plan delivered January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global budgets take effect in FY2028.</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non-CAH global budgets take effect in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to be set by GMCB rule in March 2027, with 200% of Medicare the benchmark most often modeled — is the most specific mandatory statewide price ceiling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mandate is designed to achieve this across commercial payers and Medicaid by FY2028-2030, with Medicare alignment now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and North Country Hospital are among the facilities whose futures require further discussion as part of Vermont’s regionalization planning.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AI-scribe grants funded;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The ~$4–6.4M cost of a staffed PMO over four to five years is less than 2% of a single year of the value it protects — $195M a year in RHT funds and $300M+ a year in projected RBP savings.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$195M/yr in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one year’s value managed: $195M/yr RHT + $300M+/yr projected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