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8">
        <w:r>
          <w:t xml:space="preserve">The Vermont Clinically Integrated Network — A New Technology Institution</w:t>
        </w:r>
      </w:hyperlink>
      <w:r>
        <w:tab/>
      </w:r>
      <w:r>
        <w:fldChar w:fldCharType="begin"/>
      </w:r>
      <w:r>
        <w:instrText xml:space="preserve"> PAGEREF _Toc1128 \h </w:instrText>
      </w:r>
      <w:r>
        <w:fldChar w:fldCharType="separate"/>
      </w:r>
      <w:r>
        <w:t>1</w:t>
      </w:r>
      <w:r>
        <w:fldChar w:fldCharType="end"/>
      </w:r>
    </w:p>
    <w:p>
      <w:pPr>
        <w:pStyle w:val="TOC2"/>
      </w:pPr>
      <w:hyperlink w:anchor="_Toc1131">
        <w:r>
          <w:t xml:space="preserve">FHIR Interoperability — The National Standard and Vermont’s Compliance Path</w:t>
        </w:r>
      </w:hyperlink>
      <w:r>
        <w:tab/>
      </w:r>
      <w:r>
        <w:fldChar w:fldCharType="begin"/>
      </w:r>
      <w:r>
        <w:instrText xml:space="preserve"> PAGEREF _Toc1131 \h </w:instrText>
      </w:r>
      <w:r>
        <w:fldChar w:fldCharType="separate"/>
      </w:r>
      <w:r>
        <w:t>1</w:t>
      </w:r>
      <w:r>
        <w:fldChar w:fldCharType="end"/>
      </w:r>
    </w:p>
    <w:p>
      <w:pPr>
        <w:pStyle w:val="TOC2"/>
      </w:pPr>
      <w:hyperlink w:anchor="_Toc1134">
        <w:r>
          <w:t xml:space="preserve">AI and Digital Health Technologies — Vermont’s Targeted Investment Strategy</w:t>
        </w:r>
      </w:hyperlink>
      <w:r>
        <w:tab/>
      </w:r>
      <w:r>
        <w:fldChar w:fldCharType="begin"/>
      </w:r>
      <w:r>
        <w:instrText xml:space="preserve"> PAGEREF _Toc1134 \h </w:instrText>
      </w:r>
      <w:r>
        <w:fldChar w:fldCharType="separate"/>
      </w:r>
      <w:r>
        <w:t>1</w:t>
      </w:r>
      <w:r>
        <w:fldChar w:fldCharType="end"/>
      </w:r>
    </w:p>
    <w:p>
      <w:pPr>
        <w:pStyle w:val="TOC2"/>
      </w:pPr>
      <w:hyperlink w:anchor="_Toc1140">
        <w:r>
          <w:t xml:space="preserve">AI Governance — Vermont’s Responsibility Before the Risk Arrives</w:t>
        </w:r>
      </w:hyperlink>
      <w:r>
        <w:tab/>
      </w:r>
      <w:r>
        <w:fldChar w:fldCharType="begin"/>
      </w:r>
      <w:r>
        <w:instrText xml:space="preserve"> PAGEREF _Toc1140 \h </w:instrText>
      </w:r>
      <w:r>
        <w:fldChar w:fldCharType="separate"/>
      </w:r>
      <w:r>
        <w:t>1</w:t>
      </w:r>
      <w:r>
        <w:fldChar w:fldCharType="end"/>
      </w:r>
    </w:p>
    <w:p>
      <w:pPr>
        <w:pStyle w:val="TOC2"/>
      </w:pPr>
      <w:hyperlink w:anchor="_Toc1142">
        <w:r>
          <w:t xml:space="preserve">Vermont’s Target Technology Architecture — A Framework for the Strategic Plan</w:t>
        </w:r>
      </w:hyperlink>
      <w:r>
        <w:tab/>
      </w:r>
      <w:r>
        <w:fldChar w:fldCharType="begin"/>
      </w:r>
      <w:r>
        <w:instrText xml:space="preserve"> PAGEREF _Toc1142 \h </w:instrText>
      </w:r>
      <w:r>
        <w:fldChar w:fldCharType="separate"/>
      </w:r>
      <w:r>
        <w:t>1</w:t>
      </w:r>
      <w:r>
        <w:fldChar w:fldCharType="end"/>
      </w:r>
    </w:p>
    <w:p>
      <w:pPr>
        <w:pStyle w:val="TOC2"/>
      </w:pPr>
      <w:hyperlink w:anchor="_Toc1143">
        <w:r>
          <w:t xml:space="preserve">Work This Chapter on the Platform</w:t>
        </w:r>
      </w:hyperlink>
      <w:r>
        <w:tab/>
      </w:r>
      <w:r>
        <w:fldChar w:fldCharType="begin"/>
      </w:r>
      <w:r>
        <w:instrText xml:space="preserve"> PAGEREF _Toc1143 \h </w:instrText>
      </w:r>
      <w:r>
        <w:fldChar w:fldCharType="separate"/>
      </w:r>
      <w:r>
        <w:t>1</w:t>
      </w:r>
      <w:r>
        <w:fldChar w:fldCharType="end"/>
      </w:r>
    </w:p>
    <w:p>
      <w:pPr>
        <w:pStyle w:val="TOC2"/>
      </w:pPr>
      <w:hyperlink w:anchor="_Toc1144">
        <w:r>
          <w:t xml:space="preserve">Implications for You</w:t>
        </w:r>
      </w:hyperlink>
      <w:r>
        <w:tab/>
      </w:r>
      <w:r>
        <w:fldChar w:fldCharType="begin"/>
      </w:r>
      <w:r>
        <w:instrText xml:space="preserve"> PAGEREF _Toc1144 \h </w:instrText>
      </w:r>
      <w:r>
        <w:fldChar w:fldCharType="separate"/>
      </w:r>
      <w:r>
        <w:t>1</w:t>
      </w:r>
      <w:r>
        <w:fldChar w:fldCharType="end"/>
      </w:r>
    </w:p>
    <w:p>
      <w:pPr>
        <w:pStyle w:val="TOC2"/>
      </w:pPr>
      <w:hyperlink w:anchor="_Toc1145">
        <w:r>
          <w:t xml:space="preserve">Key Concepts in This Chapter</w:t>
        </w:r>
      </w:hyperlink>
      <w:r>
        <w:tab/>
      </w:r>
      <w:r>
        <w:fldChar w:fldCharType="begin"/>
      </w:r>
      <w:r>
        <w:instrText xml:space="preserve"> PAGEREF _Toc1145 \h </w:instrText>
      </w:r>
      <w:r>
        <w:fldChar w:fldCharType="separate"/>
      </w:r>
      <w:r>
        <w:t>1</w:t>
      </w:r>
      <w:r>
        <w:fldChar w:fldCharType="end"/>
      </w:r>
    </w:p>
    <w:p>
      <w:pPr>
        <w:pStyle w:val="TOC1"/>
      </w:pPr>
      <w:hyperlink w:anchor="_Toc1146">
        <w:r>
          <w:t xml:space="preserve">Chapter 5: The Technology Pillar in Practice — FHIR, AI Governance, and Clinical Decision Support</w:t>
        </w:r>
      </w:hyperlink>
      <w:r>
        <w:tab/>
      </w:r>
      <w:r>
        <w:fldChar w:fldCharType="begin"/>
      </w:r>
      <w:r>
        <w:instrText xml:space="preserve"> PAGEREF _Toc1146 \h </w:instrText>
      </w:r>
      <w:r>
        <w:fldChar w:fldCharType="separate"/>
      </w:r>
      <w:r>
        <w:t>1</w:t>
      </w:r>
      <w:r>
        <w:fldChar w:fldCharType="end"/>
      </w:r>
    </w:p>
    <w:p>
      <w:pPr>
        <w:pStyle w:val="TOC2"/>
      </w:pPr>
      <w:hyperlink w:anchor="_Toc1147">
        <w:r>
          <w:t xml:space="preserve">From Architecture to Implementation</w:t>
        </w:r>
      </w:hyperlink>
      <w:r>
        <w:tab/>
      </w:r>
      <w:r>
        <w:fldChar w:fldCharType="begin"/>
      </w:r>
      <w:r>
        <w:instrText xml:space="preserve"> PAGEREF _Toc1147 \h </w:instrText>
      </w:r>
      <w:r>
        <w:fldChar w:fldCharType="separate"/>
      </w:r>
      <w:r>
        <w:t>1</w:t>
      </w:r>
      <w:r>
        <w:fldChar w:fldCharType="end"/>
      </w:r>
    </w:p>
    <w:p>
      <w:pPr>
        <w:pStyle w:val="TOC2"/>
      </w:pPr>
      <w:hyperlink w:anchor="_Toc1148">
        <w:r>
          <w:t xml:space="preserve">FHIR Implementation — From Standard to Working System</w:t>
        </w:r>
      </w:hyperlink>
      <w:r>
        <w:tab/>
      </w:r>
      <w:r>
        <w:fldChar w:fldCharType="begin"/>
      </w:r>
      <w:r>
        <w:instrText xml:space="preserve"> PAGEREF _Toc1148 \h </w:instrText>
      </w:r>
      <w:r>
        <w:fldChar w:fldCharType="separate"/>
      </w:r>
      <w:r>
        <w:t>1</w:t>
      </w:r>
      <w:r>
        <w:fldChar w:fldCharType="end"/>
      </w:r>
    </w:p>
    <w:p>
      <w:pPr>
        <w:pStyle w:val="TOC2"/>
      </w:pPr>
      <w:hyperlink w:anchor="_Toc1152">
        <w:r>
          <w:t xml:space="preserve">AI Clinical Governance — The Complete Framework</w:t>
        </w:r>
      </w:hyperlink>
      <w:r>
        <w:tab/>
      </w:r>
      <w:r>
        <w:fldChar w:fldCharType="begin"/>
      </w:r>
      <w:r>
        <w:instrText xml:space="preserve"> PAGEREF _Toc1152 \h </w:instrText>
      </w:r>
      <w:r>
        <w:fldChar w:fldCharType="separate"/>
      </w:r>
      <w:r>
        <w:t>1</w:t>
      </w:r>
      <w:r>
        <w:fldChar w:fldCharType="end"/>
      </w:r>
    </w:p>
    <w:p>
      <w:pPr>
        <w:pStyle w:val="TOC2"/>
      </w:pPr>
      <w:hyperlink w:anchor="_Toc1159">
        <w:r>
          <w:t xml:space="preserve">Clinical Decision Support — From Alerts to Intelligence</w:t>
        </w:r>
      </w:hyperlink>
      <w:r>
        <w:tab/>
      </w:r>
      <w:r>
        <w:fldChar w:fldCharType="begin"/>
      </w:r>
      <w:r>
        <w:instrText xml:space="preserve"> PAGEREF _Toc1159 \h </w:instrText>
      </w:r>
      <w:r>
        <w:fldChar w:fldCharType="separate"/>
      </w:r>
      <w:r>
        <w:t>1</w:t>
      </w:r>
      <w:r>
        <w:fldChar w:fldCharType="end"/>
      </w:r>
    </w:p>
    <w:p>
      <w:pPr>
        <w:pStyle w:val="TOC2"/>
      </w:pPr>
      <w:hyperlink w:anchor="_Toc1162">
        <w:r>
          <w:t xml:space="preserve">Cybersecurity in Rural Health Infrastructure</w:t>
        </w:r>
      </w:hyperlink>
      <w:r>
        <w:tab/>
      </w:r>
      <w:r>
        <w:fldChar w:fldCharType="begin"/>
      </w:r>
      <w:r>
        <w:instrText xml:space="preserve"> PAGEREF _Toc1162 \h </w:instrText>
      </w:r>
      <w:r>
        <w:fldChar w:fldCharType="separate"/>
      </w:r>
      <w:r>
        <w:t>1</w:t>
      </w:r>
      <w:r>
        <w:fldChar w:fldCharType="end"/>
      </w:r>
    </w:p>
    <w:p>
      <w:pPr>
        <w:pStyle w:val="TOC2"/>
      </w:pPr>
      <w:hyperlink w:anchor="_Toc1164">
        <w:r>
          <w:t xml:space="preserve">Technology Pillar Implementation Matrix</w:t>
        </w:r>
      </w:hyperlink>
      <w:r>
        <w:tab/>
      </w:r>
      <w:r>
        <w:fldChar w:fldCharType="begin"/>
      </w:r>
      <w:r>
        <w:instrText xml:space="preserve"> PAGEREF _Toc1164 \h </w:instrText>
      </w:r>
      <w:r>
        <w:fldChar w:fldCharType="separate"/>
      </w:r>
      <w:r>
        <w:t>1</w:t>
      </w:r>
      <w:r>
        <w:fldChar w:fldCharType="end"/>
      </w:r>
    </w:p>
    <w:p>
      <w:pPr>
        <w:pStyle w:val="TOC2"/>
      </w:pPr>
      <w:hyperlink w:anchor="_Toc1165">
        <w:r>
          <w:t xml:space="preserve">Work This Chapter on the Platform</w:t>
        </w:r>
      </w:hyperlink>
      <w:r>
        <w:tab/>
      </w:r>
      <w:r>
        <w:fldChar w:fldCharType="begin"/>
      </w:r>
      <w:r>
        <w:instrText xml:space="preserve"> PAGEREF _Toc1165 \h </w:instrText>
      </w:r>
      <w:r>
        <w:fldChar w:fldCharType="separate"/>
      </w:r>
      <w:r>
        <w:t>1</w:t>
      </w:r>
      <w:r>
        <w:fldChar w:fldCharType="end"/>
      </w:r>
    </w:p>
    <w:p>
      <w:pPr>
        <w:pStyle w:val="TOC2"/>
      </w:pPr>
      <w:hyperlink w:anchor="_Toc1166">
        <w:r>
          <w:t xml:space="preserve">Implications for You</w:t>
        </w:r>
      </w:hyperlink>
      <w:r>
        <w:tab/>
      </w:r>
      <w:r>
        <w:fldChar w:fldCharType="begin"/>
      </w:r>
      <w:r>
        <w:instrText xml:space="preserve"> PAGEREF _Toc1166 \h </w:instrText>
      </w:r>
      <w:r>
        <w:fldChar w:fldCharType="separate"/>
      </w:r>
      <w:r>
        <w:t>1</w:t>
      </w:r>
      <w:r>
        <w:fldChar w:fldCharType="end"/>
      </w:r>
    </w:p>
    <w:p>
      <w:pPr>
        <w:pStyle w:val="TOC2"/>
      </w:pPr>
      <w:hyperlink w:anchor="_Toc1167">
        <w:r>
          <w:t xml:space="preserve">Key Concepts in This Chapter</w:t>
        </w:r>
      </w:hyperlink>
      <w:r>
        <w:tab/>
      </w:r>
      <w:r>
        <w:fldChar w:fldCharType="begin"/>
      </w:r>
      <w:r>
        <w:instrText xml:space="preserve"> PAGEREF _Toc1167 \h </w:instrText>
      </w:r>
      <w:r>
        <w:fldChar w:fldCharType="separate"/>
      </w:r>
      <w:r>
        <w:t>1</w:t>
      </w:r>
      <w:r>
        <w:fldChar w:fldCharType="end"/>
      </w:r>
    </w:p>
    <w:p>
      <w:pPr>
        <w:pStyle w:val="TOC1"/>
      </w:pPr>
      <w:hyperlink w:anchor="_Toc1168">
        <w:r>
          <w:t xml:space="preserve">Chapter 6: The Economics Pillar — Global Budgets, Reference-Based Pricing, and Financial Reform</w:t>
        </w:r>
      </w:hyperlink>
      <w:r>
        <w:tab/>
      </w:r>
      <w:r>
        <w:fldChar w:fldCharType="begin"/>
      </w:r>
      <w:r>
        <w:instrText xml:space="preserve"> PAGEREF _Toc1168 \h </w:instrText>
      </w:r>
      <w:r>
        <w:fldChar w:fldCharType="separate"/>
      </w:r>
      <w:r>
        <w:t>1</w:t>
      </w:r>
      <w:r>
        <w:fldChar w:fldCharType="end"/>
      </w:r>
    </w:p>
    <w:p>
      <w:pPr>
        <w:pStyle w:val="TOC2"/>
      </w:pPr>
      <w:hyperlink w:anchor="_Toc1169">
        <w:r>
          <w:t xml:space="preserve">The Economics Pillar: Why Payment Reform Is the Master Variable</w:t>
        </w:r>
      </w:hyperlink>
      <w:r>
        <w:tab/>
      </w:r>
      <w:r>
        <w:fldChar w:fldCharType="begin"/>
      </w:r>
      <w:r>
        <w:instrText xml:space="preserve"> PAGEREF _Toc1169 \h </w:instrText>
      </w:r>
      <w:r>
        <w:fldChar w:fldCharType="separate"/>
      </w:r>
      <w:r>
        <w:t>1</w:t>
      </w:r>
      <w:r>
        <w:fldChar w:fldCharType="end"/>
      </w:r>
    </w:p>
    <w:p>
      <w:pPr>
        <w:pStyle w:val="TOC2"/>
      </w:pPr>
      <w:hyperlink w:anchor="_Toc1170">
        <w:r>
          <w:t xml:space="preserve">The Fee-for-Service Trap — Why the Current System Fails</w:t>
        </w:r>
      </w:hyperlink>
      <w:r>
        <w:tab/>
      </w:r>
      <w:r>
        <w:fldChar w:fldCharType="begin"/>
      </w:r>
      <w:r>
        <w:instrText xml:space="preserve"> PAGEREF _Toc1170 \h </w:instrText>
      </w:r>
      <w:r>
        <w:fldChar w:fldCharType="separate"/>
      </w:r>
      <w:r>
        <w:t>1</w:t>
      </w:r>
      <w:r>
        <w:fldChar w:fldCharType="end"/>
      </w:r>
    </w:p>
    <w:p>
      <w:pPr>
        <w:pStyle w:val="TOC2"/>
      </w:pPr>
      <w:hyperlink w:anchor="_Toc1174">
        <w:r>
          <w:t xml:space="preserve">Reference-Based Pricing — Mechanics, Evidence, and Vermont’s Design</w:t>
        </w:r>
      </w:hyperlink>
      <w:r>
        <w:tab/>
      </w:r>
      <w:r>
        <w:fldChar w:fldCharType="begin"/>
      </w:r>
      <w:r>
        <w:instrText xml:space="preserve"> PAGEREF _Toc1174 \h </w:instrText>
      </w:r>
      <w:r>
        <w:fldChar w:fldCharType="separate"/>
      </w:r>
      <w:r>
        <w:t>1</w:t>
      </w:r>
      <w:r>
        <w:fldChar w:fldCharType="end"/>
      </w:r>
    </w:p>
    <w:p>
      <w:pPr>
        <w:pStyle w:val="TOC2"/>
      </w:pPr>
      <w:hyperlink w:anchor="_Toc1179">
        <w:r>
          <w:t xml:space="preserve">Hospital Global Budgets — Architecture, History, and Vermont’s Mandate</w:t>
        </w:r>
      </w:hyperlink>
      <w:r>
        <w:tab/>
      </w:r>
      <w:r>
        <w:fldChar w:fldCharType="begin"/>
      </w:r>
      <w:r>
        <w:instrText xml:space="preserve"> PAGEREF _Toc1179 \h </w:instrText>
      </w:r>
      <w:r>
        <w:fldChar w:fldCharType="separate"/>
      </w:r>
      <w:r>
        <w:t>1</w:t>
      </w:r>
      <w:r>
        <w:fldChar w:fldCharType="end"/>
      </w:r>
    </w:p>
    <w:p>
      <w:pPr>
        <w:pStyle w:val="TOC2"/>
      </w:pPr>
      <w:hyperlink w:anchor="_Toc1183">
        <w:r>
          <w:t xml:space="preserve">Maryland — A Decade of Global Budget Evidence</w:t>
        </w:r>
      </w:hyperlink>
      <w:r>
        <w:tab/>
      </w:r>
      <w:r>
        <w:fldChar w:fldCharType="begin"/>
      </w:r>
      <w:r>
        <w:instrText xml:space="preserve"> PAGEREF _Toc1183 \h </w:instrText>
      </w:r>
      <w:r>
        <w:fldChar w:fldCharType="separate"/>
      </w:r>
      <w:r>
        <w:t>1</w:t>
      </w:r>
      <w:r>
        <w:fldChar w:fldCharType="end"/>
      </w:r>
    </w:p>
    <w:p>
      <w:pPr>
        <w:pStyle w:val="TOC2"/>
      </w:pPr>
      <w:hyperlink w:anchor="_Toc1188">
        <w:r>
          <w:t xml:space="preserve">The AHEAD Model — Medicare’s Entry into Vermont’s Reform</w:t>
        </w:r>
      </w:hyperlink>
      <w:r>
        <w:tab/>
      </w:r>
      <w:r>
        <w:fldChar w:fldCharType="begin"/>
      </w:r>
      <w:r>
        <w:instrText xml:space="preserve"> PAGEREF _Toc1188 \h </w:instrText>
      </w:r>
      <w:r>
        <w:fldChar w:fldCharType="separate"/>
      </w:r>
      <w:r>
        <w:t>1</w:t>
      </w:r>
      <w:r>
        <w:fldChar w:fldCharType="end"/>
      </w:r>
    </w:p>
    <w:p>
      <w:pPr>
        <w:pStyle w:val="TOC2"/>
      </w:pPr>
      <w:hyperlink w:anchor="_Toc1191">
        <w:r>
          <w:t xml:space="preserve">Hospital Financial Modeling — Reading the Numbers That Matter</w:t>
        </w:r>
      </w:hyperlink>
      <w:r>
        <w:tab/>
      </w:r>
      <w:r>
        <w:fldChar w:fldCharType="begin"/>
      </w:r>
      <w:r>
        <w:instrText xml:space="preserve"> PAGEREF _Toc1191 \h </w:instrText>
      </w:r>
      <w:r>
        <w:fldChar w:fldCharType="separate"/>
      </w:r>
      <w:r>
        <w:t>1</w:t>
      </w:r>
      <w:r>
        <w:fldChar w:fldCharType="end"/>
      </w:r>
    </w:p>
    <w:p>
      <w:pPr>
        <w:pStyle w:val="TOC2"/>
      </w:pPr>
      <w:hyperlink w:anchor="_Toc1195">
        <w:r>
          <w:t xml:space="preserve">APM Transition Strategy for Vermont Healthcare Organizations</w:t>
        </w:r>
      </w:hyperlink>
      <w:r>
        <w:tab/>
      </w:r>
      <w:r>
        <w:fldChar w:fldCharType="begin"/>
      </w:r>
      <w:r>
        <w:instrText xml:space="preserve"> PAGEREF _Toc1195 \h </w:instrText>
      </w:r>
      <w:r>
        <w:fldChar w:fldCharType="separate"/>
      </w:r>
      <w:r>
        <w:t>1</w:t>
      </w:r>
      <w:r>
        <w:fldChar w:fldCharType="end"/>
      </w:r>
    </w:p>
    <w:p>
      <w:pPr>
        <w:pStyle w:val="TOC2"/>
      </w:pPr>
      <w:hyperlink w:anchor="_Toc1198">
        <w:r>
          <w:t xml:space="preserve">Work This Chapter on the Platform</w:t>
        </w:r>
      </w:hyperlink>
      <w:r>
        <w:tab/>
      </w:r>
      <w:r>
        <w:fldChar w:fldCharType="begin"/>
      </w:r>
      <w:r>
        <w:instrText xml:space="preserve"> PAGEREF _Toc1198 \h </w:instrText>
      </w:r>
      <w:r>
        <w:fldChar w:fldCharType="separate"/>
      </w:r>
      <w:r>
        <w:t>1</w:t>
      </w:r>
      <w:r>
        <w:fldChar w:fldCharType="end"/>
      </w:r>
    </w:p>
    <w:p>
      <w:pPr>
        <w:pStyle w:val="TOC2"/>
      </w:pPr>
      <w:hyperlink w:anchor="_Toc1199">
        <w:r>
          <w:t xml:space="preserve">Implications for You</w:t>
        </w:r>
      </w:hyperlink>
      <w:r>
        <w:tab/>
      </w:r>
      <w:r>
        <w:fldChar w:fldCharType="begin"/>
      </w:r>
      <w:r>
        <w:instrText xml:space="preserve"> PAGEREF _Toc1199 \h </w:instrText>
      </w:r>
      <w:r>
        <w:fldChar w:fldCharType="separate"/>
      </w:r>
      <w:r>
        <w:t>1</w:t>
      </w:r>
      <w:r>
        <w:fldChar w:fldCharType="end"/>
      </w:r>
    </w:p>
    <w:p>
      <w:pPr>
        <w:pStyle w:val="TOC2"/>
      </w:pPr>
      <w:hyperlink w:anchor="_Toc1200">
        <w:r>
          <w:t xml:space="preserve">Key Concepts in This Chapter</w:t>
        </w:r>
      </w:hyperlink>
      <w:r>
        <w:tab/>
      </w:r>
      <w:r>
        <w:fldChar w:fldCharType="begin"/>
      </w:r>
      <w:r>
        <w:instrText xml:space="preserve"> PAGEREF _Toc1200 \h </w:instrText>
      </w:r>
      <w:r>
        <w:fldChar w:fldCharType="separate"/>
      </w:r>
      <w:r>
        <w:t>1</w:t>
      </w:r>
      <w:r>
        <w:fldChar w:fldCharType="end"/>
      </w:r>
    </w:p>
    <w:p>
      <w:pPr>
        <w:pStyle w:val="TOC1"/>
      </w:pPr>
      <w:hyperlink w:anchor="_Toc1201">
        <w:r>
          <w:t xml:space="preserve">Chapter 7: The Economics Pillar in Practice — VBC Financial Modeling and APM Readiness</w:t>
        </w:r>
      </w:hyperlink>
      <w:r>
        <w:tab/>
      </w:r>
      <w:r>
        <w:fldChar w:fldCharType="begin"/>
      </w:r>
      <w:r>
        <w:instrText xml:space="preserve"> PAGEREF _Toc1201 \h </w:instrText>
      </w:r>
      <w:r>
        <w:fldChar w:fldCharType="separate"/>
      </w:r>
      <w:r>
        <w:t>1</w:t>
      </w:r>
      <w:r>
        <w:fldChar w:fldCharType="end"/>
      </w:r>
    </w:p>
    <w:p>
      <w:pPr>
        <w:pStyle w:val="TOC2"/>
      </w:pPr>
      <w:hyperlink w:anchor="_Toc1202">
        <w:r>
          <w:t xml:space="preserve">From Payment Architecture to Financial Practice</w:t>
        </w:r>
      </w:hyperlink>
      <w:r>
        <w:tab/>
      </w:r>
      <w:r>
        <w:fldChar w:fldCharType="begin"/>
      </w:r>
      <w:r>
        <w:instrText xml:space="preserve"> PAGEREF _Toc1202 \h </w:instrText>
      </w:r>
      <w:r>
        <w:fldChar w:fldCharType="separate"/>
      </w:r>
      <w:r>
        <w:t>1</w:t>
      </w:r>
      <w:r>
        <w:fldChar w:fldCharType="end"/>
      </w:r>
    </w:p>
    <w:p>
      <w:pPr>
        <w:pStyle w:val="TOC2"/>
      </w:pPr>
      <w:hyperlink w:anchor="_Toc1203">
        <w:r>
          <w:t xml:space="preserve">The APM Financial Modeling Framework</w:t>
        </w:r>
      </w:hyperlink>
      <w:r>
        <w:tab/>
      </w:r>
      <w:r>
        <w:fldChar w:fldCharType="begin"/>
      </w:r>
      <w:r>
        <w:instrText xml:space="preserve"> PAGEREF _Toc1203 \h </w:instrText>
      </w:r>
      <w:r>
        <w:fldChar w:fldCharType="separate"/>
      </w:r>
      <w:r>
        <w:t>1</w:t>
      </w:r>
      <w:r>
        <w:fldChar w:fldCharType="end"/>
      </w:r>
    </w:p>
    <w:p>
      <w:pPr>
        <w:pStyle w:val="TOC2"/>
      </w:pPr>
      <w:hyperlink w:anchor="_Toc1211">
        <w:r>
          <w:t xml:space="preserve">Economics Pillar Implementation Matrix</w:t>
        </w:r>
      </w:hyperlink>
      <w:r>
        <w:tab/>
      </w:r>
      <w:r>
        <w:fldChar w:fldCharType="begin"/>
      </w:r>
      <w:r>
        <w:instrText xml:space="preserve"> PAGEREF _Toc1211 \h </w:instrText>
      </w:r>
      <w:r>
        <w:fldChar w:fldCharType="separate"/>
      </w:r>
      <w:r>
        <w:t>1</w:t>
      </w:r>
      <w:r>
        <w:fldChar w:fldCharType="end"/>
      </w:r>
    </w:p>
    <w:p>
      <w:pPr>
        <w:pStyle w:val="TOC2"/>
      </w:pPr>
      <w:hyperlink w:anchor="_Toc1212">
        <w:r>
          <w:t xml:space="preserve">APM Readiness Assessment — The 30-Dimension Framework</w:t>
        </w:r>
      </w:hyperlink>
      <w:r>
        <w:tab/>
      </w:r>
      <w:r>
        <w:fldChar w:fldCharType="begin"/>
      </w:r>
      <w:r>
        <w:instrText xml:space="preserve"> PAGEREF _Toc1212 \h </w:instrText>
      </w:r>
      <w:r>
        <w:fldChar w:fldCharType="separate"/>
      </w:r>
      <w:r>
        <w:t>1</w:t>
      </w:r>
      <w:r>
        <w:fldChar w:fldCharType="end"/>
      </w:r>
    </w:p>
    <w:p>
      <w:pPr>
        <w:pStyle w:val="TOC2"/>
      </w:pPr>
      <w:hyperlink w:anchor="_Toc1215">
        <w:r>
          <w:t xml:space="preserve">Contract Analysis — Reading an APM Contract for Financial Risk</w:t>
        </w:r>
      </w:hyperlink>
      <w:r>
        <w:tab/>
      </w:r>
      <w:r>
        <w:fldChar w:fldCharType="begin"/>
      </w:r>
      <w:r>
        <w:instrText xml:space="preserve"> PAGEREF _Toc1215 \h </w:instrText>
      </w:r>
      <w:r>
        <w:fldChar w:fldCharType="separate"/>
      </w:r>
      <w:r>
        <w:t>1</w:t>
      </w:r>
      <w:r>
        <w:fldChar w:fldCharType="end"/>
      </w:r>
    </w:p>
    <w:p>
      <w:pPr>
        <w:pStyle w:val="TOC2"/>
      </w:pPr>
      <w:hyperlink w:anchor="_Toc1217">
        <w:r>
          <w:t xml:space="preserve">Hospital Financial Modeling Under Global Budgets — The Vermont Framework</w:t>
        </w:r>
      </w:hyperlink>
      <w:r>
        <w:tab/>
      </w:r>
      <w:r>
        <w:fldChar w:fldCharType="begin"/>
      </w:r>
      <w:r>
        <w:instrText xml:space="preserve"> PAGEREF _Toc1217 \h </w:instrText>
      </w:r>
      <w:r>
        <w:fldChar w:fldCharType="separate"/>
      </w:r>
      <w:r>
        <w:t>1</w:t>
      </w:r>
      <w:r>
        <w:fldChar w:fldCharType="end"/>
      </w:r>
    </w:p>
    <w:p>
      <w:pPr>
        <w:pStyle w:val="TOC2"/>
      </w:pPr>
      <w:hyperlink w:anchor="_Toc1220">
        <w:r>
          <w:t xml:space="preserve">The ROI of Transformation — Building the Financial Case</w:t>
        </w:r>
      </w:hyperlink>
      <w:r>
        <w:tab/>
      </w:r>
      <w:r>
        <w:fldChar w:fldCharType="begin"/>
      </w:r>
      <w:r>
        <w:instrText xml:space="preserve"> PAGEREF _Toc1220 \h </w:instrText>
      </w:r>
      <w:r>
        <w:fldChar w:fldCharType="separate"/>
      </w:r>
      <w:r>
        <w:t>1</w:t>
      </w:r>
      <w:r>
        <w:fldChar w:fldCharType="end"/>
      </w:r>
    </w:p>
    <w:p>
      <w:pPr>
        <w:pStyle w:val="TOC2"/>
      </w:pPr>
      <w:hyperlink w:anchor="_Toc1222">
        <w:r>
          <w:t xml:space="preserve">Making Care Primary — Vermont’s Primary Care Economics</w:t>
        </w:r>
      </w:hyperlink>
      <w:r>
        <w:tab/>
      </w:r>
      <w:r>
        <w:fldChar w:fldCharType="begin"/>
      </w:r>
      <w:r>
        <w:instrText xml:space="preserve"> PAGEREF _Toc1222 \h </w:instrText>
      </w:r>
      <w:r>
        <w:fldChar w:fldCharType="separate"/>
      </w:r>
      <w:r>
        <w:t>1</w:t>
      </w:r>
      <w:r>
        <w:fldChar w:fldCharType="end"/>
      </w:r>
    </w:p>
    <w:p>
      <w:pPr>
        <w:pStyle w:val="TOC2"/>
      </w:pPr>
      <w:hyperlink w:anchor="_Toc1223">
        <w:r>
          <w:t xml:space="preserve">Work This Chapter on the Platform</w:t>
        </w:r>
      </w:hyperlink>
      <w:r>
        <w:tab/>
      </w:r>
      <w:r>
        <w:fldChar w:fldCharType="begin"/>
      </w:r>
      <w:r>
        <w:instrText xml:space="preserve"> PAGEREF _Toc1223 \h </w:instrText>
      </w:r>
      <w:r>
        <w:fldChar w:fldCharType="separate"/>
      </w:r>
      <w:r>
        <w:t>1</w:t>
      </w:r>
      <w:r>
        <w:fldChar w:fldCharType="end"/>
      </w:r>
    </w:p>
    <w:p>
      <w:pPr>
        <w:pStyle w:val="TOC2"/>
      </w:pPr>
      <w:hyperlink w:anchor="_Toc1224">
        <w:r>
          <w:t xml:space="preserve">Implications for You</w:t>
        </w:r>
      </w:hyperlink>
      <w:r>
        <w:tab/>
      </w:r>
      <w:r>
        <w:fldChar w:fldCharType="begin"/>
      </w:r>
      <w:r>
        <w:instrText xml:space="preserve"> PAGEREF _Toc1224 \h </w:instrText>
      </w:r>
      <w:r>
        <w:fldChar w:fldCharType="separate"/>
      </w:r>
      <w:r>
        <w:t>1</w:t>
      </w:r>
      <w:r>
        <w:fldChar w:fldCharType="end"/>
      </w:r>
    </w:p>
    <w:p>
      <w:pPr>
        <w:pStyle w:val="TOC2"/>
      </w:pPr>
      <w:hyperlink w:anchor="_Toc1225">
        <w:r>
          <w:t xml:space="preserve">Key Concepts in This Chapter</w:t>
        </w:r>
      </w:hyperlink>
      <w:r>
        <w:tab/>
      </w:r>
      <w:r>
        <w:fldChar w:fldCharType="begin"/>
      </w:r>
      <w:r>
        <w:instrText xml:space="preserve"> PAGEREF _Toc1225 \h </w:instrText>
      </w:r>
      <w:r>
        <w:fldChar w:fldCharType="separate"/>
      </w:r>
      <w:r>
        <w:t>1</w:t>
      </w:r>
      <w:r>
        <w:fldChar w:fldCharType="end"/>
      </w:r>
    </w:p>
    <w:p>
      <w:pPr>
        <w:pStyle w:val="TOC1"/>
      </w:pPr>
      <w:hyperlink w:anchor="_Toc1226">
        <w:r>
          <w:t xml:space="preserve">Chapter 8: The Clinical Pillar — Redesigning Care Delivery for a Transformed System</w:t>
        </w:r>
      </w:hyperlink>
      <w:r>
        <w:tab/>
      </w:r>
      <w:r>
        <w:fldChar w:fldCharType="begin"/>
      </w:r>
      <w:r>
        <w:instrText xml:space="preserve"> PAGEREF _Toc1226 \h </w:instrText>
      </w:r>
      <w:r>
        <w:fldChar w:fldCharType="separate"/>
      </w:r>
      <w:r>
        <w:t>1</w:t>
      </w:r>
      <w:r>
        <w:fldChar w:fldCharType="end"/>
      </w:r>
    </w:p>
    <w:p>
      <w:pPr>
        <w:pStyle w:val="TOC2"/>
      </w:pPr>
      <w:hyperlink w:anchor="_Toc1227">
        <w:r>
          <w:t xml:space="preserve">The Clinical Pillar: What It Is and Why It Is Not the Same as Clinical Quality</w:t>
        </w:r>
      </w:hyperlink>
      <w:r>
        <w:tab/>
      </w:r>
      <w:r>
        <w:fldChar w:fldCharType="begin"/>
      </w:r>
      <w:r>
        <w:instrText xml:space="preserve"> PAGEREF _Toc1227 \h </w:instrText>
      </w:r>
      <w:r>
        <w:fldChar w:fldCharType="separate"/>
      </w:r>
      <w:r>
        <w:t>1</w:t>
      </w:r>
      <w:r>
        <w:fldChar w:fldCharType="end"/>
      </w:r>
    </w:p>
    <w:p>
      <w:pPr>
        <w:pStyle w:val="TOC2"/>
      </w:pPr>
      <w:hyperlink w:anchor="_Toc1228">
        <w:r>
          <w:t xml:space="preserve">The Vermont Blueprint for Health — Two Decades of Primary Care Transformation</w:t>
        </w:r>
      </w:hyperlink>
      <w:r>
        <w:tab/>
      </w:r>
      <w:r>
        <w:fldChar w:fldCharType="begin"/>
      </w:r>
      <w:r>
        <w:instrText xml:space="preserve"> PAGEREF _Toc1228 \h </w:instrText>
      </w:r>
      <w:r>
        <w:fldChar w:fldCharType="separate"/>
      </w:r>
      <w:r>
        <w:t>1</w:t>
      </w:r>
      <w:r>
        <w:fldChar w:fldCharType="end"/>
      </w:r>
    </w:p>
    <w:p>
      <w:pPr>
        <w:pStyle w:val="TOC2"/>
      </w:pPr>
      <w:hyperlink w:anchor="_Toc1232">
        <w:r>
          <w:t xml:space="preserve">The Behavioral Health Crisis — Vermont’s Most Urgent Clinical Challenge</w:t>
        </w:r>
      </w:hyperlink>
      <w:r>
        <w:tab/>
      </w:r>
      <w:r>
        <w:fldChar w:fldCharType="begin"/>
      </w:r>
      <w:r>
        <w:instrText xml:space="preserve"> PAGEREF _Toc1232 \h </w:instrText>
      </w:r>
      <w:r>
        <w:fldChar w:fldCharType="separate"/>
      </w:r>
      <w:r>
        <w:t>1</w:t>
      </w:r>
      <w:r>
        <w:fldChar w:fldCharType="end"/>
      </w:r>
    </w:p>
    <w:p>
      <w:pPr>
        <w:pStyle w:val="TOC2"/>
      </w:pPr>
      <w:hyperlink w:anchor="_Toc1236">
        <w:r>
          <w:t xml:space="preserve">Primary Care Redesign — Vermont’s Strategy for the Front Door</w:t>
        </w:r>
      </w:hyperlink>
      <w:r>
        <w:tab/>
      </w:r>
      <w:r>
        <w:fldChar w:fldCharType="begin"/>
      </w:r>
      <w:r>
        <w:instrText xml:space="preserve"> PAGEREF _Toc1236 \h </w:instrText>
      </w:r>
      <w:r>
        <w:fldChar w:fldCharType="separate"/>
      </w:r>
      <w:r>
        <w:t>1</w:t>
      </w:r>
      <w:r>
        <w:fldChar w:fldCharType="end"/>
      </w:r>
    </w:p>
    <w:p>
      <w:pPr>
        <w:pStyle w:val="TOC2"/>
      </w:pPr>
      <w:hyperlink w:anchor="_Toc1239">
        <w:r>
          <w:t xml:space="preserve">Vermont’s Clinical Quality Architecture — Measuring What Matters</w:t>
        </w:r>
      </w:hyperlink>
      <w:r>
        <w:tab/>
      </w:r>
      <w:r>
        <w:fldChar w:fldCharType="begin"/>
      </w:r>
      <w:r>
        <w:instrText xml:space="preserve"> PAGEREF _Toc1239 \h </w:instrText>
      </w:r>
      <w:r>
        <w:fldChar w:fldCharType="separate"/>
      </w:r>
      <w:r>
        <w:t>1</w:t>
      </w:r>
      <w:r>
        <w:fldChar w:fldCharType="end"/>
      </w:r>
    </w:p>
    <w:p>
      <w:pPr>
        <w:pStyle w:val="TOC2"/>
      </w:pPr>
      <w:hyperlink w:anchor="_Toc1241">
        <w:r>
          <w:t xml:space="preserve">Care for Vermont’s Aging Population — The Clinical Imperative</w:t>
        </w:r>
      </w:hyperlink>
      <w:r>
        <w:tab/>
      </w:r>
      <w:r>
        <w:fldChar w:fldCharType="begin"/>
      </w:r>
      <w:r>
        <w:instrText xml:space="preserve"> PAGEREF _Toc1241 \h </w:instrText>
      </w:r>
      <w:r>
        <w:fldChar w:fldCharType="separate"/>
      </w:r>
      <w:r>
        <w:t>1</w:t>
      </w:r>
      <w:r>
        <w:fldChar w:fldCharType="end"/>
      </w:r>
    </w:p>
    <w:p>
      <w:pPr>
        <w:pStyle w:val="TOC2"/>
      </w:pPr>
      <w:hyperlink w:anchor="_Toc1244">
        <w:r>
          <w:t xml:space="preserve">Clinical Pillar Implications for AHS’s Statewide Strategic Plan</w:t>
        </w:r>
      </w:hyperlink>
      <w:r>
        <w:tab/>
      </w:r>
      <w:r>
        <w:fldChar w:fldCharType="begin"/>
      </w:r>
      <w:r>
        <w:instrText xml:space="preserve"> PAGEREF _Toc1244 \h </w:instrText>
      </w:r>
      <w:r>
        <w:fldChar w:fldCharType="separate"/>
      </w:r>
      <w:r>
        <w:t>1</w:t>
      </w:r>
      <w:r>
        <w:fldChar w:fldCharType="end"/>
      </w:r>
    </w:p>
    <w:p>
      <w:pPr>
        <w:pStyle w:val="TOC2"/>
      </w:pPr>
      <w:hyperlink w:anchor="_Toc1245">
        <w:r>
          <w:t xml:space="preserve">Work This Chapter on the Platform</w:t>
        </w:r>
      </w:hyperlink>
      <w:r>
        <w:tab/>
      </w:r>
      <w:r>
        <w:fldChar w:fldCharType="begin"/>
      </w:r>
      <w:r>
        <w:instrText xml:space="preserve"> PAGEREF _Toc1245 \h </w:instrText>
      </w:r>
      <w:r>
        <w:fldChar w:fldCharType="separate"/>
      </w:r>
      <w:r>
        <w:t>1</w:t>
      </w:r>
      <w:r>
        <w:fldChar w:fldCharType="end"/>
      </w:r>
    </w:p>
    <w:p>
      <w:pPr>
        <w:pStyle w:val="TOC2"/>
      </w:pPr>
      <w:hyperlink w:anchor="_Toc1246">
        <w:r>
          <w:t xml:space="preserve">Implications for You</w:t>
        </w:r>
      </w:hyperlink>
      <w:r>
        <w:tab/>
      </w:r>
      <w:r>
        <w:fldChar w:fldCharType="begin"/>
      </w:r>
      <w:r>
        <w:instrText xml:space="preserve"> PAGEREF _Toc1246 \h </w:instrText>
      </w:r>
      <w:r>
        <w:fldChar w:fldCharType="separate"/>
      </w:r>
      <w:r>
        <w:t>1</w:t>
      </w:r>
      <w:r>
        <w:fldChar w:fldCharType="end"/>
      </w:r>
    </w:p>
    <w:p>
      <w:pPr>
        <w:pStyle w:val="TOC2"/>
      </w:pPr>
      <w:hyperlink w:anchor="_Toc1247">
        <w:r>
          <w:t xml:space="preserve">Key Concepts in This Chapter</w:t>
        </w:r>
      </w:hyperlink>
      <w:r>
        <w:tab/>
      </w:r>
      <w:r>
        <w:fldChar w:fldCharType="begin"/>
      </w:r>
      <w:r>
        <w:instrText xml:space="preserve"> PAGEREF _Toc1247 \h </w:instrText>
      </w:r>
      <w:r>
        <w:fldChar w:fldCharType="separate"/>
      </w:r>
      <w:r>
        <w:t>1</w:t>
      </w:r>
      <w:r>
        <w:fldChar w:fldCharType="end"/>
      </w:r>
    </w:p>
    <w:p>
      <w:pPr>
        <w:pStyle w:val="TOC1"/>
      </w:pPr>
      <w:hyperlink w:anchor="_Toc1248">
        <w:r>
          <w:t xml:space="preserve">Chapter 9: The Clinical Pillar in Practice — Care Model Implementation, Quality Mechanics, and the Vermont Clinical Transformation Toolkit</w:t>
        </w:r>
      </w:hyperlink>
      <w:r>
        <w:tab/>
      </w:r>
      <w:r>
        <w:fldChar w:fldCharType="begin"/>
      </w:r>
      <w:r>
        <w:instrText xml:space="preserve"> PAGEREF _Toc1248 \h </w:instrText>
      </w:r>
      <w:r>
        <w:fldChar w:fldCharType="separate"/>
      </w:r>
      <w:r>
        <w:t>1</w:t>
      </w:r>
      <w:r>
        <w:fldChar w:fldCharType="end"/>
      </w:r>
    </w:p>
    <w:p>
      <w:pPr>
        <w:pStyle w:val="TOC2"/>
      </w:pPr>
      <w:hyperlink w:anchor="_Toc1249">
        <w:r>
          <w:t xml:space="preserve">From Clinical Architecture to Clinical Practice</w:t>
        </w:r>
      </w:hyperlink>
      <w:r>
        <w:tab/>
      </w:r>
      <w:r>
        <w:fldChar w:fldCharType="begin"/>
      </w:r>
      <w:r>
        <w:instrText xml:space="preserve"> PAGEREF _Toc1249 \h </w:instrText>
      </w:r>
      <w:r>
        <w:fldChar w:fldCharType="separate"/>
      </w:r>
      <w:r>
        <w:t>1</w:t>
      </w:r>
      <w:r>
        <w:fldChar w:fldCharType="end"/>
      </w:r>
    </w:p>
    <w:p>
      <w:pPr>
        <w:pStyle w:val="TOC2"/>
      </w:pPr>
      <w:hyperlink w:anchor="_Toc1250">
        <w:r>
          <w:t xml:space="preserve">PCMH Transformation — The Blueprint Practice Implementation Playbook</w:t>
        </w:r>
      </w:hyperlink>
      <w:r>
        <w:tab/>
      </w:r>
      <w:r>
        <w:fldChar w:fldCharType="begin"/>
      </w:r>
      <w:r>
        <w:instrText xml:space="preserve"> PAGEREF _Toc1250 \h </w:instrText>
      </w:r>
      <w:r>
        <w:fldChar w:fldCharType="separate"/>
      </w:r>
      <w:r>
        <w:t>1</w:t>
      </w:r>
      <w:r>
        <w:fldChar w:fldCharType="end"/>
      </w:r>
    </w:p>
    <w:p>
      <w:pPr>
        <w:pStyle w:val="TOC2"/>
      </w:pPr>
      <w:hyperlink w:anchor="_Toc1254">
        <w:r>
          <w:t xml:space="preserve">Deploying the Collaborative Care Model — Operational Requirements</w:t>
        </w:r>
      </w:hyperlink>
      <w:r>
        <w:tab/>
      </w:r>
      <w:r>
        <w:fldChar w:fldCharType="begin"/>
      </w:r>
      <w:r>
        <w:instrText xml:space="preserve"> PAGEREF _Toc1254 \h </w:instrText>
      </w:r>
      <w:r>
        <w:fldChar w:fldCharType="separate"/>
      </w:r>
      <w:r>
        <w:t>1</w:t>
      </w:r>
      <w:r>
        <w:fldChar w:fldCharType="end"/>
      </w:r>
    </w:p>
    <w:p>
      <w:pPr>
        <w:pStyle w:val="TOC2"/>
      </w:pPr>
      <w:hyperlink w:anchor="_Toc1258">
        <w:r>
          <w:t xml:space="preserve">HEDIS Improvement Methodology — Vermont Context</w:t>
        </w:r>
      </w:hyperlink>
      <w:r>
        <w:tab/>
      </w:r>
      <w:r>
        <w:fldChar w:fldCharType="begin"/>
      </w:r>
      <w:r>
        <w:instrText xml:space="preserve"> PAGEREF _Toc1258 \h </w:instrText>
      </w:r>
      <w:r>
        <w:fldChar w:fldCharType="separate"/>
      </w:r>
      <w:r>
        <w:t>1</w:t>
      </w:r>
      <w:r>
        <w:fldChar w:fldCharType="end"/>
      </w:r>
    </w:p>
    <w:p>
      <w:pPr>
        <w:pStyle w:val="TOC2"/>
      </w:pPr>
      <w:hyperlink w:anchor="_Toc1261">
        <w:r>
          <w:t xml:space="preserve">The Clinical Data Infrastructure — Connecting Care to Population Health Management</w:t>
        </w:r>
      </w:hyperlink>
      <w:r>
        <w:tab/>
      </w:r>
      <w:r>
        <w:fldChar w:fldCharType="begin"/>
      </w:r>
      <w:r>
        <w:instrText xml:space="preserve"> PAGEREF _Toc1261 \h </w:instrText>
      </w:r>
      <w:r>
        <w:fldChar w:fldCharType="separate"/>
      </w:r>
      <w:r>
        <w:t>1</w:t>
      </w:r>
      <w:r>
        <w:fldChar w:fldCharType="end"/>
      </w:r>
    </w:p>
    <w:p>
      <w:pPr>
        <w:pStyle w:val="TOC2"/>
      </w:pPr>
      <w:hyperlink w:anchor="_Toc1264">
        <w:r>
          <w:t xml:space="preserve">The Care Transition Protocol — Closing the Loop Between Hospital and Community</w:t>
        </w:r>
      </w:hyperlink>
      <w:r>
        <w:tab/>
      </w:r>
      <w:r>
        <w:fldChar w:fldCharType="begin"/>
      </w:r>
      <w:r>
        <w:instrText xml:space="preserve"> PAGEREF _Toc1264 \h </w:instrText>
      </w:r>
      <w:r>
        <w:fldChar w:fldCharType="separate"/>
      </w:r>
      <w:r>
        <w:t>1</w:t>
      </w:r>
      <w:r>
        <w:fldChar w:fldCharType="end"/>
      </w:r>
    </w:p>
    <w:p>
      <w:pPr>
        <w:pStyle w:val="TOC2"/>
      </w:pPr>
      <w:hyperlink w:anchor="_Toc1265">
        <w:r>
          <w:t xml:space="preserve">Clinical Leadership in Transformation — The Under-Resourced Pillar</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Clinical Pillar Implementation Commitments for AHS’s Statewide Strategic Plan</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Clinical Pillar Implementation Matrix</w:t>
        </w:r>
      </w:hyperlink>
      <w:r>
        <w:tab/>
      </w:r>
      <w:r>
        <w:fldChar w:fldCharType="begin"/>
      </w:r>
      <w:r>
        <w:instrText xml:space="preserve"> PAGEREF _Toc1267 \h </w:instrText>
      </w:r>
      <w:r>
        <w:fldChar w:fldCharType="separate"/>
      </w:r>
      <w:r>
        <w:t>1</w:t>
      </w:r>
      <w:r>
        <w:fldChar w:fldCharType="end"/>
      </w:r>
    </w:p>
    <w:p>
      <w:pPr>
        <w:pStyle w:val="TOC2"/>
      </w:pPr>
      <w:hyperlink w:anchor="_Toc1268">
        <w:r>
          <w:t xml:space="preserve">Work This Chapter on the Platform</w:t>
        </w:r>
      </w:hyperlink>
      <w:r>
        <w:tab/>
      </w:r>
      <w:r>
        <w:fldChar w:fldCharType="begin"/>
      </w:r>
      <w:r>
        <w:instrText xml:space="preserve"> PAGEREF _Toc1268 \h </w:instrText>
      </w:r>
      <w:r>
        <w:fldChar w:fldCharType="separate"/>
      </w:r>
      <w:r>
        <w:t>1</w:t>
      </w:r>
      <w:r>
        <w:fldChar w:fldCharType="end"/>
      </w:r>
    </w:p>
    <w:p>
      <w:pPr>
        <w:pStyle w:val="TOC2"/>
      </w:pPr>
      <w:hyperlink w:anchor="_Toc1269">
        <w:r>
          <w:t xml:space="preserve">Implications for You</w:t>
        </w:r>
      </w:hyperlink>
      <w:r>
        <w:tab/>
      </w:r>
      <w:r>
        <w:fldChar w:fldCharType="begin"/>
      </w:r>
      <w:r>
        <w:instrText xml:space="preserve"> PAGEREF _Toc1269 \h </w:instrText>
      </w:r>
      <w:r>
        <w:fldChar w:fldCharType="separate"/>
      </w:r>
      <w:r>
        <w:t>1</w:t>
      </w:r>
      <w:r>
        <w:fldChar w:fldCharType="end"/>
      </w:r>
    </w:p>
    <w:p>
      <w:pPr>
        <w:pStyle w:val="TOC2"/>
      </w:pPr>
      <w:hyperlink w:anchor="_Toc1270">
        <w:r>
          <w:t xml:space="preserve">Key Concepts in This Chapter</w:t>
        </w:r>
      </w:hyperlink>
      <w:r>
        <w:tab/>
      </w:r>
      <w:r>
        <w:fldChar w:fldCharType="begin"/>
      </w:r>
      <w:r>
        <w:instrText xml:space="preserve"> PAGEREF _Toc1270 \h </w:instrText>
      </w:r>
      <w:r>
        <w:fldChar w:fldCharType="separate"/>
      </w:r>
      <w:r>
        <w:t>1</w:t>
      </w:r>
      <w:r>
        <w:fldChar w:fldCharType="end"/>
      </w:r>
    </w:p>
    <w:p>
      <w:pPr>
        <w:pStyle w:val="TOC1"/>
      </w:pPr>
      <w:hyperlink w:anchor="_Toc1271">
        <w:r>
          <w:t xml:space="preserve">Chapter 10: The Equity Pillar — Closing Gaps, Not Just Averaging Them</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The Equity Pillar: Why Average Outcomes Are the Wrong Target</w:t>
        </w:r>
      </w:hyperlink>
      <w:r>
        <w:tab/>
      </w:r>
      <w:r>
        <w:fldChar w:fldCharType="begin"/>
      </w:r>
      <w:r>
        <w:instrText xml:space="preserve"> PAGEREF _Toc1272 \h </w:instrText>
      </w:r>
      <w:r>
        <w:fldChar w:fldCharType="separate"/>
      </w:r>
      <w:r>
        <w:t>1</w:t>
      </w:r>
      <w:r>
        <w:fldChar w:fldCharType="end"/>
      </w:r>
    </w:p>
    <w:p>
      <w:pPr>
        <w:pStyle w:val="TOC2"/>
      </w:pPr>
      <w:hyperlink w:anchor="_Toc1273">
        <w:r>
          <w:t xml:space="preserve">Vermont’s Equity Landscape — What the Data Shows</w:t>
        </w:r>
      </w:hyperlink>
      <w:r>
        <w:tab/>
      </w:r>
      <w:r>
        <w:fldChar w:fldCharType="begin"/>
      </w:r>
      <w:r>
        <w:instrText xml:space="preserve"> PAGEREF _Toc1273 \h </w:instrText>
      </w:r>
      <w:r>
        <w:fldChar w:fldCharType="separate"/>
      </w:r>
      <w:r>
        <w:t>1</w:t>
      </w:r>
      <w:r>
        <w:fldChar w:fldCharType="end"/>
      </w:r>
    </w:p>
    <w:p>
      <w:pPr>
        <w:pStyle w:val="TOC2"/>
      </w:pPr>
      <w:hyperlink w:anchor="_Toc1277">
        <w:r>
          <w:t xml:space="preserve">The Disparity Root Cause Taxonomy — Why Vermont’s Equity Gaps Exist</w:t>
        </w:r>
      </w:hyperlink>
      <w:r>
        <w:tab/>
      </w:r>
      <w:r>
        <w:fldChar w:fldCharType="begin"/>
      </w:r>
      <w:r>
        <w:instrText xml:space="preserve"> PAGEREF _Toc1277 \h </w:instrText>
      </w:r>
      <w:r>
        <w:fldChar w:fldCharType="separate"/>
      </w:r>
      <w:r>
        <w:t>1</w:t>
      </w:r>
      <w:r>
        <w:fldChar w:fldCharType="end"/>
      </w:r>
    </w:p>
    <w:p>
      <w:pPr>
        <w:pStyle w:val="TOC2"/>
      </w:pPr>
      <w:hyperlink w:anchor="_Toc1278">
        <w:r>
          <w:t xml:space="preserve">Rural Equity — Vermont’s Defining Challenge</w:t>
        </w:r>
      </w:hyperlink>
      <w:r>
        <w:tab/>
      </w:r>
      <w:r>
        <w:fldChar w:fldCharType="begin"/>
      </w:r>
      <w:r>
        <w:instrText xml:space="preserve"> PAGEREF _Toc1278 \h </w:instrText>
      </w:r>
      <w:r>
        <w:fldChar w:fldCharType="separate"/>
      </w:r>
      <w:r>
        <w:t>1</w:t>
      </w:r>
      <w:r>
        <w:fldChar w:fldCharType="end"/>
      </w:r>
    </w:p>
    <w:p>
      <w:pPr>
        <w:pStyle w:val="TOC2"/>
      </w:pPr>
      <w:hyperlink w:anchor="_Toc1280">
        <w:r>
          <w:t xml:space="preserve">The GLP-1 Access Crisis — The Most Important New Equity Issue</w:t>
        </w:r>
      </w:hyperlink>
      <w:r>
        <w:tab/>
      </w:r>
      <w:r>
        <w:fldChar w:fldCharType="begin"/>
      </w:r>
      <w:r>
        <w:instrText xml:space="preserve"> PAGEREF _Toc1280 \h </w:instrText>
      </w:r>
      <w:r>
        <w:fldChar w:fldCharType="separate"/>
      </w:r>
      <w:r>
        <w:t>1</w:t>
      </w:r>
      <w:r>
        <w:fldChar w:fldCharType="end"/>
      </w:r>
    </w:p>
    <w:p>
      <w:pPr>
        <w:pStyle w:val="TOC2"/>
      </w:pPr>
      <w:hyperlink w:anchor="_Toc1284">
        <w:r>
          <w:t xml:space="preserve">Vermont’s Equity Architecture — What Is Already Built and What Remains</w:t>
        </w:r>
      </w:hyperlink>
      <w:r>
        <w:tab/>
      </w:r>
      <w:r>
        <w:fldChar w:fldCharType="begin"/>
      </w:r>
      <w:r>
        <w:instrText xml:space="preserve"> PAGEREF _Toc1284 \h </w:instrText>
      </w:r>
      <w:r>
        <w:fldChar w:fldCharType="separate"/>
      </w:r>
      <w:r>
        <w:t>1</w:t>
      </w:r>
      <w:r>
        <w:fldChar w:fldCharType="end"/>
      </w:r>
    </w:p>
    <w:p>
      <w:pPr>
        <w:pStyle w:val="TOC2"/>
      </w:pPr>
      <w:hyperlink w:anchor="_Toc1287">
        <w:r>
          <w:t xml:space="preserve">Equity and the Six-Pillar Framework — How Every Pillar Has an Equity Dimension</w:t>
        </w:r>
      </w:hyperlink>
      <w:r>
        <w:tab/>
      </w:r>
      <w:r>
        <w:fldChar w:fldCharType="begin"/>
      </w:r>
      <w:r>
        <w:instrText xml:space="preserve"> PAGEREF _Toc1287 \h </w:instrText>
      </w:r>
      <w:r>
        <w:fldChar w:fldCharType="separate"/>
      </w:r>
      <w:r>
        <w:t>1</w:t>
      </w:r>
      <w:r>
        <w:fldChar w:fldCharType="end"/>
      </w:r>
    </w:p>
    <w:p>
      <w:pPr>
        <w:pStyle w:val="TOC2"/>
      </w:pPr>
      <w:hyperlink w:anchor="_Toc1288">
        <w:r>
          <w:t xml:space="preserve">Vermont’s Equity Accountability Framework</w:t>
        </w:r>
      </w:hyperlink>
      <w:r>
        <w:tab/>
      </w:r>
      <w:r>
        <w:fldChar w:fldCharType="begin"/>
      </w:r>
      <w:r>
        <w:instrText xml:space="preserve"> PAGEREF _Toc1288 \h </w:instrText>
      </w:r>
      <w:r>
        <w:fldChar w:fldCharType="separate"/>
      </w:r>
      <w:r>
        <w:t>1</w:t>
      </w:r>
      <w:r>
        <w:fldChar w:fldCharType="end"/>
      </w:r>
    </w:p>
    <w:p>
      <w:pPr>
        <w:pStyle w:val="TOC2"/>
      </w:pPr>
      <w:hyperlink w:anchor="_Toc1289">
        <w:r>
          <w:t xml:space="preserve">Work This Chapter on the Platform</w:t>
        </w:r>
      </w:hyperlink>
      <w:r>
        <w:tab/>
      </w:r>
      <w:r>
        <w:fldChar w:fldCharType="begin"/>
      </w:r>
      <w:r>
        <w:instrText xml:space="preserve"> PAGEREF _Toc1289 \h </w:instrText>
      </w:r>
      <w:r>
        <w:fldChar w:fldCharType="separate"/>
      </w:r>
      <w:r>
        <w:t>1</w:t>
      </w:r>
      <w:r>
        <w:fldChar w:fldCharType="end"/>
      </w:r>
    </w:p>
    <w:p>
      <w:pPr>
        <w:pStyle w:val="TOC2"/>
      </w:pPr>
      <w:hyperlink w:anchor="_Toc1290">
        <w:r>
          <w:t xml:space="preserve">Implications for You</w:t>
        </w:r>
      </w:hyperlink>
      <w:r>
        <w:tab/>
      </w:r>
      <w:r>
        <w:fldChar w:fldCharType="begin"/>
      </w:r>
      <w:r>
        <w:instrText xml:space="preserve"> PAGEREF _Toc1290 \h </w:instrText>
      </w:r>
      <w:r>
        <w:fldChar w:fldCharType="separate"/>
      </w:r>
      <w:r>
        <w:t>1</w:t>
      </w:r>
      <w:r>
        <w:fldChar w:fldCharType="end"/>
      </w:r>
    </w:p>
    <w:p>
      <w:pPr>
        <w:pStyle w:val="TOC2"/>
      </w:pPr>
      <w:hyperlink w:anchor="_Toc1291">
        <w:r>
          <w:t xml:space="preserve">Measuring Equity: HEROI, HEDIS Stratification, and VBC Safeguards</w:t>
        </w:r>
      </w:hyperlink>
      <w:r>
        <w:tab/>
      </w:r>
      <w:r>
        <w:fldChar w:fldCharType="begin"/>
      </w:r>
      <w:r>
        <w:instrText xml:space="preserve"> PAGEREF _Toc1291 \h </w:instrText>
      </w:r>
      <w:r>
        <w:fldChar w:fldCharType="separate"/>
      </w:r>
      <w:r>
        <w:t>1</w:t>
      </w:r>
      <w:r>
        <w:fldChar w:fldCharType="end"/>
      </w:r>
    </w:p>
    <w:p>
      <w:pPr>
        <w:pStyle w:val="TOC2"/>
      </w:pPr>
      <w:hyperlink w:anchor="_Toc1292">
        <w:r>
          <w:t xml:space="preserve">From Identifying Disparities to Eliminating Them</w:t>
        </w:r>
      </w:hyperlink>
      <w:r>
        <w:tab/>
      </w:r>
      <w:r>
        <w:fldChar w:fldCharType="begin"/>
      </w:r>
      <w:r>
        <w:instrText xml:space="preserve"> PAGEREF _Toc1292 \h </w:instrText>
      </w:r>
      <w:r>
        <w:fldChar w:fldCharType="separate"/>
      </w:r>
      <w:r>
        <w:t>1</w:t>
      </w:r>
      <w:r>
        <w:fldChar w:fldCharType="end"/>
      </w:r>
    </w:p>
    <w:p>
      <w:pPr>
        <w:pStyle w:val="TOC2"/>
      </w:pPr>
      <w:hyperlink w:anchor="_Toc1293">
        <w:r>
          <w:t xml:space="preserve">Stratified HEDIS Measurement — The Foundation of Equity Analytics</w:t>
        </w:r>
      </w:hyperlink>
      <w:r>
        <w:tab/>
      </w:r>
      <w:r>
        <w:fldChar w:fldCharType="begin"/>
      </w:r>
      <w:r>
        <w:instrText xml:space="preserve"> PAGEREF _Toc1293 \h </w:instrText>
      </w:r>
      <w:r>
        <w:fldChar w:fldCharType="separate"/>
      </w:r>
      <w:r>
        <w:t>1</w:t>
      </w:r>
      <w:r>
        <w:fldChar w:fldCharType="end"/>
      </w:r>
    </w:p>
    <w:p>
      <w:pPr>
        <w:pStyle w:val="TOC2"/>
      </w:pPr>
      <w:hyperlink w:anchor="_Toc1295">
        <w:r>
          <w:t xml:space="preserve">Equity Pillar Implementation Matrix</w:t>
        </w:r>
      </w:hyperlink>
      <w:r>
        <w:tab/>
      </w:r>
      <w:r>
        <w:fldChar w:fldCharType="begin"/>
      </w:r>
      <w:r>
        <w:instrText xml:space="preserve"> PAGEREF _Toc1295 \h </w:instrText>
      </w:r>
      <w:r>
        <w:fldChar w:fldCharType="separate"/>
      </w:r>
      <w:r>
        <w:t>1</w:t>
      </w:r>
      <w:r>
        <w:fldChar w:fldCharType="end"/>
      </w:r>
    </w:p>
    <w:p>
      <w:pPr>
        <w:pStyle w:val="TOC2"/>
      </w:pPr>
      <w:hyperlink w:anchor="_Toc1297">
        <w:r>
          <w:t xml:space="preserve">The HEROI Framework — A Composite Equity Score</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Root Cause Analytics — Matching Interventions to Causes</w:t>
        </w:r>
      </w:hyperlink>
      <w:r>
        <w:tab/>
      </w:r>
      <w:r>
        <w:fldChar w:fldCharType="begin"/>
      </w:r>
      <w:r>
        <w:instrText xml:space="preserve"> PAGEREF _Toc1300 \h </w:instrText>
      </w:r>
      <w:r>
        <w:fldChar w:fldCharType="separate"/>
      </w:r>
      <w:r>
        <w:t>1</w:t>
      </w:r>
      <w:r>
        <w:fldChar w:fldCharType="end"/>
      </w:r>
    </w:p>
    <w:p>
      <w:pPr>
        <w:pStyle w:val="TOC2"/>
      </w:pPr>
      <w:hyperlink w:anchor="_Toc1303">
        <w:r>
          <w:t xml:space="preserve">Equity in VBC Contracting — Protecting Against Unintended Consequences</w:t>
        </w:r>
      </w:hyperlink>
      <w:r>
        <w:tab/>
      </w:r>
      <w:r>
        <w:fldChar w:fldCharType="begin"/>
      </w:r>
      <w:r>
        <w:instrText xml:space="preserve"> PAGEREF _Toc1303 \h </w:instrText>
      </w:r>
      <w:r>
        <w:fldChar w:fldCharType="separate"/>
      </w:r>
      <w:r>
        <w:t>1</w:t>
      </w:r>
      <w:r>
        <w:fldChar w:fldCharType="end"/>
      </w:r>
    </w:p>
    <w:p>
      <w:pPr>
        <w:pStyle w:val="TOC2"/>
      </w:pPr>
      <w:hyperlink w:anchor="_Toc1306">
        <w:r>
          <w:t xml:space="preserve">Vermont’s Population Health Equity Analytics Architecture</w:t>
        </w:r>
      </w:hyperlink>
      <w:r>
        <w:tab/>
      </w:r>
      <w:r>
        <w:fldChar w:fldCharType="begin"/>
      </w:r>
      <w:r>
        <w:instrText xml:space="preserve"> PAGEREF _Toc1306 \h </w:instrText>
      </w:r>
      <w:r>
        <w:fldChar w:fldCharType="separate"/>
      </w:r>
      <w:r>
        <w:t>1</w:t>
      </w:r>
      <w:r>
        <w:fldChar w:fldCharType="end"/>
      </w:r>
    </w:p>
    <w:p>
      <w:pPr>
        <w:pStyle w:val="TOC2"/>
      </w:pPr>
      <w:hyperlink w:anchor="_Toc1307">
        <w:r>
          <w:t xml:space="preserve">Implications for You</w:t>
        </w:r>
      </w:hyperlink>
      <w:r>
        <w:tab/>
      </w:r>
      <w:r>
        <w:fldChar w:fldCharType="begin"/>
      </w:r>
      <w:r>
        <w:instrText xml:space="preserve"> PAGEREF _Toc1307 \h </w:instrText>
      </w:r>
      <w:r>
        <w:fldChar w:fldCharType="separate"/>
      </w:r>
      <w:r>
        <w:t>1</w:t>
      </w:r>
      <w:r>
        <w:fldChar w:fldCharType="end"/>
      </w:r>
    </w:p>
    <w:p>
      <w:pPr>
        <w:pStyle w:val="TOC2"/>
      </w:pPr>
      <w:hyperlink w:anchor="_Toc1308">
        <w:r>
          <w:t xml:space="preserve">Key Concepts in This Chapter</w:t>
        </w:r>
      </w:hyperlink>
      <w:r>
        <w:tab/>
      </w:r>
      <w:r>
        <w:fldChar w:fldCharType="begin"/>
      </w:r>
      <w:r>
        <w:instrText xml:space="preserve"> PAGEREF _Toc1308 \h </w:instrText>
      </w:r>
      <w:r>
        <w:fldChar w:fldCharType="separate"/>
      </w:r>
      <w:r>
        <w:t>1</w:t>
      </w:r>
      <w:r>
        <w:fldChar w:fldCharType="end"/>
      </w:r>
    </w:p>
    <w:p>
      <w:pPr>
        <w:pStyle w:val="TOC1"/>
      </w:pPr>
      <w:hyperlink w:anchor="_Toc1309">
        <w:r>
          <w:t xml:space="preserve">Chapter 11: The Operations Pillar — Executing Hospital System Transformation</w:t>
        </w:r>
      </w:hyperlink>
      <w:r>
        <w:tab/>
      </w:r>
      <w:r>
        <w:fldChar w:fldCharType="begin"/>
      </w:r>
      <w:r>
        <w:instrText xml:space="preserve"> PAGEREF _Toc1309 \h </w:instrText>
      </w:r>
      <w:r>
        <w:fldChar w:fldCharType="separate"/>
      </w:r>
      <w:r>
        <w:t>1</w:t>
      </w:r>
      <w:r>
        <w:fldChar w:fldCharType="end"/>
      </w:r>
    </w:p>
    <w:p>
      <w:pPr>
        <w:pStyle w:val="TOC2"/>
      </w:pPr>
      <w:hyperlink w:anchor="_Toc1310">
        <w:r>
          <w:t xml:space="preserve">The Operations Pillar: Where Strategy Meets Reality</w:t>
        </w:r>
      </w:hyperlink>
      <w:r>
        <w:tab/>
      </w:r>
      <w:r>
        <w:fldChar w:fldCharType="begin"/>
      </w:r>
      <w:r>
        <w:instrText xml:space="preserve"> PAGEREF _Toc1310 \h </w:instrText>
      </w:r>
      <w:r>
        <w:fldChar w:fldCharType="separate"/>
      </w:r>
      <w:r>
        <w:t>1</w:t>
      </w:r>
      <w:r>
        <w:fldChar w:fldCharType="end"/>
      </w:r>
    </w:p>
    <w:p>
      <w:pPr>
        <w:pStyle w:val="TOC2"/>
      </w:pPr>
      <w:hyperlink w:anchor="_Toc1311">
        <w:r>
          <w:t xml:space="preserve">The Vermont Transformation Operating Model</w:t>
        </w:r>
      </w:hyperlink>
      <w:r>
        <w:tab/>
      </w:r>
      <w:r>
        <w:fldChar w:fldCharType="begin"/>
      </w:r>
      <w:r>
        <w:instrText xml:space="preserve"> PAGEREF _Toc1311 \h </w:instrText>
      </w:r>
      <w:r>
        <w:fldChar w:fldCharType="separate"/>
      </w:r>
      <w:r>
        <w:t>1</w:t>
      </w:r>
      <w:r>
        <w:fldChar w:fldCharType="end"/>
      </w:r>
    </w:p>
    <w:p>
      <w:pPr>
        <w:pStyle w:val="TOC2"/>
      </w:pPr>
      <w:hyperlink w:anchor="_Toc1314">
        <w:r>
          <w:t xml:space="preserve">The RHRC Methodology — Technical Assistance for Rural Hospital Transformation</w:t>
        </w:r>
      </w:hyperlink>
      <w:r>
        <w:tab/>
      </w:r>
      <w:r>
        <w:fldChar w:fldCharType="begin"/>
      </w:r>
      <w:r>
        <w:instrText xml:space="preserve"> PAGEREF _Toc1314 \h </w:instrText>
      </w:r>
      <w:r>
        <w:fldChar w:fldCharType="separate"/>
      </w:r>
      <w:r>
        <w:t>1</w:t>
      </w:r>
      <w:r>
        <w:fldChar w:fldCharType="end"/>
      </w:r>
    </w:p>
    <w:p>
      <w:pPr>
        <w:pStyle w:val="TOC2"/>
      </w:pPr>
      <w:hyperlink w:anchor="_Toc1318">
        <w:r>
          <w:t xml:space="preserve">The Vermont Hospital Performance Dashboard — Where Each Hospital Stands</w:t>
        </w:r>
      </w:hyperlink>
      <w:r>
        <w:tab/>
      </w:r>
      <w:r>
        <w:fldChar w:fldCharType="begin"/>
      </w:r>
      <w:r>
        <w:instrText xml:space="preserve"> PAGEREF _Toc1318 \h </w:instrText>
      </w:r>
      <w:r>
        <w:fldChar w:fldCharType="separate"/>
      </w:r>
      <w:r>
        <w:t>1</w:t>
      </w:r>
      <w:r>
        <w:fldChar w:fldCharType="end"/>
      </w:r>
    </w:p>
    <w:p>
      <w:pPr>
        <w:pStyle w:val="TOC2"/>
      </w:pPr>
      <w:hyperlink w:anchor="_Toc1319">
        <w:r>
          <w:t xml:space="preserve">Regionalization — The Operational Logic of Right-Sizing a 14-Hospital System</w:t>
        </w:r>
      </w:hyperlink>
      <w:r>
        <w:tab/>
      </w:r>
      <w:r>
        <w:fldChar w:fldCharType="begin"/>
      </w:r>
      <w:r>
        <w:instrText xml:space="preserve"> PAGEREF _Toc1319 \h </w:instrText>
      </w:r>
      <w:r>
        <w:fldChar w:fldCharType="separate"/>
      </w:r>
      <w:r>
        <w:t>1</w:t>
      </w:r>
      <w:r>
        <w:fldChar w:fldCharType="end"/>
      </w:r>
    </w:p>
    <w:p>
      <w:pPr>
        <w:pStyle w:val="TOC2"/>
      </w:pPr>
      <w:hyperlink w:anchor="_Toc1322">
        <w:r>
          <w:t xml:space="preserve">The Workforce Crisis — Vermont’s Most Binding Operational Constraint</w:t>
        </w:r>
      </w:hyperlink>
      <w:r>
        <w:tab/>
      </w:r>
      <w:r>
        <w:fldChar w:fldCharType="begin"/>
      </w:r>
      <w:r>
        <w:instrText xml:space="preserve"> PAGEREF _Toc1322 \h </w:instrText>
      </w:r>
      <w:r>
        <w:fldChar w:fldCharType="separate"/>
      </w:r>
      <w:r>
        <w:t>1</w:t>
      </w:r>
      <w:r>
        <w:fldChar w:fldCharType="end"/>
      </w:r>
    </w:p>
    <w:p>
      <w:pPr>
        <w:pStyle w:val="TOC2"/>
      </w:pPr>
      <w:hyperlink w:anchor="_Toc1326">
        <w:r>
          <w:t xml:space="preserve">The Operations Metrics Framework — What AHS Must Track</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AHS as System Operator — Organizational Design for the 2028 Mandate</w:t>
        </w:r>
      </w:hyperlink>
      <w:r>
        <w:tab/>
      </w:r>
      <w:r>
        <w:fldChar w:fldCharType="begin"/>
      </w:r>
      <w:r>
        <w:instrText xml:space="preserve"> PAGEREF _Toc1327 \h </w:instrText>
      </w:r>
      <w:r>
        <w:fldChar w:fldCharType="separate"/>
      </w:r>
      <w:r>
        <w:t>1</w:t>
      </w:r>
      <w:r>
        <w:fldChar w:fldCharType="end"/>
      </w:r>
    </w:p>
    <w:p>
      <w:pPr>
        <w:pStyle w:val="TOC2"/>
      </w:pPr>
      <w:hyperlink w:anchor="_Toc1330">
        <w:r>
          <w:t xml:space="preserve">Work This Chapter on the Platform</w:t>
        </w:r>
      </w:hyperlink>
      <w:r>
        <w:tab/>
      </w:r>
      <w:r>
        <w:fldChar w:fldCharType="begin"/>
      </w:r>
      <w:r>
        <w:instrText xml:space="preserve"> PAGEREF _Toc1330 \h </w:instrText>
      </w:r>
      <w:r>
        <w:fldChar w:fldCharType="separate"/>
      </w:r>
      <w:r>
        <w:t>1</w:t>
      </w:r>
      <w:r>
        <w:fldChar w:fldCharType="end"/>
      </w:r>
    </w:p>
    <w:p>
      <w:pPr>
        <w:pStyle w:val="TOC2"/>
      </w:pPr>
      <w:hyperlink w:anchor="_Toc1331">
        <w:r>
          <w:t xml:space="preserve">Implications for You</w:t>
        </w:r>
      </w:hyperlink>
      <w:r>
        <w:tab/>
      </w:r>
      <w:r>
        <w:fldChar w:fldCharType="begin"/>
      </w:r>
      <w:r>
        <w:instrText xml:space="preserve"> PAGEREF _Toc1331 \h </w:instrText>
      </w:r>
      <w:r>
        <w:fldChar w:fldCharType="separate"/>
      </w:r>
      <w:r>
        <w:t>1</w:t>
      </w:r>
      <w:r>
        <w:fldChar w:fldCharType="end"/>
      </w:r>
    </w:p>
    <w:p>
      <w:pPr>
        <w:pStyle w:val="TOC2"/>
      </w:pPr>
      <w:hyperlink w:anchor="_Toc1332">
        <w:r>
          <w:t xml:space="preserve">Revenue Cycle, HCC Coding, Credentialing, and Administrative Simplification</w:t>
        </w:r>
      </w:hyperlink>
      <w:r>
        <w:tab/>
      </w:r>
      <w:r>
        <w:fldChar w:fldCharType="begin"/>
      </w:r>
      <w:r>
        <w:instrText xml:space="preserve"> PAGEREF _Toc1332 \h </w:instrText>
      </w:r>
      <w:r>
        <w:fldChar w:fldCharType="separate"/>
      </w:r>
      <w:r>
        <w:t>1</w:t>
      </w:r>
      <w:r>
        <w:fldChar w:fldCharType="end"/>
      </w:r>
    </w:p>
    <w:p>
      <w:pPr>
        <w:pStyle w:val="TOC2"/>
      </w:pPr>
      <w:hyperlink w:anchor="_Toc1333">
        <w:r>
          <w:t xml:space="preserve">Operations Where Money Actually Lives</w:t>
        </w:r>
      </w:hyperlink>
      <w:r>
        <w:tab/>
      </w:r>
      <w:r>
        <w:fldChar w:fldCharType="begin"/>
      </w:r>
      <w:r>
        <w:instrText xml:space="preserve"> PAGEREF _Toc1333 \h </w:instrText>
      </w:r>
      <w:r>
        <w:fldChar w:fldCharType="separate"/>
      </w:r>
      <w:r>
        <w:t>1</w:t>
      </w:r>
      <w:r>
        <w:fldChar w:fldCharType="end"/>
      </w:r>
    </w:p>
    <w:p>
      <w:pPr>
        <w:pStyle w:val="TOC2"/>
      </w:pPr>
      <w:hyperlink w:anchor="_Toc1334">
        <w:r>
          <w:t xml:space="preserve">Revenue Cycle Transformation — From FFS Optimization to VBC Management</w:t>
        </w:r>
      </w:hyperlink>
      <w:r>
        <w:tab/>
      </w:r>
      <w:r>
        <w:fldChar w:fldCharType="begin"/>
      </w:r>
      <w:r>
        <w:instrText xml:space="preserve"> PAGEREF _Toc1334 \h </w:instrText>
      </w:r>
      <w:r>
        <w:fldChar w:fldCharType="separate"/>
      </w:r>
      <w:r>
        <w:t>1</w:t>
      </w:r>
      <w:r>
        <w:fldChar w:fldCharType="end"/>
      </w:r>
    </w:p>
    <w:p>
      <w:pPr>
        <w:pStyle w:val="TOC2"/>
      </w:pPr>
      <w:hyperlink w:anchor="_Toc1337">
        <w:r>
          <w:t xml:space="preserve">HCC Coding Excellence — The Risk Adjustment Foundation</w:t>
        </w:r>
      </w:hyperlink>
      <w:r>
        <w:tab/>
      </w:r>
      <w:r>
        <w:fldChar w:fldCharType="begin"/>
      </w:r>
      <w:r>
        <w:instrText xml:space="preserve"> PAGEREF _Toc1337 \h </w:instrText>
      </w:r>
      <w:r>
        <w:fldChar w:fldCharType="separate"/>
      </w:r>
      <w:r>
        <w:t>1</w:t>
      </w:r>
      <w:r>
        <w:fldChar w:fldCharType="end"/>
      </w:r>
    </w:p>
    <w:p>
      <w:pPr>
        <w:pStyle w:val="TOC2"/>
      </w:pPr>
      <w:hyperlink w:anchor="_Toc1341">
        <w:r>
          <w:t xml:space="preserve">Credentialing Efficiency — The Hidden Operations Bottleneck</w:t>
        </w:r>
      </w:hyperlink>
      <w:r>
        <w:tab/>
      </w:r>
      <w:r>
        <w:fldChar w:fldCharType="begin"/>
      </w:r>
      <w:r>
        <w:instrText xml:space="preserve"> PAGEREF _Toc1341 \h </w:instrText>
      </w:r>
      <w:r>
        <w:fldChar w:fldCharType="separate"/>
      </w:r>
      <w:r>
        <w:t>1</w:t>
      </w:r>
      <w:r>
        <w:fldChar w:fldCharType="end"/>
      </w:r>
    </w:p>
    <w:p>
      <w:pPr>
        <w:pStyle w:val="TOC2"/>
      </w:pPr>
      <w:hyperlink w:anchor="_Toc1344">
        <w:r>
          <w:t xml:space="preserve">Workforce Operations — Managing the Care Team in a Transformed System</w:t>
        </w:r>
      </w:hyperlink>
      <w:r>
        <w:tab/>
      </w:r>
      <w:r>
        <w:fldChar w:fldCharType="begin"/>
      </w:r>
      <w:r>
        <w:instrText xml:space="preserve"> PAGEREF _Toc1344 \h </w:instrText>
      </w:r>
      <w:r>
        <w:fldChar w:fldCharType="separate"/>
      </w:r>
      <w:r>
        <w:t>1</w:t>
      </w:r>
      <w:r>
        <w:fldChar w:fldCharType="end"/>
      </w:r>
    </w:p>
    <w:p>
      <w:pPr>
        <w:pStyle w:val="TOC2"/>
      </w:pPr>
      <w:hyperlink w:anchor="_Toc1348">
        <w:r>
          <w:t xml:space="preserve">Administrative Simplification — The Vermont Agenda</w:t>
        </w:r>
      </w:hyperlink>
      <w:r>
        <w:tab/>
      </w:r>
      <w:r>
        <w:fldChar w:fldCharType="begin"/>
      </w:r>
      <w:r>
        <w:instrText xml:space="preserve"> PAGEREF _Toc1348 \h </w:instrText>
      </w:r>
      <w:r>
        <w:fldChar w:fldCharType="separate"/>
      </w:r>
      <w:r>
        <w:t>1</w:t>
      </w:r>
      <w:r>
        <w:fldChar w:fldCharType="end"/>
      </w:r>
    </w:p>
    <w:p>
      <w:pPr>
        <w:pStyle w:val="TOC2"/>
      </w:pPr>
      <w:hyperlink w:anchor="_Toc1350">
        <w:r>
          <w:t xml:space="preserve">Operations Pillar Implementation Matrix</w:t>
        </w:r>
      </w:hyperlink>
      <w:r>
        <w:tab/>
      </w:r>
      <w:r>
        <w:fldChar w:fldCharType="begin"/>
      </w:r>
      <w:r>
        <w:instrText xml:space="preserve"> PAGEREF _Toc1350 \h </w:instrText>
      </w:r>
      <w:r>
        <w:fldChar w:fldCharType="separate"/>
      </w:r>
      <w:r>
        <w:t>1</w:t>
      </w:r>
      <w:r>
        <w:fldChar w:fldCharType="end"/>
      </w:r>
    </w:p>
    <w:p>
      <w:pPr>
        <w:pStyle w:val="TOC2"/>
      </w:pPr>
      <w:hyperlink w:anchor="_Toc1351">
        <w:r>
          <w:t xml:space="preserve">Implications for You</w:t>
        </w:r>
      </w:hyperlink>
      <w:r>
        <w:tab/>
      </w:r>
      <w:r>
        <w:fldChar w:fldCharType="begin"/>
      </w:r>
      <w:r>
        <w:instrText xml:space="preserve"> PAGEREF _Toc1351 \h </w:instrText>
      </w:r>
      <w:r>
        <w:fldChar w:fldCharType="separate"/>
      </w:r>
      <w:r>
        <w:t>1</w:t>
      </w:r>
      <w:r>
        <w:fldChar w:fldCharType="end"/>
      </w:r>
    </w:p>
    <w:p>
      <w:pPr>
        <w:pStyle w:val="TOC2"/>
      </w:pPr>
      <w:hyperlink w:anchor="_Toc1352">
        <w:r>
          <w:t xml:space="preserve">Key Concepts in This Chapter</w:t>
        </w:r>
      </w:hyperlink>
      <w:r>
        <w:tab/>
      </w:r>
      <w:r>
        <w:fldChar w:fldCharType="begin"/>
      </w:r>
      <w:r>
        <w:instrText xml:space="preserve"> PAGEREF _Toc1352 \h </w:instrText>
      </w:r>
      <w:r>
        <w:fldChar w:fldCharType="separate"/>
      </w:r>
      <w:r>
        <w:t>1</w:t>
      </w:r>
      <w:r>
        <w:fldChar w:fldCharType="end"/>
      </w:r>
    </w:p>
    <w:p>
      <w:pPr>
        <w:pStyle w:val="TOC1"/>
      </w:pPr>
      <w:hyperlink w:anchor="_Toc1353">
        <w:r>
          <w:t xml:space="preserve">Chapter 12: Infrastructure for Knowledge Transfer and Implementation</w:t>
        </w:r>
      </w:hyperlink>
      <w:r>
        <w:tab/>
      </w:r>
      <w:r>
        <w:fldChar w:fldCharType="begin"/>
      </w:r>
      <w:r>
        <w:instrText xml:space="preserve"> PAGEREF _Toc1353 \h </w:instrText>
      </w:r>
      <w:r>
        <w:fldChar w:fldCharType="separate"/>
      </w:r>
      <w:r>
        <w:t>1</w:t>
      </w:r>
      <w:r>
        <w:fldChar w:fldCharType="end"/>
      </w:r>
    </w:p>
    <w:p>
      <w:pPr>
        <w:pStyle w:val="TOC2"/>
      </w:pPr>
      <w:hyperlink w:anchor="_Toc1354">
        <w:r>
          <w:t xml:space="preserve">The Gap Between Understanding and Doing</w:t>
        </w:r>
      </w:hyperlink>
      <w:r>
        <w:tab/>
      </w:r>
      <w:r>
        <w:fldChar w:fldCharType="begin"/>
      </w:r>
      <w:r>
        <w:instrText xml:space="preserve"> PAGEREF _Toc1354 \h </w:instrText>
      </w:r>
      <w:r>
        <w:fldChar w:fldCharType="separate"/>
      </w:r>
      <w:r>
        <w:t>1</w:t>
      </w:r>
      <w:r>
        <w:fldChar w:fldCharType="end"/>
      </w:r>
    </w:p>
    <w:p>
      <w:pPr>
        <w:pStyle w:val="TOC2"/>
      </w:pPr>
      <w:hyperlink w:anchor="_Toc1355">
        <w:r>
          <w:t xml:space="preserve">The Knowledge and Implementation Infrastructure</w:t>
        </w:r>
      </w:hyperlink>
      <w:r>
        <w:tab/>
      </w:r>
      <w:r>
        <w:fldChar w:fldCharType="begin"/>
      </w:r>
      <w:r>
        <w:instrText xml:space="preserve"> PAGEREF _Toc1355 \h </w:instrText>
      </w:r>
      <w:r>
        <w:fldChar w:fldCharType="separate"/>
      </w:r>
      <w:r>
        <w:t>1</w:t>
      </w:r>
      <w:r>
        <w:fldChar w:fldCharType="end"/>
      </w:r>
    </w:p>
    <w:p>
      <w:pPr>
        <w:pStyle w:val="TOC2"/>
      </w:pPr>
      <w:hyperlink w:anchor="_Toc1358">
        <w:r>
          <w:t xml:space="preserve">The Transformation Advisory Domains — Structured for the Six Pillars</w:t>
        </w:r>
      </w:hyperlink>
      <w:r>
        <w:tab/>
      </w:r>
      <w:r>
        <w:fldChar w:fldCharType="begin"/>
      </w:r>
      <w:r>
        <w:instrText xml:space="preserve"> PAGEREF _Toc1358 \h </w:instrText>
      </w:r>
      <w:r>
        <w:fldChar w:fldCharType="separate"/>
      </w:r>
      <w:r>
        <w:t>1</w:t>
      </w:r>
      <w:r>
        <w:fldChar w:fldCharType="end"/>
      </w:r>
    </w:p>
    <w:p>
      <w:pPr>
        <w:pStyle w:val="TOC2"/>
      </w:pPr>
      <w:hyperlink w:anchor="_Toc1364">
        <w:r>
          <w:t xml:space="preserve">The Change Management Science Behind Healthcare Transformation</w:t>
        </w:r>
      </w:hyperlink>
      <w:r>
        <w:tab/>
      </w:r>
      <w:r>
        <w:fldChar w:fldCharType="begin"/>
      </w:r>
      <w:r>
        <w:instrText xml:space="preserve"> PAGEREF _Toc1364 \h </w:instrText>
      </w:r>
      <w:r>
        <w:fldChar w:fldCharType="separate"/>
      </w:r>
      <w:r>
        <w:t>1</w:t>
      </w:r>
      <w:r>
        <w:fldChar w:fldCharType="end"/>
      </w:r>
    </w:p>
    <w:p>
      <w:pPr>
        <w:pStyle w:val="TOC2"/>
      </w:pPr>
      <w:hyperlink w:anchor="_Toc1367">
        <w:r>
          <w:t xml:space="preserve">The HTR Implementation Toolkit</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A Framework for Selecting Advisory Support</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The Role of External Technical Assistance in State-Level Transformation</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Work This Chapter on the Platform</w:t>
        </w:r>
      </w:hyperlink>
      <w:r>
        <w:tab/>
      </w:r>
      <w:r>
        <w:fldChar w:fldCharType="begin"/>
      </w:r>
      <w:r>
        <w:instrText xml:space="preserve"> PAGEREF _Toc1370 \h </w:instrText>
      </w:r>
      <w:r>
        <w:fldChar w:fldCharType="separate"/>
      </w:r>
      <w:r>
        <w:t>1</w:t>
      </w:r>
      <w:r>
        <w:fldChar w:fldCharType="end"/>
      </w:r>
    </w:p>
    <w:p>
      <w:pPr>
        <w:pStyle w:val="TOC2"/>
      </w:pPr>
      <w:hyperlink w:anchor="_Toc1371">
        <w:r>
          <w:t xml:space="preserve">Implications for You</w:t>
        </w:r>
      </w:hyperlink>
      <w:r>
        <w:tab/>
      </w:r>
      <w:r>
        <w:fldChar w:fldCharType="begin"/>
      </w:r>
      <w:r>
        <w:instrText xml:space="preserve"> PAGEREF _Toc1371 \h </w:instrText>
      </w:r>
      <w:r>
        <w:fldChar w:fldCharType="separate"/>
      </w:r>
      <w:r>
        <w:t>1</w:t>
      </w:r>
      <w:r>
        <w:fldChar w:fldCharType="end"/>
      </w:r>
    </w:p>
    <w:p>
      <w:pPr>
        <w:pStyle w:val="TOC2"/>
      </w:pPr>
      <w:hyperlink w:anchor="_Toc1372">
        <w:r>
          <w:t xml:space="preserve">Key Concepts in This Chapter</w:t>
        </w:r>
      </w:hyperlink>
      <w:r>
        <w:tab/>
      </w:r>
      <w:r>
        <w:fldChar w:fldCharType="begin"/>
      </w:r>
      <w:r>
        <w:instrText xml:space="preserve"> PAGEREF _Toc1372 \h </w:instrText>
      </w:r>
      <w:r>
        <w:fldChar w:fldCharType="separate"/>
      </w:r>
      <w:r>
        <w:t>1</w:t>
      </w:r>
      <w:r>
        <w:fldChar w:fldCharType="end"/>
      </w:r>
    </w:p>
    <w:p>
      <w:pPr>
        <w:pStyle w:val="TOC1"/>
      </w:pPr>
      <w:hyperlink w:anchor="_Toc1373">
        <w:r>
          <w:t xml:space="preserve">Chapter 13 — The Future of Healthcare Transformation: 2026, What Vermont Proves, and What Remains</w:t>
        </w:r>
      </w:hyperlink>
      <w:r>
        <w:tab/>
      </w:r>
      <w:r>
        <w:fldChar w:fldCharType="begin"/>
      </w:r>
      <w:r>
        <w:instrText xml:space="preserve"> PAGEREF _Toc1373 \h </w:instrText>
      </w:r>
      <w:r>
        <w:fldChar w:fldCharType="separate"/>
      </w:r>
      <w:r>
        <w:t>1</w:t>
      </w:r>
      <w:r>
        <w:fldChar w:fldCharType="end"/>
      </w:r>
    </w:p>
    <w:p>
      <w:pPr>
        <w:pStyle w:val="TOC2"/>
      </w:pPr>
      <w:hyperlink w:anchor="_Toc1374">
        <w:r>
          <w:t xml:space="preserve">Vermont Transformation Scorecard: Six-Pillar Status, April 2026</w:t>
        </w:r>
      </w:hyperlink>
      <w:r>
        <w:tab/>
      </w:r>
      <w:r>
        <w:fldChar w:fldCharType="begin"/>
      </w:r>
      <w:r>
        <w:instrText xml:space="preserve"> PAGEREF _Toc1374 \h </w:instrText>
      </w:r>
      <w:r>
        <w:fldChar w:fldCharType="separate"/>
      </w:r>
      <w:r>
        <w:t>1</w:t>
      </w:r>
      <w:r>
        <w:fldChar w:fldCharType="end"/>
      </w:r>
    </w:p>
    <w:p>
      <w:pPr>
        <w:pStyle w:val="TOC2"/>
      </w:pPr>
      <w:hyperlink w:anchor="_Toc1375">
        <w:r>
          <w:t xml:space="preserve">Where the System Stands in April 2026 — A Necessary Update</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Five Forces Shaping the Next Decade</w:t>
        </w:r>
      </w:hyperlink>
      <w:r>
        <w:tab/>
      </w:r>
      <w:r>
        <w:fldChar w:fldCharType="begin"/>
      </w:r>
      <w:r>
        <w:instrText xml:space="preserve"> PAGEREF _Toc1376 \h </w:instrText>
      </w:r>
      <w:r>
        <w:fldChar w:fldCharType="separate"/>
      </w:r>
      <w:r>
        <w:t>1</w:t>
      </w:r>
      <w:r>
        <w:fldChar w:fldCharType="end"/>
      </w:r>
    </w:p>
    <w:p>
      <w:pPr>
        <w:pStyle w:val="TOC2"/>
      </w:pPr>
      <w:hyperlink w:anchor="_Toc1382">
        <w:r>
          <w:t xml:space="preserve">The Six-Pillar Forecast: 2026–2035</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Vermont’s Ten-Year Trajectory: Two Scenarios</w:t>
        </w:r>
      </w:hyperlink>
      <w:r>
        <w:tab/>
      </w:r>
      <w:r>
        <w:fldChar w:fldCharType="begin"/>
      </w:r>
      <w:r>
        <w:instrText xml:space="preserve"> PAGEREF _Toc1383 \h </w:instrText>
      </w:r>
      <w:r>
        <w:fldChar w:fldCharType="separate"/>
      </w:r>
      <w:r>
        <w:t>1</w:t>
      </w:r>
      <w:r>
        <w:fldChar w:fldCharType="end"/>
      </w:r>
    </w:p>
    <w:p>
      <w:pPr>
        <w:pStyle w:val="TOC2"/>
      </w:pPr>
      <w:hyperlink w:anchor="_Toc1386">
        <w:r>
          <w:t xml:space="preserve">Vermont as National Template — The Decisions That Will Determine Outcomes</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Work This Chapter on the Platform</w:t>
        </w:r>
      </w:hyperlink>
      <w:r>
        <w:tab/>
      </w:r>
      <w:r>
        <w:fldChar w:fldCharType="begin"/>
      </w:r>
      <w:r>
        <w:instrText xml:space="preserve"> PAGEREF _Toc1387 \h </w:instrText>
      </w:r>
      <w:r>
        <w:fldChar w:fldCharType="separate"/>
      </w:r>
      <w:r>
        <w:t>1</w:t>
      </w:r>
      <w:r>
        <w:fldChar w:fldCharType="end"/>
      </w:r>
    </w:p>
    <w:p>
      <w:pPr>
        <w:pStyle w:val="TOC2"/>
      </w:pPr>
      <w:hyperlink w:anchor="_Toc1388">
        <w:r>
          <w:t xml:space="preserve">Implications for You</w:t>
        </w:r>
      </w:hyperlink>
      <w:r>
        <w:tab/>
      </w:r>
      <w:r>
        <w:fldChar w:fldCharType="begin"/>
      </w:r>
      <w:r>
        <w:instrText xml:space="preserve"> PAGEREF _Toc1388 \h </w:instrText>
      </w:r>
      <w:r>
        <w:fldChar w:fldCharType="separate"/>
      </w:r>
      <w:r>
        <w:t>1</w:t>
      </w:r>
      <w:r>
        <w:fldChar w:fldCharType="end"/>
      </w:r>
    </w:p>
    <w:p>
      <w:pPr>
        <w:pStyle w:val="TOC2"/>
      </w:pPr>
      <w:hyperlink w:anchor="_Toc1389">
        <w:r>
          <w:t xml:space="preserve">Key Concepts in This Chapter</w:t>
        </w:r>
      </w:hyperlink>
      <w:r>
        <w:tab/>
      </w:r>
      <w:r>
        <w:fldChar w:fldCharType="begin"/>
      </w:r>
      <w:r>
        <w:instrText xml:space="preserve"> PAGEREF _Toc1389 \h </w:instrText>
      </w:r>
      <w:r>
        <w:fldChar w:fldCharType="separate"/>
      </w:r>
      <w:r>
        <w:t>1</w:t>
      </w:r>
      <w:r>
        <w:fldChar w:fldCharType="end"/>
      </w:r>
    </w:p>
    <w:p>
      <w:pPr>
        <w:pStyle w:val="TOC2"/>
      </w:pPr>
      <w:hyperlink w:anchor="_Toc1390">
        <w:r>
          <w:t xml:space="preserve">A Closing Note: What This Book Is Betting On</w:t>
        </w:r>
      </w:hyperlink>
      <w:r>
        <w:tab/>
      </w:r>
      <w:r>
        <w:fldChar w:fldCharType="begin"/>
      </w:r>
      <w:r>
        <w:instrText xml:space="preserve"> PAGEREF _Toc1390 \h </w:instrText>
      </w:r>
      <w:r>
        <w:fldChar w:fldCharType="separate"/>
      </w:r>
      <w:r>
        <w:t>1</w:t>
      </w:r>
      <w:r>
        <w:fldChar w:fldCharType="end"/>
      </w:r>
    </w:p>
    <w:p>
      <w:pPr>
        <w:pStyle w:val="TOC1"/>
      </w:pPr>
      <w:hyperlink w:anchor="_Toc1391">
        <w:r>
          <w:t xml:space="preserve">Chapter 14 — Political Sustainability: Protecting Transformation Across Election Cycles</w:t>
        </w:r>
      </w:hyperlink>
      <w:r>
        <w:tab/>
      </w:r>
      <w:r>
        <w:fldChar w:fldCharType="begin"/>
      </w:r>
      <w:r>
        <w:instrText xml:space="preserve"> PAGEREF _Toc1391 \h </w:instrText>
      </w:r>
      <w:r>
        <w:fldChar w:fldCharType="separate"/>
      </w:r>
      <w:r>
        <w:t>1</w:t>
      </w:r>
      <w:r>
        <w:fldChar w:fldCharType="end"/>
      </w:r>
    </w:p>
    <w:p>
      <w:pPr>
        <w:pStyle w:val="TOC2"/>
      </w:pPr>
      <w:hyperlink w:anchor="_Toc1392">
        <w:r>
          <w:t xml:space="preserve">Why Political Sustainability Is an Analytical Problem, Not Only a Political One</w:t>
        </w:r>
      </w:hyperlink>
      <w:r>
        <w:tab/>
      </w:r>
      <w:r>
        <w:fldChar w:fldCharType="begin"/>
      </w:r>
      <w:r>
        <w:instrText xml:space="preserve"> PAGEREF _Toc1392 \h </w:instrText>
      </w:r>
      <w:r>
        <w:fldChar w:fldCharType="separate"/>
      </w:r>
      <w:r>
        <w:t>1</w:t>
      </w:r>
      <w:r>
        <w:fldChar w:fldCharType="end"/>
      </w:r>
    </w:p>
    <w:p>
      <w:pPr>
        <w:pStyle w:val="TOC2"/>
      </w:pPr>
      <w:hyperlink w:anchor="_Toc1393">
        <w:r>
          <w:t xml:space="preserve">The Structural Durability of Vermont’s Reform Architecture</w:t>
        </w:r>
      </w:hyperlink>
      <w:r>
        <w:tab/>
      </w:r>
      <w:r>
        <w:fldChar w:fldCharType="begin"/>
      </w:r>
      <w:r>
        <w:instrText xml:space="preserve"> PAGEREF _Toc1393 \h </w:instrText>
      </w:r>
      <w:r>
        <w:fldChar w:fldCharType="separate"/>
      </w:r>
      <w:r>
        <w:t>1</w:t>
      </w:r>
      <w:r>
        <w:fldChar w:fldCharType="end"/>
      </w:r>
    </w:p>
    <w:p>
      <w:pPr>
        <w:pStyle w:val="TOC2"/>
      </w:pPr>
      <w:hyperlink w:anchor="_Toc1396">
        <w:r>
          <w:t xml:space="preserve">Early-Warning Signals of Political Risk</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Organizational Strategies for Political Risk Management</w:t>
        </w:r>
      </w:hyperlink>
      <w:r>
        <w:tab/>
      </w:r>
      <w:r>
        <w:fldChar w:fldCharType="begin"/>
      </w:r>
      <w:r>
        <w:instrText xml:space="preserve"> PAGEREF _Toc1397 \h </w:instrText>
      </w:r>
      <w:r>
        <w:fldChar w:fldCharType="separate"/>
      </w:r>
      <w:r>
        <w:t>1</w:t>
      </w:r>
      <w:r>
        <w:fldChar w:fldCharType="end"/>
      </w:r>
    </w:p>
    <w:p>
      <w:pPr>
        <w:pStyle w:val="TOC2"/>
      </w:pPr>
      <w:hyperlink w:anchor="_Toc1402">
        <w:r>
          <w:t xml:space="preserve">Vermont’s Reform Cascade as Political-Sustainability Architecture</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Work This Chapter on the Platform</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Implications for You</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Key Concepts in This Chapter</w:t>
        </w:r>
      </w:hyperlink>
      <w:r>
        <w:tab/>
      </w:r>
      <w:r>
        <w:fldChar w:fldCharType="begin"/>
      </w:r>
      <w:r>
        <w:instrText xml:space="preserve"> PAGEREF _Toc1405 \h </w:instrText>
      </w:r>
      <w:r>
        <w:fldChar w:fldCharType="separate"/>
      </w:r>
      <w:r>
        <w:t>1</w:t>
      </w:r>
      <w:r>
        <w:fldChar w:fldCharType="end"/>
      </w:r>
    </w:p>
    <w:p>
      <w:pPr>
        <w:pStyle w:val="TOC1"/>
      </w:pPr>
      <w:hyperlink w:anchor="_Toc1406">
        <w:r>
          <w:t xml:space="preserve">Chapter 15 — Healthcare Transformation as Portfolio Management: Applying PMI Standards to Six-Pillar Reform</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The Project-Management Gap in Healthcare Transformation</w:t>
        </w:r>
      </w:hyperlink>
      <w:r>
        <w:tab/>
      </w:r>
      <w:r>
        <w:fldChar w:fldCharType="begin"/>
      </w:r>
      <w:r>
        <w:instrText xml:space="preserve"> PAGEREF _Toc1407 \h </w:instrText>
      </w:r>
      <w:r>
        <w:fldChar w:fldCharType="separate"/>
      </w:r>
      <w:r>
        <w:t>1</w:t>
      </w:r>
      <w:r>
        <w:fldChar w:fldCharType="end"/>
      </w:r>
    </w:p>
    <w:p>
      <w:pPr>
        <w:pStyle w:val="TOC2"/>
      </w:pPr>
      <w:hyperlink w:anchor="_Toc1408">
        <w:r>
          <w:t xml:space="preserve">Project, Program, and Portfolio: Getting the Levels Right</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Vermont’s Transformation Portfolio: 19 Components</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The Case for a Portfolio Manager</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Pillar-Level Project Managers: Six Roles, One Framework</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Governance Architecture and the Ten Knowledge Areas</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Portfolio Sequence Is Dependency Sequence</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Predictive vs. Adaptive Approaches</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The Portfolio Risk Register</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Benefits Realization: Connecting the PMO to Act 167’s Five Goals</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Business Case</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Implementation Roadmap</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Answering the Four Objections</w:t>
        </w:r>
      </w:hyperlink>
      <w:r>
        <w:tab/>
      </w:r>
      <w:r>
        <w:fldChar w:fldCharType="begin"/>
      </w:r>
      <w:r>
        <w:instrText xml:space="preserve"> PAGEREF _Toc1419 \h </w:instrText>
      </w:r>
      <w:r>
        <w:fldChar w:fldCharType="separate"/>
      </w:r>
      <w:r>
        <w:t>1</w:t>
      </w:r>
      <w:r>
        <w:fldChar w:fldCharType="end"/>
      </w:r>
    </w:p>
    <w:p>
      <w:pPr>
        <w:pStyle w:val="TOC2"/>
      </w:pPr>
      <w:hyperlink w:anchor="_Toc1420">
        <w:r>
          <w:t xml:space="preserve">Work This Chapter on the Platform</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Implications for You</w:t>
        </w:r>
      </w:hyperlink>
      <w:r>
        <w:tab/>
      </w:r>
      <w:r>
        <w:fldChar w:fldCharType="begin"/>
      </w:r>
      <w:r>
        <w:instrText xml:space="preserve"> PAGEREF _Toc1421 \h </w:instrText>
      </w:r>
      <w:r>
        <w:fldChar w:fldCharType="separate"/>
      </w:r>
      <w:r>
        <w:t>1</w:t>
      </w:r>
      <w:r>
        <w:fldChar w:fldCharType="end"/>
      </w:r>
    </w:p>
    <w:p>
      <w:pPr>
        <w:pStyle w:val="TOC2"/>
      </w:pPr>
      <w:hyperlink w:anchor="_Toc1422">
        <w:r>
          <w:t xml:space="preserve">Key Concepts in This Chapter</w:t>
        </w:r>
      </w:hyperlink>
      <w:r>
        <w:tab/>
      </w:r>
      <w:r>
        <w:fldChar w:fldCharType="begin"/>
      </w:r>
      <w:r>
        <w:instrText xml:space="preserve"> PAGEREF _Toc1422 \h </w:instrText>
      </w:r>
      <w:r>
        <w:fldChar w:fldCharType="separate"/>
      </w:r>
      <w:r>
        <w:t>1</w:t>
      </w:r>
      <w:r>
        <w:fldChar w:fldCharType="end"/>
      </w:r>
    </w:p>
    <w:p>
      <w:pPr>
        <w:pStyle w:val="TOC1"/>
      </w:pPr>
      <w:hyperlink w:anchor="_Toc1423">
        <w:r>
          <w:t xml:space="preserve">Chapter 16 — The AHS Restructuring Roadmap: A Six-Pillar Framework for System Architects</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The Statutory Mandate — What Act 68 Actually Requires AHS to Do</w:t>
        </w:r>
      </w:hyperlink>
      <w:r>
        <w:tab/>
      </w:r>
      <w:r>
        <w:fldChar w:fldCharType="begin"/>
      </w:r>
      <w:r>
        <w:instrText xml:space="preserve"> PAGEREF _Toc1424 \h </w:instrText>
      </w:r>
      <w:r>
        <w:fldChar w:fldCharType="separate"/>
      </w:r>
      <w:r>
        <w:t>1</w:t>
      </w:r>
      <w:r>
        <w:fldChar w:fldCharType="end"/>
      </w:r>
    </w:p>
    <w:p>
      <w:pPr>
        <w:pStyle w:val="TOC2"/>
      </w:pPr>
      <w:hyperlink w:anchor="_Toc1425">
        <w:r>
          <w:t xml:space="preserve">The Organizational Diagnosis — Why AHS Must Restructure, Not Just Plan</w:t>
        </w:r>
      </w:hyperlink>
      <w:r>
        <w:tab/>
      </w:r>
      <w:r>
        <w:fldChar w:fldCharType="begin"/>
      </w:r>
      <w:r>
        <w:instrText xml:space="preserve"> PAGEREF _Toc1425 \h </w:instrText>
      </w:r>
      <w:r>
        <w:fldChar w:fldCharType="separate"/>
      </w:r>
      <w:r>
        <w:t>1</w:t>
      </w:r>
      <w:r>
        <w:fldChar w:fldCharType="end"/>
      </w:r>
    </w:p>
    <w:p>
      <w:pPr>
        <w:pStyle w:val="TOC2"/>
      </w:pPr>
      <w:hyperlink w:anchor="_Toc1427">
        <w:r>
          <w:t xml:space="preserve">The Redesigned AHS Operating Model — A Population Health System Operator</w:t>
        </w:r>
      </w:hyperlink>
      <w:r>
        <w:tab/>
      </w:r>
      <w:r>
        <w:fldChar w:fldCharType="begin"/>
      </w:r>
      <w:r>
        <w:instrText xml:space="preserve"> PAGEREF _Toc1427 \h </w:instrText>
      </w:r>
      <w:r>
        <w:fldChar w:fldCharType="separate"/>
      </w:r>
      <w:r>
        <w:t>1</w:t>
      </w:r>
      <w:r>
        <w:fldChar w:fldCharType="end"/>
      </w:r>
    </w:p>
    <w:p>
      <w:pPr>
        <w:pStyle w:val="TOC2"/>
      </w:pPr>
      <w:hyperlink w:anchor="_Toc1431">
        <w:r>
          <w:t xml:space="preserve">The Six-Pillar Framework Applied to AHS’s Mandate</w:t>
        </w:r>
      </w:hyperlink>
      <w:r>
        <w:tab/>
      </w:r>
      <w:r>
        <w:fldChar w:fldCharType="begin"/>
      </w:r>
      <w:r>
        <w:instrText xml:space="preserve"> PAGEREF _Toc1431 \h </w:instrText>
      </w:r>
      <w:r>
        <w:fldChar w:fldCharType="separate"/>
      </w:r>
      <w:r>
        <w:t>1</w:t>
      </w:r>
      <w:r>
        <w:fldChar w:fldCharType="end"/>
      </w:r>
    </w:p>
    <w:p>
      <w:pPr>
        <w:pStyle w:val="TOC2"/>
      </w:pPr>
      <w:hyperlink w:anchor="_Toc1432">
        <w:r>
          <w:t xml:space="preserve">The AHS Restructuring Implementation Timeline</w:t>
        </w:r>
      </w:hyperlink>
      <w:r>
        <w:tab/>
      </w:r>
      <w:r>
        <w:fldChar w:fldCharType="begin"/>
      </w:r>
      <w:r>
        <w:instrText xml:space="preserve"> PAGEREF _Toc1432 \h </w:instrText>
      </w:r>
      <w:r>
        <w:fldChar w:fldCharType="separate"/>
      </w:r>
      <w:r>
        <w:t>1</w:t>
      </w:r>
      <w:r>
        <w:fldChar w:fldCharType="end"/>
      </w:r>
    </w:p>
    <w:p>
      <w:pPr>
        <w:pStyle w:val="TOC2"/>
      </w:pPr>
      <w:hyperlink w:anchor="_Toc1433">
        <w:r>
          <w:t xml:space="preserve">A Framework for the 2028 Statewide Strategic Plan</w:t>
        </w:r>
      </w:hyperlink>
      <w:r>
        <w:tab/>
      </w:r>
      <w:r>
        <w:fldChar w:fldCharType="begin"/>
      </w:r>
      <w:r>
        <w:instrText xml:space="preserve"> PAGEREF _Toc1433 \h </w:instrText>
      </w:r>
      <w:r>
        <w:fldChar w:fldCharType="separate"/>
      </w:r>
      <w:r>
        <w:t>1</w:t>
      </w:r>
      <w:r>
        <w:fldChar w:fldCharType="end"/>
      </w:r>
    </w:p>
    <w:p>
      <w:pPr>
        <w:pStyle w:val="TOC2"/>
      </w:pPr>
      <w:hyperlink w:anchor="_Toc1435">
        <w:r>
          <w:t xml:space="preserve">Vermont as National Template — Why This Restructuring Matters Beyond Vermont</w:t>
        </w:r>
      </w:hyperlink>
      <w:r>
        <w:tab/>
      </w:r>
      <w:r>
        <w:fldChar w:fldCharType="begin"/>
      </w:r>
      <w:r>
        <w:instrText xml:space="preserve"> PAGEREF _Toc1435 \h </w:instrText>
      </w:r>
      <w:r>
        <w:fldChar w:fldCharType="separate"/>
      </w:r>
      <w:r>
        <w:t>1</w:t>
      </w:r>
      <w:r>
        <w:fldChar w:fldCharType="end"/>
      </w:r>
    </w:p>
    <w:p>
      <w:pPr>
        <w:pStyle w:val="TOC2"/>
      </w:pPr>
      <w:hyperlink w:anchor="_Toc1436">
        <w:r>
          <w:t xml:space="preserve">Work This Chapter on the Platform</w:t>
        </w:r>
      </w:hyperlink>
      <w:r>
        <w:tab/>
      </w:r>
      <w:r>
        <w:fldChar w:fldCharType="begin"/>
      </w:r>
      <w:r>
        <w:instrText xml:space="preserve"> PAGEREF _Toc1436 \h </w:instrText>
      </w:r>
      <w:r>
        <w:fldChar w:fldCharType="separate"/>
      </w:r>
      <w:r>
        <w:t>1</w:t>
      </w:r>
      <w:r>
        <w:fldChar w:fldCharType="end"/>
      </w:r>
    </w:p>
    <w:p>
      <w:pPr>
        <w:pStyle w:val="TOC2"/>
      </w:pPr>
      <w:hyperlink w:anchor="_Toc1437">
        <w:r>
          <w:t xml:space="preserve">Implications for You</w:t>
        </w:r>
      </w:hyperlink>
      <w:r>
        <w:tab/>
      </w:r>
      <w:r>
        <w:fldChar w:fldCharType="begin"/>
      </w:r>
      <w:r>
        <w:instrText xml:space="preserve"> PAGEREF _Toc1437 \h </w:instrText>
      </w:r>
      <w:r>
        <w:fldChar w:fldCharType="separate"/>
      </w:r>
      <w:r>
        <w:t>1</w:t>
      </w:r>
      <w:r>
        <w:fldChar w:fldCharType="end"/>
      </w:r>
    </w:p>
    <w:p>
      <w:pPr>
        <w:pStyle w:val="TOC2"/>
      </w:pPr>
      <w:hyperlink w:anchor="_Toc1438">
        <w:r>
          <w:t xml:space="preserve">Key Concepts in This Chapter</w:t>
        </w:r>
      </w:hyperlink>
      <w:r>
        <w:tab/>
      </w:r>
      <w:r>
        <w:fldChar w:fldCharType="begin"/>
      </w:r>
      <w:r>
        <w:instrText xml:space="preserve"> PAGEREF _Toc1438 \h </w:instrText>
      </w:r>
      <w:r>
        <w:fldChar w:fldCharType="separate"/>
      </w:r>
      <w:r>
        <w:t>1</w:t>
      </w:r>
      <w:r>
        <w:fldChar w:fldCharType="end"/>
      </w:r>
    </w:p>
    <w:p>
      <w:pPr>
        <w:pStyle w:val="TOC1"/>
      </w:pPr>
      <w:hyperlink w:anchor="_Toc1439">
        <w:r>
          <w:t xml:space="preserve">Conclusion — What Vermont Proves, and What Remains to Be Proven</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What Failure Actually Looks Like</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The Three Decisions That Are Not Yet Made</w:t>
        </w:r>
      </w:hyperlink>
      <w:r>
        <w:tab/>
      </w:r>
      <w:r>
        <w:fldChar w:fldCharType="begin"/>
      </w:r>
      <w:r>
        <w:instrText xml:space="preserve"> PAGEREF _Toc1441 \h </w:instrText>
      </w:r>
      <w:r>
        <w:fldChar w:fldCharType="separate"/>
      </w:r>
      <w:r>
        <w:t>1</w:t>
      </w:r>
      <w:r>
        <w:fldChar w:fldCharType="end"/>
      </w:r>
    </w:p>
    <w:p>
      <w:pPr>
        <w:pStyle w:val="TOC2"/>
      </w:pPr>
      <w:hyperlink w:anchor="_Toc1445">
        <w:r>
          <w:t xml:space="preserve">What Vermont Has Proved — As of April 2026</w:t>
        </w:r>
      </w:hyperlink>
      <w:r>
        <w:tab/>
      </w:r>
      <w:r>
        <w:fldChar w:fldCharType="begin"/>
      </w:r>
      <w:r>
        <w:instrText xml:space="preserve"> PAGEREF _Toc1445 \h </w:instrText>
      </w:r>
      <w:r>
        <w:fldChar w:fldCharType="separate"/>
      </w:r>
      <w:r>
        <w:t>1</w:t>
      </w:r>
      <w:r>
        <w:fldChar w:fldCharType="end"/>
      </w:r>
    </w:p>
    <w:p>
      <w:pPr>
        <w:pStyle w:val="TOC2"/>
      </w:pPr>
      <w:hyperlink w:anchor="_Toc1446">
        <w:r>
          <w:t xml:space="preserve">The People This Book Cannot Reach</w:t>
        </w:r>
      </w:hyperlink>
      <w:r>
        <w:tab/>
      </w:r>
      <w:r>
        <w:fldChar w:fldCharType="begin"/>
      </w:r>
      <w:r>
        <w:instrText xml:space="preserve"> PAGEREF _Toc1446 \h </w:instrText>
      </w:r>
      <w:r>
        <w:fldChar w:fldCharType="separate"/>
      </w:r>
      <w:r>
        <w:t>1</w:t>
      </w:r>
      <w:r>
        <w:fldChar w:fldCharType="end"/>
      </w:r>
    </w:p>
    <w:p>
      <w:pPr>
        <w:pStyle w:val="TOC2"/>
      </w:pPr>
      <w:hyperlink w:anchor="_Toc1447">
        <w:r>
          <w:t xml:space="preserve">The Call</w:t>
        </w:r>
      </w:hyperlink>
      <w:r>
        <w:tab/>
      </w:r>
      <w:r>
        <w:fldChar w:fldCharType="begin"/>
      </w:r>
      <w:r>
        <w:instrText xml:space="preserve"> PAGEREF _Toc1447 \h </w:instrText>
      </w:r>
      <w:r>
        <w:fldChar w:fldCharType="separate"/>
      </w:r>
      <w:r>
        <w:t>1</w:t>
      </w:r>
      <w:r>
        <w:fldChar w:fldCharType="end"/>
      </w:r>
    </w:p>
    <w:p>
      <w:pPr>
        <w:pStyle w:val="TOC2"/>
      </w:pPr>
      <w:hyperlink w:anchor="_Toc1448">
        <w:r>
          <w:t xml:space="preserve">Key Concepts in This Chapter</w:t>
        </w:r>
      </w:hyperlink>
      <w:r>
        <w:tab/>
      </w:r>
      <w:r>
        <w:fldChar w:fldCharType="begin"/>
      </w:r>
      <w:r>
        <w:instrText xml:space="preserve"> PAGEREF _Toc1448 \h </w:instrText>
      </w:r>
      <w:r>
        <w:fldChar w:fldCharType="separate"/>
      </w:r>
      <w:r>
        <w:t>1</w:t>
      </w:r>
      <w:r>
        <w:fldChar w:fldCharType="end"/>
      </w:r>
    </w:p>
    <w:p>
      <w:pPr>
        <w:pStyle w:val="TOC1"/>
      </w:pPr>
      <w:hyperlink w:anchor="_Toc1449">
        <w:r>
          <w:t xml:space="preserve">Appendix A — Vermont System Portrait</w:t>
        </w:r>
      </w:hyperlink>
      <w:r>
        <w:tab/>
      </w:r>
      <w:r>
        <w:fldChar w:fldCharType="begin"/>
      </w:r>
      <w:r>
        <w:instrText xml:space="preserve"> PAGEREF _Toc1449 \h </w:instrText>
      </w:r>
      <w:r>
        <w:fldChar w:fldCharType="separate"/>
      </w:r>
      <w:r>
        <w:t>1</w:t>
      </w:r>
      <w:r>
        <w:fldChar w:fldCharType="end"/>
      </w:r>
    </w:p>
    <w:p>
      <w:pPr>
        <w:pStyle w:val="TOC2"/>
      </w:pPr>
      <w:hyperlink w:anchor="_Toc1450">
        <w:r>
          <w:t xml:space="preserve">A.1 Vermont: The State</w:t>
        </w:r>
      </w:hyperlink>
      <w:r>
        <w:tab/>
      </w:r>
      <w:r>
        <w:fldChar w:fldCharType="begin"/>
      </w:r>
      <w:r>
        <w:instrText xml:space="preserve"> PAGEREF _Toc1450 \h </w:instrText>
      </w:r>
      <w:r>
        <w:fldChar w:fldCharType="separate"/>
      </w:r>
      <w:r>
        <w:t>1</w:t>
      </w:r>
      <w:r>
        <w:fldChar w:fldCharType="end"/>
      </w:r>
    </w:p>
    <w:p>
      <w:pPr>
        <w:pStyle w:val="TOC2"/>
      </w:pPr>
      <w:hyperlink w:anchor="_Toc1451">
        <w:r>
          <w:t xml:space="preserve">A.2 Demographics and Population Projections</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A.3 Regulatory Architecture: The Green Mountain Care Board</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A.4 The Hospital System</w:t>
        </w:r>
      </w:hyperlink>
      <w:r>
        <w:tab/>
      </w:r>
      <w:r>
        <w:fldChar w:fldCharType="begin"/>
      </w:r>
      <w:r>
        <w:instrText xml:space="preserve"> PAGEREF _Toc1453 \h </w:instrText>
      </w:r>
      <w:r>
        <w:fldChar w:fldCharType="separate"/>
      </w:r>
      <w:r>
        <w:t>1</w:t>
      </w:r>
      <w:r>
        <w:fldChar w:fldCharType="end"/>
      </w:r>
    </w:p>
    <w:p>
      <w:pPr>
        <w:pStyle w:val="TOC2"/>
      </w:pPr>
      <w:hyperlink w:anchor="_Toc1456">
        <w:r>
          <w:t xml:space="preserve">A.5 The Transformation Plans: A System in Motion</w:t>
        </w:r>
      </w:hyperlink>
      <w:r>
        <w:tab/>
      </w:r>
      <w:r>
        <w:fldChar w:fldCharType="begin"/>
      </w:r>
      <w:r>
        <w:instrText xml:space="preserve"> PAGEREF _Toc1456 \h </w:instrText>
      </w:r>
      <w:r>
        <w:fldChar w:fldCharType="separate"/>
      </w:r>
      <w:r>
        <w:t>1</w:t>
      </w:r>
      <w:r>
        <w:fldChar w:fldCharType="end"/>
      </w:r>
    </w:p>
    <w:p>
      <w:pPr>
        <w:pStyle w:val="TOC2"/>
      </w:pPr>
      <w:hyperlink w:anchor="_Toc1457">
        <w:r>
          <w:t xml:space="preserve">A.6 The Insurance and Premium Crisis</w:t>
        </w:r>
      </w:hyperlink>
      <w:r>
        <w:tab/>
      </w:r>
      <w:r>
        <w:fldChar w:fldCharType="begin"/>
      </w:r>
      <w:r>
        <w:instrText xml:space="preserve"> PAGEREF _Toc1457 \h </w:instrText>
      </w:r>
      <w:r>
        <w:fldChar w:fldCharType="separate"/>
      </w:r>
      <w:r>
        <w:t>1</w:t>
      </w:r>
      <w:r>
        <w:fldChar w:fldCharType="end"/>
      </w:r>
    </w:p>
    <w:p>
      <w:pPr>
        <w:pStyle w:val="TOC2"/>
      </w:pPr>
      <w:hyperlink w:anchor="_Toc1458">
        <w:r>
          <w:t xml:space="preserve">A.7 Healthcare Workforce</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A.8 Clinical Quality Indicators</w:t>
        </w:r>
      </w:hyperlink>
      <w:r>
        <w:tab/>
      </w:r>
      <w:r>
        <w:fldChar w:fldCharType="begin"/>
      </w:r>
      <w:r>
        <w:instrText xml:space="preserve"> PAGEREF _Toc1459 \h </w:instrText>
      </w:r>
      <w:r>
        <w:fldChar w:fldCharType="separate"/>
      </w:r>
      <w:r>
        <w:t>1</w:t>
      </w:r>
      <w:r>
        <w:fldChar w:fldCharType="end"/>
      </w:r>
    </w:p>
    <w:p>
      <w:pPr>
        <w:pStyle w:val="TOC1"/>
      </w:pPr>
      <w:hyperlink w:anchor="_Toc1460">
        <w:r>
          <w:t xml:space="preserve">Appendix B — Act 68 Statutory Timeline and Milestones</w:t>
        </w:r>
      </w:hyperlink>
      <w:r>
        <w:tab/>
      </w:r>
      <w:r>
        <w:fldChar w:fldCharType="begin"/>
      </w:r>
      <w:r>
        <w:instrText xml:space="preserve"> PAGEREF _Toc1460 \h </w:instrText>
      </w:r>
      <w:r>
        <w:fldChar w:fldCharType="separate"/>
      </w:r>
      <w:r>
        <w:t>1</w:t>
      </w:r>
      <w:r>
        <w:fldChar w:fldCharType="end"/>
      </w:r>
    </w:p>
    <w:p>
      <w:pPr>
        <w:pStyle w:val="TOC1"/>
      </w:pPr>
      <w:hyperlink w:anchor="_Toc1462">
        <w:r>
          <w:t xml:space="preserve">Appendix C — The 14-Hospital Centers of Excellence Assignment Framework</w:t>
        </w:r>
      </w:hyperlink>
      <w:r>
        <w:tab/>
      </w:r>
      <w:r>
        <w:fldChar w:fldCharType="begin"/>
      </w:r>
      <w:r>
        <w:instrText xml:space="preserve"> PAGEREF _Toc1462 \h </w:instrText>
      </w:r>
      <w:r>
        <w:fldChar w:fldCharType="separate"/>
      </w:r>
      <w:r>
        <w:t>1</w:t>
      </w:r>
      <w:r>
        <w:fldChar w:fldCharType="end"/>
      </w:r>
    </w:p>
    <w:p>
      <w:pPr>
        <w:pStyle w:val="TOC1"/>
      </w:pPr>
      <w:hyperlink w:anchor="_Toc1463">
        <w:r>
          <w:t xml:space="preserve">Appendix D — AHEAD State Agreement: Key Terms and Provisions</w:t>
        </w:r>
      </w:hyperlink>
      <w:r>
        <w:tab/>
      </w:r>
      <w:r>
        <w:fldChar w:fldCharType="begin"/>
      </w:r>
      <w:r>
        <w:instrText xml:space="preserve"> PAGEREF _Toc1463 \h </w:instrText>
      </w:r>
      <w:r>
        <w:fldChar w:fldCharType="separate"/>
      </w:r>
      <w:r>
        <w:t>1</w:t>
      </w:r>
      <w:r>
        <w:fldChar w:fldCharType="end"/>
      </w:r>
    </w:p>
    <w:p>
      <w:pPr>
        <w:pStyle w:val="TOC1"/>
      </w:pPr>
      <w:hyperlink w:anchor="_Toc1464">
        <w:r>
          <w:t xml:space="preserve">Appendix E — HTR Platform Tools and Methodology Overview</w:t>
        </w:r>
      </w:hyperlink>
      <w:r>
        <w:tab/>
      </w:r>
      <w:r>
        <w:fldChar w:fldCharType="begin"/>
      </w:r>
      <w:r>
        <w:instrText xml:space="preserve"> PAGEREF _Toc1464 \h </w:instrText>
      </w:r>
      <w:r>
        <w:fldChar w:fldCharType="separate"/>
      </w:r>
      <w:r>
        <w:t>1</w:t>
      </w:r>
      <w:r>
        <w:fldChar w:fldCharType="end"/>
      </w:r>
    </w:p>
    <w:p>
      <w:pPr>
        <w:pStyle w:val="TOC1"/>
      </w:pPr>
      <w:hyperlink w:anchor="_Toc1465">
        <w:r>
          <w:t xml:space="preserve">Appendix F — Vermont Transformation Scorecard: 2022 Baseline, 2026 Status, 2028 Target</w:t>
        </w:r>
      </w:hyperlink>
      <w:r>
        <w:tab/>
      </w:r>
      <w:r>
        <w:fldChar w:fldCharType="begin"/>
      </w:r>
      <w:r>
        <w:instrText xml:space="preserve"> PAGEREF _Toc1465 \h </w:instrText>
      </w:r>
      <w:r>
        <w:fldChar w:fldCharType="separate"/>
      </w:r>
      <w:r>
        <w:t>1</w:t>
      </w:r>
      <w:r>
        <w:fldChar w:fldCharType="end"/>
      </w:r>
    </w:p>
    <w:p>
      <w:pPr>
        <w:pStyle w:val="TOC1"/>
      </w:pPr>
      <w:hyperlink w:anchor="_Toc1472">
        <w:r>
          <w:t xml:space="preserve">Appendix G — A Reader’s Guide to the Health Transformation Review Platform</w:t>
        </w:r>
      </w:hyperlink>
      <w:r>
        <w:tab/>
      </w:r>
      <w:r>
        <w:fldChar w:fldCharType="begin"/>
      </w:r>
      <w:r>
        <w:instrText xml:space="preserve"> PAGEREF _Toc1472 \h </w:instrText>
      </w:r>
      <w:r>
        <w:fldChar w:fldCharType="separate"/>
      </w:r>
      <w:r>
        <w:t>1</w:t>
      </w:r>
      <w:r>
        <w:fldChar w:fldCharType="end"/>
      </w:r>
    </w:p>
    <w:p>
      <w:pPr>
        <w:pStyle w:val="TOC2"/>
      </w:pPr>
      <w:hyperlink w:anchor="_Toc1473">
        <w:r>
          <w:t xml:space="preserve">What This Platform Is</w:t>
        </w:r>
      </w:hyperlink>
      <w:r>
        <w:tab/>
      </w:r>
      <w:r>
        <w:fldChar w:fldCharType="begin"/>
      </w:r>
      <w:r>
        <w:instrText xml:space="preserve"> PAGEREF _Toc1473 \h </w:instrText>
      </w:r>
      <w:r>
        <w:fldChar w:fldCharType="separate"/>
      </w:r>
      <w:r>
        <w:t>1</w:t>
      </w:r>
      <w:r>
        <w:fldChar w:fldCharType="end"/>
      </w:r>
    </w:p>
    <w:p>
      <w:pPr>
        <w:pStyle w:val="TOC2"/>
      </w:pPr>
      <w:hyperlink w:anchor="_Toc1474">
        <w:r>
          <w:t xml:space="preserve">Navigating the Platform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The Six Pillars of Intelligence</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The Academy</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The Research Lab</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States &amp; Programs</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Advisory &amp; Services and the AI Analyst</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Reader Profiles and Recommended Paths</w:t>
        </w:r>
      </w:hyperlink>
      <w:r>
        <w:tab/>
      </w:r>
      <w:r>
        <w:fldChar w:fldCharType="begin"/>
      </w:r>
      <w:r>
        <w:instrText xml:space="preserve"> PAGEREF _Toc1480 \h </w:instrText>
      </w:r>
      <w:r>
        <w:fldChar w:fldCharType="separate"/>
      </w:r>
      <w:r>
        <w:t>1</w:t>
      </w:r>
      <w:r>
        <w:fldChar w:fldCharType="end"/>
      </w:r>
    </w:p>
    <w:p>
      <w:pPr>
        <w:pStyle w:val="TOC1"/>
      </w:pPr>
      <w:hyperlink w:anchor="_Toc1481">
        <w:r>
          <w:t xml:space="preserve">Appendix H — Adapting and Stress-Testing the Framework</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H.1 Glossary of Vermont-Specific Acronyms and Institutions</w:t>
        </w:r>
      </w:hyperlink>
      <w:r>
        <w:tab/>
      </w:r>
      <w:r>
        <w:fldChar w:fldCharType="begin"/>
      </w:r>
      <w:r>
        <w:instrText xml:space="preserve"> PAGEREF _Toc1482 \h </w:instrText>
      </w:r>
      <w:r>
        <w:fldChar w:fldCharType="separate"/>
      </w:r>
      <w:r>
        <w:t>1</w:t>
      </w:r>
      <w:r>
        <w:fldChar w:fldCharType="end"/>
      </w:r>
    </w:p>
    <w:p>
      <w:pPr>
        <w:pStyle w:val="TOC2"/>
      </w:pPr>
      <w:hyperlink w:anchor="_Toc1483">
        <w:r>
          <w:t xml:space="preserve">H.2 Worksheet — Adapt This Framework to Your State</w:t>
        </w:r>
      </w:hyperlink>
      <w:r>
        <w:tab/>
      </w:r>
      <w:r>
        <w:fldChar w:fldCharType="begin"/>
      </w:r>
      <w:r>
        <w:instrText xml:space="preserve"> PAGEREF _Toc1483 \h </w:instrText>
      </w:r>
      <w:r>
        <w:fldChar w:fldCharType="separate"/>
      </w:r>
      <w:r>
        <w:t>1</w:t>
      </w:r>
      <w:r>
        <w:fldChar w:fldCharType="end"/>
      </w:r>
    </w:p>
    <w:p>
      <w:pPr>
        <w:pStyle w:val="TOC2"/>
      </w:pPr>
      <w:hyperlink w:anchor="_Toc1484">
        <w:r>
          <w:t xml:space="preserve">H.3 The Transition Window — Financing FY2027–2030</w:t>
        </w:r>
      </w:hyperlink>
      <w:r>
        <w:tab/>
      </w:r>
      <w:r>
        <w:fldChar w:fldCharType="begin"/>
      </w:r>
      <w:r>
        <w:instrText xml:space="preserve"> PAGEREF _Toc1484 \h </w:instrText>
      </w:r>
      <w:r>
        <w:fldChar w:fldCharType="separate"/>
      </w:r>
      <w:r>
        <w:t>1</w:t>
      </w:r>
      <w:r>
        <w:fldChar w:fldCharType="end"/>
      </w:r>
    </w:p>
    <w:p>
      <w:pPr>
        <w:pStyle w:val="TOC2"/>
      </w:pPr>
      <w:hyperlink w:anchor="_Toc1487">
        <w:r>
          <w:t xml:space="preserve">H.4 Two Clocks — Reconciling Act 68 and AHEAD Cohort 2 Timelines</w:t>
        </w:r>
      </w:hyperlink>
      <w:r>
        <w:tab/>
      </w:r>
      <w:r>
        <w:fldChar w:fldCharType="begin"/>
      </w:r>
      <w:r>
        <w:instrText xml:space="preserve"> PAGEREF _Toc1487 \h </w:instrText>
      </w:r>
      <w:r>
        <w:fldChar w:fldCharType="separate"/>
      </w:r>
      <w:r>
        <w:t>1</w:t>
      </w:r>
      <w:r>
        <w:fldChar w:fldCharType="end"/>
      </w:r>
    </w:p>
    <w:p>
      <w:pPr>
        <w:pStyle w:val="TOC2"/>
      </w:pPr>
      <w:hyperlink w:anchor="_Toc1488">
        <w:r>
          <w:t xml:space="preserve">H.5 Enforcement Mechanics — What “Mandatory” Means in Practice</w:t>
        </w:r>
      </w:hyperlink>
      <w:r>
        <w:tab/>
      </w:r>
      <w:r>
        <w:fldChar w:fldCharType="begin"/>
      </w:r>
      <w:r>
        <w:instrText xml:space="preserve"> PAGEREF _Toc1488 \h </w:instrText>
      </w:r>
      <w:r>
        <w:fldChar w:fldCharType="separate"/>
      </w:r>
      <w:r>
        <w:t>1</w:t>
      </w:r>
      <w:r>
        <w:fldChar w:fldCharType="end"/>
      </w:r>
    </w:p>
    <w:p>
      <w:pPr>
        <w:pStyle w:val="TOC1"/>
      </w:pPr>
      <w:hyperlink w:anchor="_Toc1491">
        <w:r>
          <w:t xml:space="preserve">Appendix I — The HTR Lab Workbook: A Six-Pillar Practicum</w:t>
        </w:r>
      </w:hyperlink>
      <w:r>
        <w:tab/>
      </w:r>
      <w:r>
        <w:fldChar w:fldCharType="begin"/>
      </w:r>
      <w:r>
        <w:instrText xml:space="preserve"> PAGEREF _Toc1491 \h </w:instrText>
      </w:r>
      <w:r>
        <w:fldChar w:fldCharType="separate"/>
      </w:r>
      <w:r>
        <w:t>1</w:t>
      </w:r>
      <w:r>
        <w:fldChar w:fldCharType="end"/>
      </w:r>
    </w:p>
    <w:p>
      <w:pPr>
        <w:pStyle w:val="TOC2"/>
      </w:pPr>
      <w:hyperlink w:anchor="_Toc1492">
        <w:r>
          <w:t xml:space="preserve">How to Use This Workbook</w:t>
        </w:r>
      </w:hyperlink>
      <w:r>
        <w:tab/>
      </w:r>
      <w:r>
        <w:fldChar w:fldCharType="begin"/>
      </w:r>
      <w:r>
        <w:instrText xml:space="preserve"> PAGEREF _Toc1492 \h </w:instrText>
      </w:r>
      <w:r>
        <w:fldChar w:fldCharType="separate"/>
      </w:r>
      <w:r>
        <w:t>1</w:t>
      </w:r>
      <w:r>
        <w:fldChar w:fldCharType="end"/>
      </w:r>
    </w:p>
    <w:p>
      <w:pPr>
        <w:pStyle w:val="TOC2"/>
      </w:pPr>
      <w:hyperlink w:anchor="_Toc1493">
        <w:r>
          <w:t xml:space="preserve">Stage 1 — Policy: Establish the Mandate</w:t>
        </w:r>
      </w:hyperlink>
      <w:r>
        <w:tab/>
      </w:r>
      <w:r>
        <w:fldChar w:fldCharType="begin"/>
      </w:r>
      <w:r>
        <w:instrText xml:space="preserve"> PAGEREF _Toc1493 \h </w:instrText>
      </w:r>
      <w:r>
        <w:fldChar w:fldCharType="separate"/>
      </w:r>
      <w:r>
        <w:t>1</w:t>
      </w:r>
      <w:r>
        <w:fldChar w:fldCharType="end"/>
      </w:r>
    </w:p>
    <w:p>
      <w:pPr>
        <w:pStyle w:val="TOC2"/>
      </w:pPr>
      <w:hyperlink w:anchor="_Toc1494">
        <w:r>
          <w:t xml:space="preserve">Stage 2 — Technology: Build the Substrate</w:t>
        </w:r>
      </w:hyperlink>
      <w:r>
        <w:tab/>
      </w:r>
      <w:r>
        <w:fldChar w:fldCharType="begin"/>
      </w:r>
      <w:r>
        <w:instrText xml:space="preserve"> PAGEREF _Toc1494 \h </w:instrText>
      </w:r>
      <w:r>
        <w:fldChar w:fldCharType="separate"/>
      </w:r>
      <w:r>
        <w:t>1</w:t>
      </w:r>
      <w:r>
        <w:fldChar w:fldCharType="end"/>
      </w:r>
    </w:p>
    <w:p>
      <w:pPr>
        <w:pStyle w:val="TOC2"/>
      </w:pPr>
      <w:hyperlink w:anchor="_Toc1495">
        <w:r>
          <w:t xml:space="preserve">Stage 3 — Economics: Put Incentives on a Visible System</w:t>
        </w:r>
      </w:hyperlink>
      <w:r>
        <w:tab/>
      </w:r>
      <w:r>
        <w:fldChar w:fldCharType="begin"/>
      </w:r>
      <w:r>
        <w:instrText xml:space="preserve"> PAGEREF _Toc1495 \h </w:instrText>
      </w:r>
      <w:r>
        <w:fldChar w:fldCharType="separate"/>
      </w:r>
      <w:r>
        <w:t>1</w:t>
      </w:r>
      <w:r>
        <w:fldChar w:fldCharType="end"/>
      </w:r>
    </w:p>
    <w:p>
      <w:pPr>
        <w:pStyle w:val="TOC2"/>
      </w:pPr>
      <w:hyperlink w:anchor="_Toc1496">
        <w:r>
          <w:t xml:space="preserve">Stage 4 — Clinical: Redesign Care on Aligned Incentives</w:t>
        </w:r>
      </w:hyperlink>
      <w:r>
        <w:tab/>
      </w:r>
      <w:r>
        <w:fldChar w:fldCharType="begin"/>
      </w:r>
      <w:r>
        <w:instrText xml:space="preserve"> PAGEREF _Toc1496 \h </w:instrText>
      </w:r>
      <w:r>
        <w:fldChar w:fldCharType="separate"/>
      </w:r>
      <w:r>
        <w:t>1</w:t>
      </w:r>
      <w:r>
        <w:fldChar w:fldCharType="end"/>
      </w:r>
    </w:p>
    <w:p>
      <w:pPr>
        <w:pStyle w:val="TOC2"/>
      </w:pPr>
      <w:hyperlink w:anchor="_Toc1497">
        <w:r>
          <w:t xml:space="preserve">Stage 5 — Equity: Calibrate for the Gap, Not the Average</w:t>
        </w:r>
      </w:hyperlink>
      <w:r>
        <w:tab/>
      </w:r>
      <w:r>
        <w:fldChar w:fldCharType="begin"/>
      </w:r>
      <w:r>
        <w:instrText xml:space="preserve"> PAGEREF _Toc1497 \h </w:instrText>
      </w:r>
      <w:r>
        <w:fldChar w:fldCharType="separate"/>
      </w:r>
      <w:r>
        <w:t>1</w:t>
      </w:r>
      <w:r>
        <w:fldChar w:fldCharType="end"/>
      </w:r>
    </w:p>
    <w:p>
      <w:pPr>
        <w:pStyle w:val="TOC2"/>
      </w:pPr>
      <w:hyperlink w:anchor="_Toc1498">
        <w:r>
          <w:t xml:space="preserve">Stage 6 — Operations: Close the Execution Gap</w:t>
        </w:r>
      </w:hyperlink>
      <w:r>
        <w:tab/>
      </w:r>
      <w:r>
        <w:fldChar w:fldCharType="begin"/>
      </w:r>
      <w:r>
        <w:instrText xml:space="preserve"> PAGEREF _Toc1498 \h </w:instrText>
      </w:r>
      <w:r>
        <w:fldChar w:fldCharType="separate"/>
      </w:r>
      <w:r>
        <w:t>1</w:t>
      </w:r>
      <w:r>
        <w:fldChar w:fldCharType="end"/>
      </w:r>
    </w:p>
    <w:p>
      <w:pPr>
        <w:pStyle w:val="TOC1"/>
      </w:pPr>
      <w:hyperlink w:anchor="_Toc1499">
        <w:r>
          <w:t xml:space="preserve">Figure Index</w:t>
        </w:r>
      </w:hyperlink>
      <w:r>
        <w:tab/>
      </w:r>
      <w:r>
        <w:fldChar w:fldCharType="begin"/>
      </w:r>
      <w:r>
        <w:instrText xml:space="preserve"> PAGEREF _Toc1499 \h </w:instrText>
      </w:r>
      <w:r>
        <w:fldChar w:fldCharType="separate"/>
      </w:r>
      <w:r>
        <w:t>1</w:t>
      </w:r>
      <w:r>
        <w:fldChar w:fldCharType="end"/>
      </w:r>
    </w:p>
    <w:p>
      <w:pPr>
        <w:pStyle w:val="TOC1"/>
      </w:pPr>
      <w:hyperlink w:anchor="_Toc1500">
        <w:r>
          <w:t xml:space="preserve">Bibliography and Source Notes</w:t>
        </w:r>
      </w:hyperlink>
      <w:r>
        <w:tab/>
      </w:r>
      <w:r>
        <w:fldChar w:fldCharType="begin"/>
      </w:r>
      <w:r>
        <w:instrText xml:space="preserve"> PAGEREF _Toc1500 \h </w:instrText>
      </w:r>
      <w:r>
        <w:fldChar w:fldCharType="separate"/>
      </w:r>
      <w:r>
        <w:t>1</w:t>
      </w:r>
      <w:r>
        <w:fldChar w:fldCharType="end"/>
      </w:r>
    </w:p>
    <w:p>
      <w:pPr>
        <w:pStyle w:val="TOC1"/>
      </w:pPr>
      <w:hyperlink w:anchor="_Toc1501">
        <w:r>
          <w:t xml:space="preserve">Index (Selected)</w:t>
        </w:r>
      </w:hyperlink>
      <w:r>
        <w:tab/>
      </w:r>
      <w:r>
        <w:fldChar w:fldCharType="begin"/>
      </w:r>
      <w:r>
        <w:instrText xml:space="preserve"> PAGEREF _Toc1501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pStyle w:val="Compact"/>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pStyle w:val="Compact"/>
        <w:numPr>
          <w:ilvl w:val="0"/>
          <w:numId w:val="1001"/>
        </w:numPr>
        <w:keepLines w:val="true"/>
        <w:keepNext w:val="true"/>
      </w:pPr>
      <w:r>
        <w:t xml:space="preserve">The platform (</w:t>
      </w:r>
      <w:hyperlink r:id="rId21">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spacing w:before="280"/>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335"/>
        <w:gridCol w:w="2130"/>
        <w:gridCol w:w="2625"/>
        <w:gridCol w:w="2970"/>
      </w:tblGrid>
      <w:tr>
        <w:trPr>
          <w:tblHeader w:val="on"/>
          <w:cantSplit/>
        </w:trPr>
        <w:tc>
          <w:tcPr>
            <w:shd w:val="clear" w:color="auto" w:fill="1B3A6B"/>
            <w:tcW w:w="1335" w:type="dxa"/>
          </w:tcPr>
          <w:p>
            <w:pPr>
              <w:pStyle w:val="Compact"/>
              <w:jc w:val="left"/>
            </w:pPr>
            <w:r>
              <w:rPr>
                <w:b/>
                <w:color w:val="FFFFFF"/>
                <w:sz w:val="18"/>
              </w:rPr>
              <w:t xml:space="preserve">Sequencing Gap</w:t>
            </w:r>
          </w:p>
        </w:tc>
        <w:tc>
          <w:tcPr>
            <w:shd w:val="clear" w:color="auto" w:fill="1B3A6B"/>
            <w:tcW w:w="2130" w:type="dxa"/>
          </w:tcPr>
          <w:p>
            <w:pPr>
              <w:pStyle w:val="Compact"/>
              <w:jc w:val="left"/>
            </w:pPr>
            <w:r>
              <w:rPr>
                <w:b/>
                <w:color w:val="FFFFFF"/>
                <w:sz w:val="18"/>
              </w:rPr>
              <w:t xml:space="preserve">Structural Error</w:t>
            </w:r>
          </w:p>
        </w:tc>
        <w:tc>
          <w:tcPr>
            <w:shd w:val="clear" w:color="auto" w:fill="1B3A6B"/>
            <w:tcW w:w="2625" w:type="dxa"/>
          </w:tcPr>
          <w:p>
            <w:pPr>
              <w:pStyle w:val="Compact"/>
              <w:jc w:val="left"/>
            </w:pPr>
            <w:r>
              <w:rPr>
                <w:b/>
                <w:color w:val="FFFFFF"/>
                <w:sz w:val="18"/>
              </w:rPr>
              <w:t xml:space="preserve">Direct Consequence</w:t>
            </w:r>
          </w:p>
        </w:tc>
        <w:tc>
          <w:tcPr>
            <w:shd w:val="clear" w:color="auto" w:fill="1B3A6B"/>
            <w:tcW w:w="2970" w:type="dxa"/>
          </w:tcPr>
          <w:p>
            <w:pPr>
              <w:pStyle w:val="Compact"/>
              <w:jc w:val="left"/>
            </w:pPr>
            <w:r>
              <w:rPr>
                <w:b/>
                <w:color w:val="FFFFFF"/>
                <w:sz w:val="18"/>
              </w:rPr>
              <w:t xml:space="preserve">Cascade Effect</w:t>
            </w:r>
          </w:p>
        </w:tc>
      </w:tr>
      <w:tr>
        <w:trPr>
          <w:cantSplit/>
        </w:trPr>
        <w:tc>
          <w:tcPr>
            <w:tcW w:w="1335" w:type="dxa"/>
          </w:tcPr>
          <w:p>
            <w:pPr>
              <w:pStyle w:val="Compact"/>
              <w:jc w:val="left"/>
            </w:pPr>
            <w:r>
              <w:rPr>
                <w:sz w:val="18"/>
              </w:rPr>
              <w:t xml:space="preserve">Policy (Stage 1)</w:t>
            </w:r>
          </w:p>
        </w:tc>
        <w:tc>
          <w:tcPr>
            <w:tcW w:w="2130" w:type="dxa"/>
          </w:tcPr>
          <w:p>
            <w:pPr>
              <w:pStyle w:val="Compact"/>
              <w:jc w:val="left"/>
            </w:pPr>
            <w:r>
              <w:rPr>
                <w:sz w:val="18"/>
              </w:rPr>
              <w:t xml:space="preserve">Voluntary participation — no mandate</w:t>
            </w:r>
          </w:p>
        </w:tc>
        <w:tc>
          <w:tcPr>
            <w:tcW w:w="2625" w:type="dxa"/>
          </w:tcPr>
          <w:p>
            <w:pPr>
              <w:pStyle w:val="Compact"/>
              <w:jc w:val="left"/>
            </w:pPr>
            <w:r>
              <w:rPr>
                <w:sz w:val="18"/>
              </w:rPr>
              <w:t xml:space="preserve">High-revenue hospitals opt out; ACO accountable for costs it cannot influence</w:t>
            </w:r>
          </w:p>
        </w:tc>
        <w:tc>
          <w:tcPr>
            <w:tcW w:w="2970" w:type="dxa"/>
          </w:tcPr>
          <w:p>
            <w:pPr>
              <w:pStyle w:val="Compact"/>
              <w:jc w:val="left"/>
            </w:pPr>
            <w:r>
              <w:rPr>
                <w:sz w:val="18"/>
              </w:rPr>
              <w:t xml:space="preserve">Total cost of care cannot be managed → savings targets missed</w:t>
            </w:r>
          </w:p>
        </w:tc>
      </w:tr>
      <w:tr>
        <w:trPr/>
        <w:tc>
          <w:tcPr>
            <w:tcW w:w="1335" w:type="dxa"/>
          </w:tcPr>
          <w:p>
            <w:pPr>
              <w:pStyle w:val="Compact"/>
              <w:jc w:val="left"/>
            </w:pPr>
            <w:r>
              <w:rPr>
                <w:sz w:val="18"/>
              </w:rPr>
              <w:t xml:space="preserve">Technology (Stage 2)</w:t>
            </w:r>
          </w:p>
        </w:tc>
        <w:tc>
          <w:tcPr>
            <w:tcW w:w="2130" w:type="dxa"/>
          </w:tcPr>
          <w:p>
            <w:pPr>
              <w:pStyle w:val="Compact"/>
              <w:jc w:val="left"/>
            </w:pPr>
            <w:r>
              <w:rPr>
                <w:sz w:val="18"/>
              </w:rPr>
              <w:t xml:space="preserve">No integrated real-time data; 60–90 day lag</w:t>
            </w:r>
          </w:p>
        </w:tc>
        <w:tc>
          <w:tcPr>
            <w:tcW w:w="26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970" w:type="dxa"/>
          </w:tcPr>
          <w:p>
            <w:pPr>
              <w:pStyle w:val="Compact"/>
              <w:jc w:val="left"/>
            </w:pPr>
            <w:r>
              <w:rPr>
                <w:sz w:val="18"/>
              </w:rPr>
              <w:t xml:space="preserve">Proactive intervention impossible → high-cost events not prevented → financial exposure accelerates</w:t>
            </w:r>
          </w:p>
        </w:tc>
      </w:tr>
      <w:tr>
        <w:trPr/>
        <w:tc>
          <w:tcPr>
            <w:tcW w:w="1335" w:type="dxa"/>
          </w:tcPr>
          <w:p>
            <w:pPr>
              <w:pStyle w:val="Compact"/>
              <w:jc w:val="left"/>
            </w:pPr>
            <w:r>
              <w:rPr>
                <w:sz w:val="18"/>
              </w:rPr>
              <w:t xml:space="preserve">Economics (Stage 3)</w:t>
            </w:r>
          </w:p>
        </w:tc>
        <w:tc>
          <w:tcPr>
            <w:tcW w:w="2130" w:type="dxa"/>
          </w:tcPr>
          <w:p>
            <w:pPr>
              <w:pStyle w:val="Compact"/>
              <w:jc w:val="left"/>
            </w:pPr>
            <w:r>
              <w:rPr>
                <w:sz w:val="18"/>
              </w:rPr>
              <w:t xml:space="preserve">Payment model assumed risk before technology was ready</w:t>
            </w:r>
          </w:p>
        </w:tc>
        <w:tc>
          <w:tcPr>
            <w:tcW w:w="2625" w:type="dxa"/>
          </w:tcPr>
          <w:p>
            <w:pPr>
              <w:pStyle w:val="Compact"/>
              <w:jc w:val="left"/>
            </w:pPr>
            <w:r>
              <w:rPr>
                <w:sz w:val="18"/>
              </w:rPr>
              <w:t xml:space="preserve">Unexpected losses → cannot demonstrate savings to payers</w:t>
            </w:r>
          </w:p>
        </w:tc>
        <w:tc>
          <w:tcPr>
            <w:tcW w:w="2970" w:type="dxa"/>
          </w:tcPr>
          <w:p>
            <w:pPr>
              <w:pStyle w:val="Compact"/>
              <w:jc w:val="left"/>
            </w:pPr>
            <w:r>
              <w:rPr>
                <w:sz w:val="18"/>
              </w:rPr>
              <w:t xml:space="preserve">Capital unavailable to build technology → cycle repeats</w:t>
            </w:r>
          </w:p>
        </w:tc>
      </w:tr>
      <w:tr>
        <w:trPr>
          <w:cantSplit/>
        </w:trPr>
        <w:tc>
          <w:tcPr>
            <w:tcW w:w="1335" w:type="dxa"/>
          </w:tcPr>
          <w:p>
            <w:pPr>
              <w:pStyle w:val="Compact"/>
              <w:jc w:val="left"/>
            </w:pPr>
            <w:r>
              <w:rPr>
                <w:sz w:val="18"/>
              </w:rPr>
              <w:t xml:space="preserve">System-level</w:t>
            </w:r>
          </w:p>
        </w:tc>
        <w:tc>
          <w:tcPr>
            <w:tcW w:w="2130" w:type="dxa"/>
          </w:tcPr>
          <w:p>
            <w:pPr>
              <w:pStyle w:val="Compact"/>
              <w:jc w:val="left"/>
            </w:pPr>
            <w:r>
              <w:rPr>
                <w:sz w:val="18"/>
              </w:rPr>
              <w:t xml:space="preserve">Three gaps mutually reinforcing</w:t>
            </w:r>
          </w:p>
        </w:tc>
        <w:tc>
          <w:tcPr>
            <w:tcW w:w="2625" w:type="dxa"/>
          </w:tcPr>
          <w:p>
            <w:pPr>
              <w:pStyle w:val="Compact"/>
              <w:jc w:val="left"/>
            </w:pPr>
            <w:r>
              <w:rPr>
                <w:sz w:val="18"/>
              </w:rPr>
              <w:t xml:space="preserve">Organizational wind-down after ~10 years</w:t>
            </w:r>
          </w:p>
        </w:tc>
        <w:tc>
          <w:tcPr>
            <w:tcW w:w="2970" w:type="dxa"/>
          </w:tcPr>
          <w:p>
            <w:pPr>
              <w:pStyle w:val="Compact"/>
              <w:jc w:val="left"/>
            </w:pPr>
            <w:r>
              <w:rPr>
                <w:sz w:val="18"/>
              </w:rPr>
              <w:t xml:space="preserve">Failure was architectural — no management decision could reverse it</w:t>
            </w:r>
          </w:p>
        </w:tc>
      </w:tr>
    </w:tbl>
    <w:p>
      <w:pPr>
        <w:pStyle w:val="Caption"/>
        <w:keepNext/>
        <w:spacing w:before="120"/>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530"/>
        <w:gridCol w:w="3255"/>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530" w:type="dxa"/>
          </w:tcPr>
          <w:p>
            <w:pPr>
              <w:pStyle w:val="Compact"/>
              <w:jc w:val="left"/>
            </w:pPr>
            <w:r>
              <w:rPr>
                <w:b/>
                <w:color w:val="FFFFFF"/>
                <w:sz w:val="18"/>
              </w:rPr>
              <w:t xml:space="preserve">Diagnostic question</w:t>
            </w:r>
          </w:p>
        </w:tc>
        <w:tc>
          <w:tcPr>
            <w:shd w:val="clear" w:color="auto" w:fill="1B3A6B"/>
            <w:tcW w:w="3255"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530" w:type="dxa"/>
          </w:tcPr>
          <w:p>
            <w:pPr>
              <w:pStyle w:val="Compact"/>
              <w:jc w:val="left"/>
            </w:pPr>
            <w:r>
              <w:rPr>
                <w:sz w:val="18"/>
              </w:rPr>
              <w:t xml:space="preserve">Is it permissible?</w:t>
            </w:r>
          </w:p>
        </w:tc>
        <w:tc>
          <w:tcPr>
            <w:tcW w:w="3255"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530" w:type="dxa"/>
          </w:tcPr>
          <w:p>
            <w:pPr>
              <w:pStyle w:val="Compact"/>
              <w:jc w:val="left"/>
            </w:pPr>
            <w:r>
              <w:rPr>
                <w:sz w:val="18"/>
              </w:rPr>
              <w:t xml:space="preserve">Is it possible?</w:t>
            </w:r>
          </w:p>
        </w:tc>
        <w:tc>
          <w:tcPr>
            <w:tcW w:w="3255"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530" w:type="dxa"/>
          </w:tcPr>
          <w:p>
            <w:pPr>
              <w:pStyle w:val="Compact"/>
              <w:jc w:val="left"/>
            </w:pPr>
            <w:r>
              <w:rPr>
                <w:sz w:val="18"/>
              </w:rPr>
              <w:t xml:space="preserve">Is it sustainable?</w:t>
            </w:r>
          </w:p>
        </w:tc>
        <w:tc>
          <w:tcPr>
            <w:tcW w:w="3255"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530" w:type="dxa"/>
          </w:tcPr>
          <w:p>
            <w:pPr>
              <w:pStyle w:val="Compact"/>
              <w:jc w:val="left"/>
            </w:pPr>
            <w:r>
              <w:rPr>
                <w:sz w:val="18"/>
              </w:rPr>
              <w:t xml:space="preserve">Is it effective?</w:t>
            </w:r>
          </w:p>
        </w:tc>
        <w:tc>
          <w:tcPr>
            <w:tcW w:w="3255"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530" w:type="dxa"/>
          </w:tcPr>
          <w:p>
            <w:pPr>
              <w:pStyle w:val="Compact"/>
              <w:jc w:val="left"/>
            </w:pPr>
            <w:r>
              <w:rPr>
                <w:sz w:val="18"/>
              </w:rPr>
              <w:t xml:space="preserve">Is it just?</w:t>
            </w:r>
          </w:p>
        </w:tc>
        <w:tc>
          <w:tcPr>
            <w:tcW w:w="3255"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530" w:type="dxa"/>
          </w:tcPr>
          <w:p>
            <w:pPr>
              <w:pStyle w:val="Compact"/>
              <w:jc w:val="left"/>
            </w:pPr>
            <w:r>
              <w:rPr>
                <w:sz w:val="18"/>
              </w:rPr>
              <w:t xml:space="preserve">Is it executable?</w:t>
            </w:r>
          </w:p>
        </w:tc>
        <w:tc>
          <w:tcPr>
            <w:tcW w:w="3255"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spacing w:before="120"/>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vAlign w:val="center"/>
            <w:tcW w:w="1368" w:type="dxa"/>
          </w:tcPr>
          <w:p>
            <w:pPr>
              <w:pStyle w:val="Compact"/>
              <w:jc w:val="center"/>
            </w:pPr>
            <w:r>
              <w:rPr>
                <w:b/>
                <w:color w:val="FFFFFF"/>
                <w:sz w:val="16"/>
              </w:rPr>
              <w:t xml:space="preserve">From ↓ / To →</w:t>
            </w:r>
          </w:p>
        </w:tc>
        <w:tc>
          <w:tcPr>
            <w:shd w:val="clear" w:color="auto" w:fill="1B3A6B"/>
            <w:vAlign w:val="center"/>
            <w:tcW w:w="1284" w:type="dxa"/>
          </w:tcPr>
          <w:p>
            <w:pPr>
              <w:pStyle w:val="Compact"/>
              <w:jc w:val="center"/>
            </w:pPr>
            <w:r>
              <w:rPr>
                <w:b/>
                <w:color w:val="FFFFFF"/>
                <w:sz w:val="16"/>
              </w:rPr>
              <w:t xml:space="preserve">Policy</w:t>
            </w:r>
          </w:p>
        </w:tc>
        <w:tc>
          <w:tcPr>
            <w:shd w:val="clear" w:color="auto" w:fill="1B3A6B"/>
            <w:vAlign w:val="center"/>
            <w:tcW w:w="1284" w:type="dxa"/>
          </w:tcPr>
          <w:p>
            <w:pPr>
              <w:pStyle w:val="Compact"/>
              <w:jc w:val="center"/>
            </w:pPr>
            <w:r>
              <w:rPr>
                <w:b/>
                <w:color w:val="FFFFFF"/>
                <w:sz w:val="16"/>
              </w:rPr>
              <w:t xml:space="preserve">Technology</w:t>
            </w:r>
          </w:p>
        </w:tc>
        <w:tc>
          <w:tcPr>
            <w:shd w:val="clear" w:color="auto" w:fill="1B3A6B"/>
            <w:vAlign w:val="center"/>
            <w:tcW w:w="1284" w:type="dxa"/>
          </w:tcPr>
          <w:p>
            <w:pPr>
              <w:pStyle w:val="Compact"/>
              <w:jc w:val="center"/>
            </w:pPr>
            <w:r>
              <w:rPr>
                <w:b/>
                <w:color w:val="FFFFFF"/>
                <w:sz w:val="16"/>
              </w:rPr>
              <w:t xml:space="preserve">Economics</w:t>
            </w:r>
          </w:p>
        </w:tc>
        <w:tc>
          <w:tcPr>
            <w:shd w:val="clear" w:color="auto" w:fill="1B3A6B"/>
            <w:vAlign w:val="center"/>
            <w:tcW w:w="1284" w:type="dxa"/>
          </w:tcPr>
          <w:p>
            <w:pPr>
              <w:pStyle w:val="Compact"/>
              <w:jc w:val="center"/>
            </w:pPr>
            <w:r>
              <w:rPr>
                <w:b/>
                <w:color w:val="FFFFFF"/>
                <w:sz w:val="16"/>
              </w:rPr>
              <w:t xml:space="preserve">Clinical</w:t>
            </w:r>
          </w:p>
        </w:tc>
        <w:tc>
          <w:tcPr>
            <w:shd w:val="clear" w:color="auto" w:fill="1B3A6B"/>
            <w:vAlign w:val="center"/>
            <w:tcW w:w="1284" w:type="dxa"/>
          </w:tcPr>
          <w:p>
            <w:pPr>
              <w:pStyle w:val="Compact"/>
              <w:jc w:val="center"/>
            </w:pPr>
            <w:r>
              <w:rPr>
                <w:b/>
                <w:color w:val="FFFFFF"/>
                <w:sz w:val="16"/>
              </w:rPr>
              <w:t xml:space="preserve">Equity</w:t>
            </w:r>
          </w:p>
        </w:tc>
        <w:tc>
          <w:tcPr>
            <w:shd w:val="clear" w:color="auto" w:fill="1B3A6B"/>
            <w:vAlign w:val="center"/>
            <w:tcW w:w="1284" w:type="dxa"/>
          </w:tcPr>
          <w:p>
            <w:pPr>
              <w:pStyle w:val="Compact"/>
              <w:jc w:val="center"/>
            </w:pPr>
            <w:r>
              <w:rPr>
                <w:b/>
                <w:color w:val="FFFFFF"/>
                <w:sz w:val="16"/>
              </w:rPr>
              <w:t xml:space="preserve">Operations</w:t>
            </w:r>
          </w:p>
        </w:tc>
      </w:tr>
      <w:tr>
        <w:trPr>
          <w:cantSplit/>
        </w:trPr>
        <w:tc>
          <w:tcPr>
            <w:vAlign w:val="center"/>
            <w:shd w:val="clear" w:color="auto" w:fill="1B3A6B"/>
            <w:tcW w:w="1368" w:type="dxa"/>
          </w:tcPr>
          <w:p>
            <w:pPr>
              <w:pStyle w:val="Compact"/>
              <w:jc w:val="center"/>
              <w:suppressAutoHyphens/>
            </w:pPr>
            <w:r>
              <w:rPr>
                <w:b/>
                <w:bCs/>
                <w:color w:val="FFFFFF"/>
                <w:sz w:val="16"/>
              </w:rPr>
              <w:t xml:space="preserve">Policy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mandatory authority</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accountability mandates</w:t>
            </w:r>
          </w:p>
        </w:tc>
        <w:tc>
          <w:tcPr>
            <w:vAlign w:val="center"/>
            <w:tcW w:w="1284" w:type="dxa"/>
          </w:tcPr>
          <w:p>
            <w:pPr>
              <w:pStyle w:val="Compact"/>
              <w:jc w:val="center"/>
            </w:pPr>
            <w:r>
              <w:rPr>
                <w:sz w:val="16"/>
              </w:rPr>
              <w:t xml:space="preserve">[REQUIRES] statutory deadlines</w:t>
            </w:r>
          </w:p>
        </w:tc>
      </w:tr>
      <w:tr>
        <w:trPr/>
        <w:tc>
          <w:tcPr>
            <w:vAlign w:val="center"/>
            <w:shd w:val="clear" w:color="auto" w:fill="1B3A6B"/>
            <w:tcW w:w="1368" w:type="dxa"/>
          </w:tcPr>
          <w:p>
            <w:pPr>
              <w:pStyle w:val="Compact"/>
              <w:jc w:val="center"/>
              <w:suppressAutoHyphens/>
            </w:pPr>
            <w:r>
              <w:rPr>
                <w:b/>
                <w:bCs/>
                <w:color w:val="FFFFFF"/>
                <w:sz w:val="16"/>
              </w:rPr>
              <w:t xml:space="preserve">Technology</w:t>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VBC financial management</w:t>
            </w:r>
          </w:p>
        </w:tc>
        <w:tc>
          <w:tcPr>
            <w:vAlign w:val="center"/>
            <w:tcW w:w="1284" w:type="dxa"/>
          </w:tcPr>
          <w:p>
            <w:pPr>
              <w:pStyle w:val="Compact"/>
              <w:jc w:val="center"/>
            </w:pPr>
            <w:r>
              <w:rPr>
                <w:sz w:val="16"/>
              </w:rPr>
              <w:t xml:space="preserve">[ENABLES] risk stratification</w:t>
            </w:r>
          </w:p>
        </w:tc>
        <w:tc>
          <w:tcPr>
            <w:vAlign w:val="center"/>
            <w:tcW w:w="1284" w:type="dxa"/>
          </w:tcPr>
          <w:p>
            <w:pPr>
              <w:pStyle w:val="Compact"/>
              <w:jc w:val="center"/>
            </w:pPr>
            <w:r>
              <w:rPr>
                <w:sz w:val="16"/>
              </w:rPr>
              <w:t xml:space="preserve">[ENABLES] demographic stratification</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Economics</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[REQUIRES] data infrastructure</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[DRIVES] financial rationality</w:t>
            </w:r>
          </w:p>
        </w:tc>
        <w:tc>
          <w:tcPr>
            <w:vAlign w:val="center"/>
            <w:tcW w:w="1284" w:type="dxa"/>
          </w:tcPr>
          <w:p>
            <w:pPr>
              <w:pStyle w:val="Compact"/>
              <w:jc w:val="center"/>
            </w:pPr>
            <w:r>
              <w:rPr>
                <w:sz w:val="16"/>
              </w:rPr>
              <w:t xml:space="preserve">[REQUIRES] social risk adjustment</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Clinical</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access expansion</w:t>
            </w:r>
          </w:p>
        </w:tc>
        <w:tc>
          <w:tcPr>
            <w:vAlign w:val="center"/>
            <w:tcW w:w="1284" w:type="dxa"/>
          </w:tcPr>
          <w:p>
            <w:pPr>
              <w:pStyle w:val="Compact"/>
              <w:jc w:val="center"/>
            </w:pPr>
            <w:r>
              <w:rPr>
                <w:sz w:val="16"/>
              </w:rPr>
              <w:t xml:space="preserve">[REQUIRES] execution infrastructure</w:t>
            </w:r>
          </w:p>
        </w:tc>
      </w:tr>
      <w:tr>
        <w:trPr/>
        <w:tc>
          <w:tcPr>
            <w:vAlign w:val="center"/>
            <w:shd w:val="clear" w:color="auto" w:fill="1B3A6B"/>
            <w:tcW w:w="1368" w:type="dxa"/>
          </w:tcPr>
          <w:p>
            <w:pPr>
              <w:pStyle w:val="Compact"/>
              <w:jc w:val="center"/>
              <w:suppressAutoHyphens/>
            </w:pPr>
            <w:r>
              <w:rPr>
                <w:b/>
                <w:bCs/>
                <w:color w:val="FFFFFF"/>
                <w:sz w:val="16"/>
              </w:rPr>
              <w:t xml:space="preserve">Equity</w:t>
            </w:r>
          </w:p>
        </w:tc>
        <w:tc>
          <w:tcPr>
            <w:vAlign w:val="center"/>
            <w:tcW w:w="1284" w:type="dxa"/>
          </w:tcPr>
          <w:p>
            <w:pPr>
              <w:pStyle w:val="Compact"/>
              <w:jc w:val="center"/>
            </w:pPr>
            <w:r>
              <w:rPr>
                <w:sz w:val="16"/>
              </w:rPr>
              <w:t xml:space="preserve">[CONSTRAINS] with justice reviews</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[CONSTRAINS] with cultural competency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r>
      <w:tr>
        <w:trPr>
          <w:cantSplit/>
        </w:trPr>
        <w:tc>
          <w:tcPr>
            <w:vAlign w:val="center"/>
            <w:shd w:val="clear" w:color="auto" w:fill="1B3A6B"/>
            <w:tcW w:w="1368" w:type="dxa"/>
          </w:tcPr>
          <w:p>
            <w:pPr>
              <w:pStyle w:val="Compact"/>
              <w:jc w:val="center"/>
              <w:suppressAutoHyphens/>
            </w:pPr>
            <w:r>
              <w:rPr>
                <w:b/>
                <w:bCs/>
                <w:color w:val="FFFFFF"/>
                <w:sz w:val="16"/>
              </w:rPr>
              <w:t xml:space="preserve">Operations</w:t>
            </w:r>
          </w:p>
        </w:tc>
        <w:tc>
          <w:tcPr>
            <w:vAlign w:val="center"/>
            <w:tcW w:w="1284" w:type="dxa"/>
          </w:tcPr>
          <w:p>
            <w:pPr>
              <w:pStyle w:val="Compact"/>
              <w:jc w:val="center"/>
            </w:pPr>
            <w:r>
              <w:rPr>
                <w:sz w:val="16"/>
              </w:rPr>
              <w:t xml:space="preserve">[ENABLES] data feedback loops</w:t>
            </w:r>
          </w:p>
        </w:tc>
        <w:tc>
          <w:tcPr>
            <w:vAlign w:val="center"/>
            <w:tcW w:w="1284" w:type="dxa"/>
          </w:tcPr>
          <w:p>
            <w:pPr>
              <w:pStyle w:val="Compact"/>
              <w:jc w:val="center"/>
            </w:pPr>
            <w:r>
              <w:rPr>
                <w:sz w:val="16"/>
              </w:rPr>
              <w:t xml:space="preserve">[REQUIRES] workforce to run infrastructure</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r>
    </w:tbl>
    <w:p>
      <w:pPr>
        <w:pStyle w:val="Caption"/>
        <w:spacing w:before="120"/>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spacing w:before="120"/>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spacing w:before="120"/>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spacing w:before="120"/>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2">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1950"/>
        <w:gridCol w:w="2070"/>
        <w:gridCol w:w="2970"/>
        <w:gridCol w:w="2070"/>
      </w:tblGrid>
      <w:tr>
        <w:trPr>
          <w:tblHeader w:val="on"/>
          <w:cantSplit/>
        </w:trPr>
        <w:tc>
          <w:tcPr>
            <w:shd w:val="clear" w:color="auto" w:fill="1B3A6B"/>
            <w:tcW w:w="1950" w:type="dxa"/>
          </w:tcPr>
          <w:p>
            <w:pPr>
              <w:pStyle w:val="Compact"/>
              <w:jc w:val="left"/>
            </w:pPr>
            <w:r>
              <w:rPr>
                <w:b/>
                <w:color w:val="FFFFFF"/>
                <w:sz w:val="18"/>
              </w:rPr>
              <w:t xml:space="preserve">Sequencing error</w:t>
            </w:r>
          </w:p>
        </w:tc>
        <w:tc>
          <w:tcPr>
            <w:shd w:val="clear" w:color="auto" w:fill="1B3A6B"/>
            <w:tcW w:w="2070" w:type="dxa"/>
          </w:tcPr>
          <w:p>
            <w:pPr>
              <w:pStyle w:val="Compact"/>
              <w:jc w:val="left"/>
            </w:pPr>
            <w:r>
              <w:rPr>
                <w:b/>
                <w:color w:val="FFFFFF"/>
                <w:sz w:val="18"/>
              </w:rPr>
              <w:t xml:space="preserve">Early-warning signals</w:t>
            </w:r>
          </w:p>
        </w:tc>
        <w:tc>
          <w:tcPr>
            <w:shd w:val="clear" w:color="auto" w:fill="1B3A6B"/>
            <w:tcW w:w="2970" w:type="dxa"/>
          </w:tcPr>
          <w:p>
            <w:pPr>
              <w:pStyle w:val="Compact"/>
              <w:jc w:val="left"/>
            </w:pPr>
            <w:r>
              <w:rPr>
                <w:b/>
                <w:color w:val="FFFFFF"/>
                <w:sz w:val="18"/>
              </w:rPr>
              <w:t xml:space="preserve">Vermont evidence</w:t>
            </w:r>
          </w:p>
        </w:tc>
        <w:tc>
          <w:tcPr>
            <w:shd w:val="clear" w:color="auto" w:fill="1B3A6B"/>
            <w:tcW w:w="2070" w:type="dxa"/>
          </w:tcPr>
          <w:p>
            <w:pPr>
              <w:pStyle w:val="Compact"/>
              <w:jc w:val="left"/>
            </w:pPr>
            <w:r>
              <w:rPr>
                <w:b/>
                <w:color w:val="FFFFFF"/>
                <w:sz w:val="18"/>
              </w:rPr>
              <w:t xml:space="preserve">Correction</w:t>
            </w:r>
          </w:p>
        </w:tc>
      </w:tr>
      <w:tr>
        <w:trPr>
          <w:cantSplit/>
        </w:trPr>
        <w:tc>
          <w:tcPr>
            <w:tcW w:w="1950"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070" w:type="dxa"/>
          </w:tcPr>
          <w:p>
            <w:pPr>
              <w:pStyle w:val="Compact"/>
              <w:jc w:val="left"/>
            </w:pPr>
            <w:r>
              <w:rPr>
                <w:sz w:val="18"/>
              </w:rPr>
              <w:t xml:space="preserve">Voluntary participation below 80%; highest-cost providers stay out; redesigns driven by adverse selection</w:t>
            </w:r>
          </w:p>
        </w:tc>
        <w:tc>
          <w:tcPr>
            <w:tcW w:w="2970"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2070" w:type="dxa"/>
          </w:tcPr>
          <w:p>
            <w:pPr>
              <w:pStyle w:val="Compact"/>
              <w:jc w:val="left"/>
            </w:pPr>
            <w:r>
              <w:rPr>
                <w:sz w:val="18"/>
              </w:rPr>
              <w:t xml:space="preserve">Act 68 mandatory RBP + global budgets</w:t>
            </w:r>
          </w:p>
        </w:tc>
      </w:tr>
      <w:tr>
        <w:trPr/>
        <w:tc>
          <w:tcPr>
            <w:tcW w:w="1950"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070" w:type="dxa"/>
          </w:tcPr>
          <w:p>
            <w:pPr>
              <w:pStyle w:val="Compact"/>
              <w:jc w:val="left"/>
            </w:pPr>
            <w:r>
              <w:rPr>
                <w:sz w:val="18"/>
              </w:rPr>
              <w:t xml:space="preserve">Adoption below 30% six months post-deployment; continued manual processes; staff workarounds</w:t>
            </w:r>
          </w:p>
        </w:tc>
        <w:tc>
          <w:tcPr>
            <w:tcW w:w="2970" w:type="dxa"/>
          </w:tcPr>
          <w:p>
            <w:pPr>
              <w:pStyle w:val="Compact"/>
              <w:jc w:val="left"/>
            </w:pPr>
            <w:r>
              <w:rPr>
                <w:sz w:val="18"/>
              </w:rPr>
              <w:t xml:space="preserve">VITL: sound platform, incomplete adoption among smaller providers for lack of Operations-pillar support to connect and train them</w:t>
            </w:r>
          </w:p>
        </w:tc>
        <w:tc>
          <w:tcPr>
            <w:tcW w:w="2070" w:type="dxa"/>
          </w:tcPr>
          <w:p>
            <w:pPr>
              <w:pStyle w:val="Compact"/>
              <w:jc w:val="left"/>
            </w:pPr>
            <w:r>
              <w:rPr>
                <w:sz w:val="18"/>
              </w:rPr>
              <w:t xml:space="preserve">Vermont CIN shared-services model</w:t>
            </w:r>
          </w:p>
        </w:tc>
      </w:tr>
      <w:tr>
        <w:trPr/>
        <w:tc>
          <w:tcPr>
            <w:tcW w:w="1950"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070" w:type="dxa"/>
          </w:tcPr>
          <w:p>
            <w:pPr>
              <w:pStyle w:val="Compact"/>
              <w:jc w:val="left"/>
            </w:pPr>
            <w:r>
              <w:rPr>
                <w:sz w:val="18"/>
              </w:rPr>
              <w:t xml:space="preserve">Program running at a loss absorbed by cross-subsidy; support contingent on that cross-subsidy; perpetual budget-cut risk</w:t>
            </w:r>
          </w:p>
        </w:tc>
        <w:tc>
          <w:tcPr>
            <w:tcW w:w="2970" w:type="dxa"/>
          </w:tcPr>
          <w:p>
            <w:pPr>
              <w:pStyle w:val="Compact"/>
              <w:jc w:val="left"/>
            </w:pPr>
            <w:r>
              <w:rPr>
                <w:sz w:val="18"/>
              </w:rPr>
              <w:t xml:space="preserve">Blueprint PCMHs produce the 5.8:1 ROI, but under FFS most of it accrues to payers, not the practices generating it</w:t>
            </w:r>
          </w:p>
        </w:tc>
        <w:tc>
          <w:tcPr>
            <w:tcW w:w="2070" w:type="dxa"/>
          </w:tcPr>
          <w:p>
            <w:pPr>
              <w:pStyle w:val="Compact"/>
              <w:jc w:val="left"/>
            </w:pPr>
            <w:r>
              <w:rPr>
                <w:sz w:val="18"/>
              </w:rPr>
              <w:t xml:space="preserve">AHEAD global budgets align incentives with clinical investment</w:t>
            </w:r>
          </w:p>
        </w:tc>
      </w:tr>
      <w:tr>
        <w:trPr/>
        <w:tc>
          <w:tcPr>
            <w:tcW w:w="1950"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070" w:type="dxa"/>
          </w:tcPr>
          <w:p>
            <w:pPr>
              <w:pStyle w:val="Compact"/>
              <w:jc w:val="left"/>
            </w:pPr>
            <w:r>
              <w:rPr>
                <w:sz w:val="18"/>
              </w:rPr>
              <w:t xml:space="preserve">Equity staff flagging the same structural problems in finalized designs; high rate of equity modifications at approval stage</w:t>
            </w:r>
          </w:p>
        </w:tc>
        <w:tc>
          <w:tcPr>
            <w:tcW w:w="2970"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2070" w:type="dxa"/>
          </w:tcPr>
          <w:p>
            <w:pPr>
              <w:pStyle w:val="Compact"/>
              <w:jc w:val="left"/>
            </w:pPr>
            <w:r>
              <w:rPr>
                <w:sz w:val="18"/>
              </w:rPr>
              <w:t xml:space="preserve">Health Equity Advisory Commission consulted at design stage, not comment stage</w:t>
            </w:r>
          </w:p>
        </w:tc>
      </w:tr>
      <w:tr>
        <w:trPr>
          <w:cantSplit/>
        </w:trPr>
        <w:tc>
          <w:tcPr>
            <w:tcW w:w="1950"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070"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970"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2070" w:type="dxa"/>
          </w:tcPr>
          <w:p>
            <w:pPr>
              <w:pStyle w:val="Compact"/>
              <w:jc w:val="left"/>
            </w:pPr>
            <w:r>
              <w:rPr>
                <w:sz w:val="18"/>
              </w:rPr>
              <w:t xml:space="preserve">RHRC builds hospital-level capacity before AHEAD accountability takes full effect</w:t>
            </w:r>
          </w:p>
        </w:tc>
      </w:tr>
    </w:tbl>
    <w:p>
      <w:pPr>
        <w:pStyle w:val="Caption"/>
        <w:spacing w:before="120"/>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245"/>
        <w:gridCol w:w="1980"/>
        <w:gridCol w:w="5850"/>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1980" w:type="dxa"/>
          </w:tcPr>
          <w:p>
            <w:pPr>
              <w:pStyle w:val="Compact"/>
              <w:jc w:val="left"/>
            </w:pPr>
            <w:r>
              <w:rPr>
                <w:b/>
                <w:color w:val="FFFFFF"/>
                <w:sz w:val="18"/>
              </w:rPr>
              <w:t xml:space="preserve">Status (timeframe)</w:t>
            </w:r>
          </w:p>
        </w:tc>
        <w:tc>
          <w:tcPr>
            <w:shd w:val="clear" w:color="auto" w:fill="1B3A6B"/>
            <w:tcW w:w="5850" w:type="dxa"/>
          </w:tcPr>
          <w:p>
            <w:pPr>
              <w:pStyle w:val="Compact"/>
              <w:jc w:val="left"/>
            </w:pPr>
            <w:r>
              <w:rPr>
                <w:b/>
                <w:color w:val="FFFFFF"/>
                <w:sz w:val="18"/>
              </w:rPr>
              <w:t xml:space="preserve">Where it stands</w:t>
            </w:r>
          </w:p>
        </w:tc>
      </w:tr>
      <w:tr>
        <w:trPr>
          <w:cantSplit/>
        </w:trPr>
        <w:tc>
          <w:tcPr>
            <w:tcW w:w="1245" w:type="dxa"/>
          </w:tcPr>
          <w:p>
            <w:pPr>
              <w:pStyle w:val="Compact"/>
              <w:jc w:val="left"/>
            </w:pPr>
            <w:r>
              <w:rPr>
                <w:b/>
                <w:bCs/>
                <w:sz w:val="18"/>
              </w:rPr>
              <w:t xml:space="preserve">Policy</w:t>
            </w:r>
          </w:p>
        </w:tc>
        <w:tc>
          <w:tcPr>
            <w:tcW w:w="1980" w:type="dxa"/>
          </w:tcPr>
          <w:p>
            <w:pPr>
              <w:pStyle w:val="Compact"/>
              <w:jc w:val="left"/>
            </w:pPr>
            <w:r>
              <w:rPr>
                <w:sz w:val="18"/>
              </w:rPr>
              <w:t xml:space="preserve">Completed (2022–2025)</w:t>
            </w:r>
          </w:p>
        </w:tc>
        <w:tc>
          <w:tcPr>
            <w:tcW w:w="58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245" w:type="dxa"/>
          </w:tcPr>
          <w:p>
            <w:pPr>
              <w:pStyle w:val="Compact"/>
              <w:jc w:val="left"/>
            </w:pPr>
            <w:r>
              <w:rPr>
                <w:b/>
                <w:bCs/>
                <w:sz w:val="18"/>
              </w:rPr>
              <w:t xml:space="preserve">Technology</w:t>
            </w:r>
          </w:p>
        </w:tc>
        <w:tc>
          <w:tcPr>
            <w:tcW w:w="1980" w:type="dxa"/>
          </w:tcPr>
          <w:p>
            <w:pPr>
              <w:pStyle w:val="Compact"/>
              <w:jc w:val="left"/>
            </w:pPr>
            <w:r>
              <w:rPr>
                <w:sz w:val="18"/>
              </w:rPr>
              <w:t xml:space="preserve">In progress (2025–2026)</w:t>
            </w:r>
          </w:p>
        </w:tc>
        <w:tc>
          <w:tcPr>
            <w:tcW w:w="58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245" w:type="dxa"/>
          </w:tcPr>
          <w:p>
            <w:pPr>
              <w:pStyle w:val="Compact"/>
              <w:jc w:val="left"/>
            </w:pPr>
            <w:r>
              <w:rPr>
                <w:b/>
                <w:bCs/>
                <w:sz w:val="18"/>
              </w:rPr>
              <w:t xml:space="preserve">Economics</w:t>
            </w:r>
          </w:p>
        </w:tc>
        <w:tc>
          <w:tcPr>
            <w:tcW w:w="1980" w:type="dxa"/>
          </w:tcPr>
          <w:p>
            <w:pPr>
              <w:pStyle w:val="Compact"/>
              <w:jc w:val="left"/>
            </w:pPr>
            <w:r>
              <w:rPr>
                <w:sz w:val="18"/>
              </w:rPr>
              <w:t xml:space="preserve">Staged (2027–2028)</w:t>
            </w:r>
          </w:p>
        </w:tc>
        <w:tc>
          <w:tcPr>
            <w:tcW w:w="58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245" w:type="dxa"/>
          </w:tcPr>
          <w:p>
            <w:pPr>
              <w:pStyle w:val="Compact"/>
              <w:jc w:val="left"/>
            </w:pPr>
            <w:r>
              <w:rPr>
                <w:b/>
                <w:bCs/>
                <w:sz w:val="18"/>
              </w:rPr>
              <w:t xml:space="preserve">Clinical</w:t>
            </w:r>
          </w:p>
        </w:tc>
        <w:tc>
          <w:tcPr>
            <w:tcW w:w="1980" w:type="dxa"/>
          </w:tcPr>
          <w:p>
            <w:pPr>
              <w:pStyle w:val="Compact"/>
              <w:jc w:val="left"/>
            </w:pPr>
            <w:r>
              <w:rPr>
                <w:sz w:val="18"/>
              </w:rPr>
              <w:t xml:space="preserve">Parallel (2024–2028)</w:t>
            </w:r>
          </w:p>
        </w:tc>
        <w:tc>
          <w:tcPr>
            <w:tcW w:w="58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245" w:type="dxa"/>
          </w:tcPr>
          <w:p>
            <w:pPr>
              <w:pStyle w:val="Compact"/>
              <w:jc w:val="left"/>
            </w:pPr>
            <w:r>
              <w:rPr>
                <w:b/>
                <w:bCs/>
                <w:sz w:val="18"/>
              </w:rPr>
              <w:t xml:space="preserve">Operations</w:t>
            </w:r>
          </w:p>
        </w:tc>
        <w:tc>
          <w:tcPr>
            <w:tcW w:w="1980" w:type="dxa"/>
          </w:tcPr>
          <w:p>
            <w:pPr>
              <w:pStyle w:val="Compact"/>
              <w:jc w:val="left"/>
            </w:pPr>
            <w:r>
              <w:rPr>
                <w:sz w:val="18"/>
              </w:rPr>
              <w:t xml:space="preserve">Building (2025–2028)</w:t>
            </w:r>
          </w:p>
        </w:tc>
        <w:tc>
          <w:tcPr>
            <w:tcW w:w="58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245" w:type="dxa"/>
          </w:tcPr>
          <w:p>
            <w:pPr>
              <w:pStyle w:val="Compact"/>
              <w:jc w:val="left"/>
            </w:pPr>
            <w:r>
              <w:rPr>
                <w:b/>
                <w:bCs/>
                <w:sz w:val="18"/>
              </w:rPr>
              <w:t xml:space="preserve">Equity</w:t>
            </w:r>
          </w:p>
        </w:tc>
        <w:tc>
          <w:tcPr>
            <w:tcW w:w="1980" w:type="dxa"/>
          </w:tcPr>
          <w:p>
            <w:pPr>
              <w:pStyle w:val="Compact"/>
              <w:jc w:val="left"/>
            </w:pPr>
            <w:r>
              <w:rPr>
                <w:sz w:val="18"/>
              </w:rPr>
              <w:t xml:space="preserve">Throughout (2025–2028)</w:t>
            </w:r>
          </w:p>
        </w:tc>
        <w:tc>
          <w:tcPr>
            <w:tcW w:w="58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spacing w:before="120"/>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Trace the 15 dependency relationships between the six pillars and see which downstream pillars a given gap disables</w:t>
            </w:r>
          </w:p>
        </w:tc>
        <w:tc>
          <w:tcPr>
            <w:tcW w:w="947"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4062" w:type="dxa"/>
          </w:tcPr>
          <w:p>
            <w:pPr>
              <w:pStyle w:val="Compact"/>
              <w:jc w:val="left"/>
            </w:pPr>
            <w:r>
              <w:rPr>
                <w:sz w:val="18"/>
              </w:rPr>
              <w:t xml:space="preserve">Click any pillar to highlight what it enables and what it depends on. Confirm visually why Technology sits upstream of Economics.</w:t>
            </w:r>
          </w:p>
        </w:tc>
      </w:tr>
      <w:tr>
        <w:trPr/>
        <w:tc>
          <w:tcPr>
            <w:tcW w:w="4062" w:type="dxa"/>
          </w:tcPr>
          <w:p>
            <w:pPr>
              <w:pStyle w:val="Compact"/>
              <w:jc w:val="left"/>
            </w:pPr>
            <w:r>
              <w:rPr>
                <w:sz w:val="18"/>
              </w:rPr>
              <w:t xml:space="preserve">Score a real organization or state across all six pillars and watch the composite readiness number respond</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4062" w:type="dxa"/>
          </w:tcPr>
          <w:p>
            <w:pPr>
              <w:pStyle w:val="Compact"/>
              <w:jc w:val="left"/>
            </w:pPr>
            <w:r>
              <w:rPr>
                <w:sz w:val="18"/>
              </w:rPr>
              <w:t xml:space="preserve">Quantify where reform is losing momentum and which pillar is the binding constraint</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4062" w:type="dxa"/>
          </w:tcPr>
          <w:p>
            <w:pPr>
              <w:pStyle w:val="Compact"/>
              <w:jc w:val="left"/>
            </w:pPr>
            <w:r>
              <w:rPr>
                <w:sz w:val="18"/>
              </w:rPr>
              <w:t xml:space="preserve">Model how one pillar’s shortfall propagates through the other five over time</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The lag: a Technology gap shows up in Economics results a year later, which is why it is missed.</w:t>
            </w:r>
          </w:p>
        </w:tc>
      </w:tr>
    </w:tbl>
    <w:p>
      <w:pPr>
        <w:pStyle w:val="Caption"/>
        <w:keepNext/>
        <w:spacing w:before="120"/>
      </w:pPr>
      <w:r>
        <w:rPr>
          <w:i/>
          <w:iCs/>
        </w:rPr>
        <w:t xml:space="preserve">Figure 1.H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Authorized AHS hospital transformation planning pilots with up to four hospitals (amending Act 167); Medicaid and DVHA program changes</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spacing w:before="280"/>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spacing w:before="120"/>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767"/>
        <w:gridCol w:w="691"/>
        <w:gridCol w:w="4613"/>
      </w:tblGrid>
      <w:tr>
        <w:trPr>
          <w:tblHeader w:val="on"/>
          <w:cantSplit/>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cantSplit/>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cantSplit/>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spacing w:before="120"/>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spacing w:before="120"/>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spacing w:before="120"/>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Model an 1115 waiver or all-payer global budget design against a pre-loaded state scenario</w:t>
            </w:r>
          </w:p>
        </w:tc>
        <w:tc>
          <w:tcPr>
            <w:tcW w:w="947"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4062"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4062" w:type="dxa"/>
          </w:tcPr>
          <w:p>
            <w:pPr>
              <w:pStyle w:val="Compact"/>
              <w:jc w:val="left"/>
            </w:pPr>
            <w:r>
              <w:rPr>
                <w:sz w:val="18"/>
              </w:rPr>
              <w:t xml:space="preserve">Trace how a statutory mandate cascades into operational deadlines</w:t>
            </w:r>
          </w:p>
        </w:tc>
        <w:tc>
          <w:tcPr>
            <w:tcW w:w="947"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4062" w:type="dxa"/>
          </w:tcPr>
          <w:p>
            <w:pPr>
              <w:pStyle w:val="Compact"/>
              <w:jc w:val="left"/>
            </w:pPr>
            <w:r>
              <w:rPr>
                <w:sz w:val="18"/>
              </w:rPr>
              <w:t xml:space="preserve">Map each statutory deadline to the pillar it gates.</w:t>
            </w:r>
          </w:p>
        </w:tc>
      </w:tr>
    </w:tbl>
    <w:p>
      <w:pPr>
        <w:pStyle w:val="Caption"/>
        <w:spacing w:before="120"/>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spacing w:before="120"/>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cantSplit/>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spacing w:before="120"/>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5"/>
        <w:gridCol w:w="2642"/>
        <w:gridCol w:w="2642"/>
        <w:gridCol w:w="2642"/>
      </w:tblGrid>
      <w:tr>
        <w:trPr>
          <w:tblHeader w:val="on"/>
          <w:cantSplit/>
        </w:trPr>
        <w:tc>
          <w:tcPr>
            <w:shd w:val="clear" w:color="auto" w:fill="1B3A6B"/>
            <w:tcW w:w="1145" w:type="dxa"/>
          </w:tcPr>
          <w:p>
            <w:pPr>
              <w:pStyle w:val="Compact"/>
              <w:jc w:val="left"/>
            </w:pPr>
            <w:r>
              <w:rPr>
                <w:b/>
                <w:color w:val="FFFFFF"/>
                <w:sz w:val="18"/>
              </w:rPr>
              <w:t xml:space="preserve">Function</w:t>
            </w:r>
          </w:p>
        </w:tc>
        <w:tc>
          <w:tcPr>
            <w:shd w:val="clear" w:color="auto" w:fill="1B3A6B"/>
            <w:tcW w:w="2642" w:type="dxa"/>
          </w:tcPr>
          <w:p>
            <w:pPr>
              <w:pStyle w:val="Compact"/>
              <w:jc w:val="left"/>
            </w:pPr>
            <w:r>
              <w:rPr>
                <w:b/>
                <w:color w:val="FFFFFF"/>
                <w:sz w:val="18"/>
              </w:rPr>
              <w:t xml:space="preserve">Key activities</w:t>
            </w:r>
          </w:p>
        </w:tc>
        <w:tc>
          <w:tcPr>
            <w:shd w:val="clear" w:color="auto" w:fill="1B3A6B"/>
            <w:tcW w:w="2642" w:type="dxa"/>
          </w:tcPr>
          <w:p>
            <w:pPr>
              <w:pStyle w:val="Compact"/>
              <w:jc w:val="left"/>
            </w:pPr>
            <w:r>
              <w:rPr>
                <w:b/>
                <w:color w:val="FFFFFF"/>
                <w:sz w:val="18"/>
              </w:rPr>
              <w:t xml:space="preserve">Vermont-specific examples</w:t>
            </w:r>
          </w:p>
        </w:tc>
        <w:tc>
          <w:tcPr>
            <w:shd w:val="clear" w:color="auto" w:fill="1B3A6B"/>
            <w:tcW w:w="2642" w:type="dxa"/>
          </w:tcPr>
          <w:p>
            <w:pPr>
              <w:pStyle w:val="Compact"/>
              <w:jc w:val="left"/>
            </w:pPr>
            <w:r>
              <w:rPr>
                <w:b/>
                <w:color w:val="FFFFFF"/>
                <w:sz w:val="18"/>
              </w:rPr>
              <w:t xml:space="preserve">HTR Advisory service</w:t>
            </w:r>
          </w:p>
        </w:tc>
      </w:tr>
      <w:tr>
        <w:trPr>
          <w:cantSplit/>
        </w:trPr>
        <w:tc>
          <w:tcPr>
            <w:tcW w:w="1145" w:type="dxa"/>
          </w:tcPr>
          <w:p>
            <w:pPr>
              <w:pStyle w:val="Compact"/>
              <w:jc w:val="left"/>
            </w:pPr>
            <w:r>
              <w:rPr>
                <w:sz w:val="18"/>
              </w:rPr>
              <w:t xml:space="preserve">Regulatory compliance</w:t>
            </w:r>
          </w:p>
        </w:tc>
        <w:tc>
          <w:tcPr>
            <w:tcW w:w="2642" w:type="dxa"/>
          </w:tcPr>
          <w:p>
            <w:pPr>
              <w:pStyle w:val="Compact"/>
              <w:jc w:val="left"/>
            </w:pPr>
            <w:r>
              <w:rPr>
                <w:sz w:val="18"/>
              </w:rPr>
              <w:t xml:space="preserve">Monitor rulemaking; assess financial and operational impact of new requirements; develop compliance roadmaps; manage comment letter processes</w:t>
            </w:r>
          </w:p>
        </w:tc>
        <w:tc>
          <w:tcPr>
            <w:tcW w:w="2642" w:type="dxa"/>
          </w:tcPr>
          <w:p>
            <w:pPr>
              <w:pStyle w:val="Compact"/>
              <w:jc w:val="left"/>
            </w:pPr>
            <w:r>
              <w:rPr>
                <w:sz w:val="18"/>
              </w:rPr>
              <w:t xml:space="preserve">Act 68 RBP compliance planning for FY2027; AHEAD hospital global budget participation; H.R. 1 Medicaid work requirement implementation timeline</w:t>
            </w:r>
          </w:p>
        </w:tc>
        <w:tc>
          <w:tcPr>
            <w:tcW w:w="2642" w:type="dxa"/>
          </w:tcPr>
          <w:p>
            <w:pPr>
              <w:pStyle w:val="Compact"/>
              <w:jc w:val="left"/>
            </w:pPr>
            <w:r>
              <w:rPr>
                <w:sz w:val="18"/>
              </w:rPr>
              <w:t xml:space="preserve">Policy Strategy service line: Phase 1 Landscape and Exposure Assessment</w:t>
            </w:r>
          </w:p>
        </w:tc>
      </w:tr>
      <w:tr>
        <w:trPr/>
        <w:tc>
          <w:tcPr>
            <w:tcW w:w="1145" w:type="dxa"/>
          </w:tcPr>
          <w:p>
            <w:pPr>
              <w:pStyle w:val="Compact"/>
              <w:jc w:val="left"/>
            </w:pPr>
            <w:r>
              <w:rPr>
                <w:sz w:val="18"/>
              </w:rPr>
              <w:t xml:space="preserve">Opportunity identification</w:t>
            </w:r>
          </w:p>
        </w:tc>
        <w:tc>
          <w:tcPr>
            <w:tcW w:w="2642"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8"/>
              </w:rPr>
              <w:t xml:space="preserve">Vermont hospitals: Act 68 transformation grants ($2M); AHEAD EAST Fund; RHT Program subrecipient grants; BALANCE Model GLP-1 coverage</w:t>
            </w:r>
          </w:p>
        </w:tc>
        <w:tc>
          <w:tcPr>
            <w:tcW w:w="2642" w:type="dxa"/>
          </w:tcPr>
          <w:p>
            <w:pPr>
              <w:pStyle w:val="Compact"/>
              <w:jc w:val="left"/>
            </w:pPr>
            <w:r>
              <w:rPr>
                <w:sz w:val="18"/>
              </w:rPr>
              <w:t xml:space="preserve">Policy Strategy service line: federal program opportunity assessment</w:t>
            </w:r>
          </w:p>
        </w:tc>
      </w:tr>
      <w:tr>
        <w:trPr>
          <w:cantSplit/>
        </w:trPr>
        <w:tc>
          <w:tcPr>
            <w:tcW w:w="1145" w:type="dxa"/>
          </w:tcPr>
          <w:p>
            <w:pPr>
              <w:pStyle w:val="Compact"/>
              <w:jc w:val="left"/>
            </w:pPr>
            <w:r>
              <w:rPr>
                <w:sz w:val="18"/>
              </w:rPr>
              <w:t xml:space="preserve">Policy advocacy</w:t>
            </w:r>
          </w:p>
        </w:tc>
        <w:tc>
          <w:tcPr>
            <w:tcW w:w="2642"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8"/>
              </w:rPr>
              <w:t xml:space="preserve">Policy Strategy service line: Phase 3 Implementation Support — legislative testimony and comment letter drafting</w:t>
            </w:r>
          </w:p>
        </w:tc>
      </w:tr>
    </w:tbl>
    <w:p>
      <w:pPr>
        <w:pStyle w:val="Caption"/>
        <w:spacing w:before="120"/>
      </w:pPr>
      <w:r>
        <w:rPr>
          <w:i/>
          <w:iCs/>
        </w:rPr>
        <w:t xml:space="preserve">Figure 3.2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326"/>
        <w:gridCol w:w="2093"/>
        <w:gridCol w:w="2326"/>
        <w:gridCol w:w="2326"/>
      </w:tblGrid>
      <w:tr>
        <w:trPr>
          <w:tblHeader w:val="on"/>
          <w:cantSplit/>
        </w:trPr>
        <w:tc>
          <w:tcPr>
            <w:shd w:val="clear" w:color="auto" w:fill="1B3A6B"/>
            <w:tcW w:w="2326" w:type="dxa"/>
          </w:tcPr>
          <w:p>
            <w:pPr>
              <w:pStyle w:val="Compact"/>
              <w:jc w:val="left"/>
            </w:pPr>
            <w:r>
              <w:rPr>
                <w:b/>
                <w:color w:val="FFFFFF"/>
                <w:sz w:val="18"/>
              </w:rPr>
              <w:t xml:space="preserve">H.R. 1 Medicaid provision</w:t>
            </w:r>
          </w:p>
        </w:tc>
        <w:tc>
          <w:tcPr>
            <w:shd w:val="clear" w:color="auto" w:fill="1B3A6B"/>
            <w:tcW w:w="2093" w:type="dxa"/>
          </w:tcPr>
          <w:p>
            <w:pPr>
              <w:pStyle w:val="Compact"/>
              <w:jc w:val="left"/>
            </w:pPr>
            <w:r>
              <w:rPr>
                <w:b/>
                <w:color w:val="FFFFFF"/>
                <w:sz w:val="18"/>
              </w:rPr>
              <w:t xml:space="preserve">When it takes effect</w:t>
            </w:r>
          </w:p>
        </w:tc>
        <w:tc>
          <w:tcPr>
            <w:shd w:val="clear" w:color="auto" w:fill="1B3A6B"/>
            <w:tcW w:w="2326" w:type="dxa"/>
          </w:tcPr>
          <w:p>
            <w:pPr>
              <w:pStyle w:val="Compact"/>
              <w:jc w:val="left"/>
            </w:pPr>
            <w:r>
              <w:rPr>
                <w:b/>
                <w:color w:val="FFFFFF"/>
                <w:sz w:val="18"/>
              </w:rPr>
              <w:t xml:space="preserve">Financial impact</w:t>
            </w:r>
          </w:p>
        </w:tc>
        <w:tc>
          <w:tcPr>
            <w:shd w:val="clear" w:color="auto" w:fill="1B3A6B"/>
            <w:tcW w:w="2326" w:type="dxa"/>
          </w:tcPr>
          <w:p>
            <w:pPr>
              <w:pStyle w:val="Compact"/>
              <w:jc w:val="left"/>
            </w:pPr>
            <w:r>
              <w:rPr>
                <w:b/>
                <w:color w:val="FFFFFF"/>
                <w:sz w:val="18"/>
              </w:rPr>
              <w:t xml:space="preserve">Vermont-specific implications</w:t>
            </w:r>
          </w:p>
        </w:tc>
      </w:tr>
      <w:tr>
        <w:trPr>
          <w:cantSplit/>
        </w:trPr>
        <w:tc>
          <w:tcPr>
            <w:tcW w:w="2326" w:type="dxa"/>
          </w:tcPr>
          <w:p>
            <w:pPr>
              <w:pStyle w:val="Compact"/>
              <w:jc w:val="left"/>
            </w:pPr>
            <w:r>
              <w:rPr>
                <w:sz w:val="18"/>
              </w:rPr>
              <w:t xml:space="preserve">Provider tax restrictions: ban on new or higher provider taxes in expansion states; phase-down of existing taxes</w:t>
            </w:r>
          </w:p>
        </w:tc>
        <w:tc>
          <w:tcPr>
            <w:tcW w:w="2093" w:type="dxa"/>
          </w:tcPr>
          <w:p>
            <w:pPr>
              <w:pStyle w:val="Compact"/>
              <w:jc w:val="left"/>
            </w:pPr>
            <w:r>
              <w:rPr>
                <w:sz w:val="18"/>
              </w:rPr>
              <w:t xml:space="preserve">In effect for new taxes; phase-down beginning 2027</w:t>
            </w:r>
          </w:p>
        </w:tc>
        <w:tc>
          <w:tcPr>
            <w:tcW w:w="2326" w:type="dxa"/>
          </w:tcPr>
          <w:p>
            <w:pPr>
              <w:pStyle w:val="Compact"/>
              <w:jc w:val="left"/>
            </w:pPr>
            <w:r>
              <w:rPr>
                <w:sz w:val="18"/>
              </w:rPr>
              <w:t xml:space="preserve">Reduces states’ ability to finance their Medicaid matching share; intensifies pressure on state Medicaid budgets</w:t>
            </w:r>
          </w:p>
        </w:tc>
        <w:tc>
          <w:tcPr>
            <w:tcW w:w="2326" w:type="dxa"/>
          </w:tcPr>
          <w:p>
            <w:pPr>
              <w:pStyle w:val="Compact"/>
              <w:jc w:val="left"/>
            </w:pPr>
            <w:r>
              <w:rPr>
                <w:sz w:val="18"/>
              </w:rPr>
              <w:t xml:space="preserve">Vermont’s financing mechanisms will need review; state budget implications require modeling through 2031</w:t>
            </w:r>
          </w:p>
        </w:tc>
      </w:tr>
      <w:tr>
        <w:trPr/>
        <w:tc>
          <w:tcPr>
            <w:tcW w:w="2326" w:type="dxa"/>
          </w:tcPr>
          <w:p>
            <w:pPr>
              <w:pStyle w:val="Compact"/>
              <w:jc w:val="left"/>
            </w:pPr>
            <w:r>
              <w:rPr>
                <w:sz w:val="18"/>
              </w:rPr>
              <w:t xml:space="preserve">State-directed payment caps at 100% of Medicare (expansion states)</w:t>
            </w:r>
          </w:p>
        </w:tc>
        <w:tc>
          <w:tcPr>
            <w:tcW w:w="2093" w:type="dxa"/>
          </w:tcPr>
          <w:p>
            <w:pPr>
              <w:pStyle w:val="Compact"/>
              <w:jc w:val="left"/>
            </w:pPr>
            <w:r>
              <w:rPr>
                <w:sz w:val="18"/>
              </w:rPr>
              <w:t xml:space="preserve">2027</w:t>
            </w:r>
          </w:p>
        </w:tc>
        <w:tc>
          <w:tcPr>
            <w:tcW w:w="2326"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8"/>
              </w:rPr>
              <w:t xml:space="preserve">Work and community engagement requirements (80 hours/month)</w:t>
            </w:r>
          </w:p>
        </w:tc>
        <w:tc>
          <w:tcPr>
            <w:tcW w:w="2093" w:type="dxa"/>
          </w:tcPr>
          <w:p>
            <w:pPr>
              <w:pStyle w:val="Compact"/>
              <w:jc w:val="left"/>
            </w:pPr>
            <w:r>
              <w:rPr>
                <w:sz w:val="18"/>
              </w:rPr>
              <w:t xml:space="preserve">Late 2026 (states must implement by December 31, 2026)</w:t>
            </w:r>
          </w:p>
        </w:tc>
        <w:tc>
          <w:tcPr>
            <w:tcW w:w="2326"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8"/>
              </w:rPr>
              <w:t xml:space="preserve">Eligibility redetermination every 6 months (vs. annual)</w:t>
            </w:r>
          </w:p>
        </w:tc>
        <w:tc>
          <w:tcPr>
            <w:tcW w:w="2093" w:type="dxa"/>
          </w:tcPr>
          <w:p>
            <w:pPr>
              <w:pStyle w:val="Compact"/>
              <w:jc w:val="left"/>
            </w:pPr>
            <w:r>
              <w:rPr>
                <w:sz w:val="18"/>
              </w:rPr>
              <w:t xml:space="preserve">2026</w:t>
            </w:r>
          </w:p>
        </w:tc>
        <w:tc>
          <w:tcPr>
            <w:tcW w:w="2326"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326" w:type="dxa"/>
          </w:tcPr>
          <w:p>
            <w:pPr>
              <w:pStyle w:val="Compact"/>
              <w:jc w:val="left"/>
            </w:pPr>
            <w:r>
              <w:rPr>
                <w:sz w:val="18"/>
              </w:rPr>
              <w:t xml:space="preserve">Medicaid reimbursement reductions (DSH cuts, payment rate changes)</w:t>
            </w:r>
          </w:p>
        </w:tc>
        <w:tc>
          <w:tcPr>
            <w:tcW w:w="2093" w:type="dxa"/>
          </w:tcPr>
          <w:p>
            <w:pPr>
              <w:pStyle w:val="Compact"/>
              <w:jc w:val="left"/>
            </w:pPr>
            <w:r>
              <w:rPr>
                <w:sz w:val="18"/>
              </w:rPr>
              <w:t xml:space="preserve">2026-2031 (phased)</w:t>
            </w:r>
          </w:p>
        </w:tc>
        <w:tc>
          <w:tcPr>
            <w:tcW w:w="2326" w:type="dxa"/>
          </w:tcPr>
          <w:p>
            <w:pPr>
              <w:pStyle w:val="Compact"/>
              <w:jc w:val="left"/>
            </w:pPr>
            <w:r>
              <w:rPr>
                <w:sz w:val="18"/>
              </w:rPr>
              <w:t xml:space="preserve">$911B over 10 years nationally; $137B in rural areas; hospitals will experience revenue reductions</w:t>
            </w:r>
          </w:p>
        </w:tc>
        <w:tc>
          <w:tcPr>
            <w:tcW w:w="2326"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spacing w:before="120"/>
      </w:pPr>
      <w:r>
        <w:rPr>
          <w:i/>
          <w:iCs/>
        </w:rPr>
        <w:t xml:space="preserve">Figure 3.3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Estimate Medicaid coverage loss under H.R. 1’s work-requirement and eligibility provisions</w:t>
            </w:r>
          </w:p>
        </w:tc>
        <w:tc>
          <w:tcPr>
            <w:tcW w:w="947"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4062" w:type="dxa"/>
          </w:tcPr>
          <w:p>
            <w:pPr>
              <w:pStyle w:val="Compact"/>
              <w:jc w:val="left"/>
            </w:pPr>
            <w:r>
              <w:rPr>
                <w:sz w:val="18"/>
              </w:rPr>
              <w:t xml:space="preserve">The gap between nominal exemptions and real-world coverage loss from administrative churn.</w:t>
            </w:r>
          </w:p>
        </w:tc>
      </w:tr>
      <w:tr>
        <w:trPr/>
        <w:tc>
          <w:tcPr>
            <w:tcW w:w="4062" w:type="dxa"/>
          </w:tcPr>
          <w:p>
            <w:pPr>
              <w:pStyle w:val="Compact"/>
              <w:jc w:val="left"/>
            </w:pPr>
            <w:r>
              <w:rPr>
                <w:sz w:val="18"/>
              </w:rPr>
              <w:t xml:space="preserve">Model the H.R. 1 funding cliff for a state’s Medicaid program</w:t>
            </w:r>
          </w:p>
        </w:tc>
        <w:tc>
          <w:tcPr>
            <w:tcW w:w="947"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4062" w:type="dxa"/>
          </w:tcPr>
          <w:p>
            <w:pPr>
              <w:pStyle w:val="Compact"/>
              <w:jc w:val="left"/>
            </w:pPr>
            <w:r>
              <w:rPr>
                <w:sz w:val="18"/>
              </w:rPr>
              <w:t xml:space="preserve">How federal policy shifts the financial assumptions every downstream pillar depends on.</w:t>
            </w:r>
          </w:p>
        </w:tc>
      </w:tr>
      <w:tr>
        <w:trPr>
          <w:cantSplit/>
        </w:trPr>
        <w:tc>
          <w:tcPr>
            <w:tcW w:w="4062" w:type="dxa"/>
          </w:tcPr>
          <w:p>
            <w:pPr>
              <w:pStyle w:val="Compact"/>
              <w:jc w:val="left"/>
            </w:pPr>
            <w:r>
              <w:rPr>
                <w:sz w:val="18"/>
              </w:rPr>
              <w:t xml:space="preserve">Test eligibility outcomes for a specific household</w:t>
            </w:r>
          </w:p>
        </w:tc>
        <w:tc>
          <w:tcPr>
            <w:tcW w:w="947"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4062" w:type="dxa"/>
          </w:tcPr>
          <w:p>
            <w:pPr>
              <w:pStyle w:val="Compact"/>
              <w:jc w:val="left"/>
            </w:pPr>
            <w:r>
              <w:rPr>
                <w:sz w:val="18"/>
              </w:rPr>
              <w:t xml:space="preserve">Where coverage transitions create gaps the clinical and equity pillars must absorb.</w:t>
            </w:r>
          </w:p>
        </w:tc>
      </w:tr>
    </w:tbl>
    <w:p>
      <w:pPr>
        <w:pStyle w:val="Caption"/>
        <w:spacing w:before="120"/>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cantSplit/>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spacing w:before="120"/>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spacing w:before="120"/>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spacing w:before="0" w:after="0" w:line="240" w:lineRule="auto"/>
              <w:jc w:val="left"/>
            </w:pPr>
            <w:r>
              <w:rPr>
                <w:b/>
                <w:color w:val="FFFFFF"/>
                <w:sz w:val="17"/>
              </w:rPr>
              <w:t xml:space="preserve">Limitation</w:t>
            </w:r>
          </w:p>
        </w:tc>
        <w:tc>
          <w:tcPr>
            <w:shd w:val="clear" w:color="auto" w:fill="1B3A6B"/>
            <w:tcW w:w="3298" w:type="dxa"/>
          </w:tcPr>
          <w:p>
            <w:pPr>
              <w:pStyle w:val="Compact"/>
              <w:spacing w:before="0" w:after="0" w:line="240" w:lineRule="auto"/>
              <w:jc w:val="left"/>
            </w:pPr>
            <w:r>
              <w:rPr>
                <w:b/>
                <w:color w:val="FFFFFF"/>
                <w:sz w:val="17"/>
              </w:rPr>
              <w:t xml:space="preserve">What it means for transformation</w:t>
            </w:r>
          </w:p>
        </w:tc>
        <w:tc>
          <w:tcPr>
            <w:shd w:val="clear" w:color="auto" w:fill="1B3A6B"/>
            <w:tcW w:w="3298" w:type="dxa"/>
          </w:tcPr>
          <w:p>
            <w:pPr>
              <w:pStyle w:val="Compact"/>
              <w:spacing w:before="0" w:after="0" w:line="240" w:lineRule="auto"/>
              <w:jc w:val="left"/>
            </w:pPr>
            <w:r>
              <w:rPr>
                <w:b/>
                <w:color w:val="FFFFFF"/>
                <w:sz w:val="17"/>
              </w:rPr>
              <w:t xml:space="preserve">Required improvement</w:t>
            </w:r>
          </w:p>
        </w:tc>
      </w:tr>
      <w:tr>
        <w:trPr>
          <w:cantSplit/>
        </w:trPr>
        <w:tc>
          <w:tcPr>
            <w:tcW w:w="2474" w:type="dxa"/>
          </w:tcPr>
          <w:p>
            <w:pPr>
              <w:pStyle w:val="Compact"/>
              <w:spacing w:before="0" w:after="0" w:line="240" w:lineRule="auto"/>
              <w:jc w:val="left"/>
            </w:pPr>
            <w:r>
              <w:rPr>
                <w:sz w:val="17"/>
              </w:rPr>
              <w:t xml:space="preserve">Incomplete commercial coverage (60%)</w:t>
            </w:r>
          </w:p>
        </w:tc>
        <w:tc>
          <w:tcPr>
            <w:tcW w:w="3298" w:type="dxa"/>
          </w:tcPr>
          <w:p>
            <w:pPr>
              <w:pStyle w:val="Compact"/>
              <w:spacing w:before="0" w:after="0" w:line="240" w:lineRule="auto"/>
              <w:jc w:val="left"/>
            </w:pPr>
            <w:r>
              <w:rPr>
                <w:sz w:val="17"/>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spacing w:before="0" w:after="0" w:line="240" w:lineRule="auto"/>
              <w:jc w:val="left"/>
            </w:pPr>
            <w:r>
              <w:rPr>
                <w:sz w:val="17"/>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spacing w:before="0" w:after="0" w:line="240" w:lineRule="auto"/>
              <w:jc w:val="left"/>
            </w:pPr>
            <w:r>
              <w:rPr>
                <w:sz w:val="17"/>
              </w:rPr>
              <w:t xml:space="preserve">Data lag of 12-18+ months</w:t>
            </w:r>
          </w:p>
        </w:tc>
        <w:tc>
          <w:tcPr>
            <w:tcW w:w="3298" w:type="dxa"/>
          </w:tcPr>
          <w:p>
            <w:pPr>
              <w:pStyle w:val="Compact"/>
              <w:spacing w:before="0" w:after="0" w:line="240" w:lineRule="auto"/>
              <w:jc w:val="left"/>
            </w:pPr>
            <w:r>
              <w:rPr>
                <w:sz w:val="17"/>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spacing w:before="0" w:after="0" w:line="240" w:lineRule="auto"/>
              <w:jc w:val="left"/>
            </w:pPr>
            <w:r>
              <w:rPr>
                <w:sz w:val="17"/>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spacing w:before="0" w:after="0" w:line="240" w:lineRule="auto"/>
              <w:jc w:val="left"/>
            </w:pPr>
            <w:r>
              <w:rPr>
                <w:sz w:val="17"/>
              </w:rPr>
              <w:t xml:space="preserve">No behavioral health or SDOH data integration</w:t>
            </w:r>
          </w:p>
        </w:tc>
        <w:tc>
          <w:tcPr>
            <w:tcW w:w="3298" w:type="dxa"/>
          </w:tcPr>
          <w:p>
            <w:pPr>
              <w:pStyle w:val="Compact"/>
              <w:spacing w:before="0" w:after="0" w:line="240" w:lineRule="auto"/>
              <w:jc w:val="left"/>
            </w:pPr>
            <w:r>
              <w:rPr>
                <w:sz w:val="17"/>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spacing w:before="0" w:after="0" w:line="240" w:lineRule="auto"/>
              <w:jc w:val="left"/>
            </w:pPr>
            <w:r>
              <w:rPr>
                <w:sz w:val="17"/>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2474" w:type="dxa"/>
          </w:tcPr>
          <w:p>
            <w:pPr>
              <w:pStyle w:val="Compact"/>
              <w:spacing w:before="0" w:after="0" w:line="240" w:lineRule="auto"/>
              <w:jc w:val="left"/>
            </w:pPr>
            <w:r>
              <w:rPr>
                <w:sz w:val="17"/>
              </w:rPr>
              <w:t xml:space="preserve">Voluntary provider participation in HIE</w:t>
            </w:r>
          </w:p>
        </w:tc>
        <w:tc>
          <w:tcPr>
            <w:tcW w:w="3298" w:type="dxa"/>
          </w:tcPr>
          <w:p>
            <w:pPr>
              <w:pStyle w:val="Compact"/>
              <w:spacing w:before="0" w:after="0" w:line="240" w:lineRule="auto"/>
              <w:jc w:val="left"/>
            </w:pPr>
            <w:r>
              <w:rPr>
                <w:sz w:val="17"/>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spacing w:before="0" w:after="0" w:line="240" w:lineRule="auto"/>
              <w:jc w:val="left"/>
            </w:pPr>
            <w:r>
              <w:rPr>
                <w:sz w:val="17"/>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spacing w:before="120"/>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10"/>
        </w:numPr>
        <w:keepLines w:val="true"/>
        <w:keepNext w:val="true"/>
      </w:pPr>
      <w:r>
        <w:t xml:space="preserve">Perception: Vermont has a State Health Information Exchange (VITL).</w:t>
      </w:r>
    </w:p>
    <w:p>
      <w:pPr>
        <w:pStyle w:val="Compact"/>
        <w:numPr>
          <w:ilvl w:val="0"/>
          <w:numId w:val="1010"/>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Step</w:t>
            </w:r>
          </w:p>
        </w:tc>
        <w:tc>
          <w:tcPr>
            <w:shd w:val="clear" w:color="auto" w:fill="1B3A6B"/>
            <w:tcW w:w="2440" w:type="dxa"/>
          </w:tcPr>
          <w:p>
            <w:pPr>
              <w:pStyle w:val="Compact"/>
              <w:jc w:val="left"/>
            </w:pPr>
            <w:r>
              <w:rPr>
                <w:b/>
                <w:color w:val="FFFFFF"/>
                <w:sz w:val="18"/>
              </w:rPr>
              <w:t xml:space="preserve">What it requires</w:t>
            </w:r>
          </w:p>
        </w:tc>
        <w:tc>
          <w:tcPr>
            <w:shd w:val="clear" w:color="auto" w:fill="1B3A6B"/>
            <w:tcW w:w="2440" w:type="dxa"/>
          </w:tcPr>
          <w:p>
            <w:pPr>
              <w:pStyle w:val="Compact"/>
              <w:jc w:val="left"/>
            </w:pPr>
            <w:r>
              <w:rPr>
                <w:b/>
                <w:color w:val="FFFFFF"/>
                <w:sz w:val="18"/>
              </w:rPr>
              <w:t xml:space="preserve">Timeline</w:t>
            </w:r>
          </w:p>
        </w:tc>
        <w:tc>
          <w:tcPr>
            <w:shd w:val="clear" w:color="auto" w:fill="1B3A6B"/>
            <w:tcW w:w="2440" w:type="dxa"/>
          </w:tcPr>
          <w:p>
            <w:pPr>
              <w:pStyle w:val="Compact"/>
              <w:jc w:val="left"/>
            </w:pPr>
            <w:r>
              <w:rPr>
                <w:b/>
                <w:color w:val="FFFFFF"/>
                <w:sz w:val="18"/>
              </w:rPr>
              <w:t xml:space="preserve">Current status</w:t>
            </w:r>
          </w:p>
        </w:tc>
      </w:tr>
      <w:tr>
        <w:trPr>
          <w:cantSplit/>
        </w:trPr>
        <w:tc>
          <w:tcPr>
            <w:tcW w:w="1749" w:type="dxa"/>
          </w:tcPr>
          <w:p>
            <w:pPr>
              <w:pStyle w:val="Compact"/>
              <w:jc w:val="left"/>
            </w:pPr>
            <w:r>
              <w:rPr>
                <w:sz w:val="18"/>
              </w:rPr>
              <w:t xml:space="preserve">1. VHCURES-VHIE claims-clinical integration</w:t>
            </w:r>
          </w:p>
        </w:tc>
        <w:tc>
          <w:tcPr>
            <w:tcW w:w="2440"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8"/>
              </w:rPr>
              <w:t xml:space="preserve">DVHA leading; AHEAD Model requires this for population health management; target 2026-2027</w:t>
            </w:r>
          </w:p>
        </w:tc>
        <w:tc>
          <w:tcPr>
            <w:tcW w:w="2440"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8"/>
              </w:rPr>
              <w:t xml:space="preserve">2. Mental health and SUD data integration</w:t>
            </w:r>
          </w:p>
        </w:tc>
        <w:tc>
          <w:tcPr>
            <w:tcW w:w="2440"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8"/>
              </w:rPr>
              <w:t xml:space="preserve">2027-2028; requires federal 42 CFR Part 2 compliance pathway</w:t>
            </w:r>
          </w:p>
        </w:tc>
        <w:tc>
          <w:tcPr>
            <w:tcW w:w="2440"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749" w:type="dxa"/>
          </w:tcPr>
          <w:p>
            <w:pPr>
              <w:pStyle w:val="Compact"/>
              <w:jc w:val="left"/>
            </w:pPr>
            <w:r>
              <w:rPr>
                <w:sz w:val="18"/>
              </w:rPr>
              <w:t xml:space="preserve">3. SDOH data integration</w:t>
            </w:r>
          </w:p>
        </w:tc>
        <w:tc>
          <w:tcPr>
            <w:tcW w:w="2440"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8"/>
              </w:rPr>
              <w:t xml:space="preserve">2028 and beyond; requires cross-agency data governance agreement</w:t>
            </w:r>
          </w:p>
        </w:tc>
        <w:tc>
          <w:tcPr>
            <w:tcW w:w="2440"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spacing w:before="120"/>
      </w:pPr>
      <w:r>
        <w:rPr>
          <w:i/>
          <w:iCs/>
        </w:rPr>
        <w:t xml:space="preserve">Figure 4.3 — Vermont’s three-step path to integrated health records. Sources: Vermont HIE Steering Committee statutory mandate; AHS January 2025 Legislative Presentation; DVHA HIE governance documents.</w:t>
      </w:r>
    </w:p>
    <w:p>
      <w:pPr>
        <w:pStyle w:val="Heading3"/>
      </w:pPr>
      <w:r>
        <w:rPr>
          <w:color w:val="161B22"/>
        </w:rPr>
        <w:t xml:space="preserve">4.3.3  </w:t>
      </w:r>
      <w:bookmarkStart w:id="1122" w:name="_Toc1121"/>
      <w:r>
        <w:rPr>
          <w:b/>
          <w:bCs/>
          <w:color w:val="161B22"/>
        </w:rPr>
        <w:t xml:space="preserve">The Unified Health Data Space — The Vehicle for the Integration Mandate</w:t>
      </w:r>
      <w:bookmarkEnd w:id="1122"/>
    </w:p>
    <w:p>
      <w:pPr>
        <w:pStyle w:val="FirstParagraph"/>
      </w:pPr>
      <w:r>
        <w:t xml:space="preserve">The three-step path above describes what must be integrated. It does not name the thing being built. Vermont’s answer is the</w:t>
      </w:r>
      <w:r>
        <w:t xml:space="preserve"> </w:t>
      </w:r>
      <w:r>
        <w:rPr>
          <w:b/>
          <w:bCs/>
        </w:rPr>
        <w:t xml:space="preserve">Unified Health Data Space (UHDS)</w:t>
      </w:r>
      <w:r>
        <w:t xml:space="preserve"> </w:t>
      </w:r>
      <w:r>
        <w:t xml:space="preserve">— the second-generation successor to the VHIE, and the vehicle through which the Act 68 §10 integration mandate is actually delivered.</w:t>
      </w:r>
    </w:p>
    <w:p>
      <w:pPr>
        <w:pStyle w:val="BodyText"/>
      </w:pPr>
      <w: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w:t>
      </w:r>
      <w:r>
        <w:t xml:space="preserve"> </w:t>
      </w:r>
      <w:r>
        <w:rPr>
          <w:b/>
          <w:bCs/>
        </w:rPr>
        <w:t xml:space="preserve">Health Data Utility</w:t>
      </w:r>
      <w:r>
        <w:t xml:space="preserve"> </w:t>
      </w:r>
      <w:r>
        <w:t xml:space="preserve">model: health data as essential public service, funded through stable public mechanisms and managed for the public good rather than as any one participant’s private asset. The UHDS is Vermont’s implementation of it.</w:t>
      </w:r>
    </w:p>
    <w:p>
      <w:pPr>
        <w:pStyle w:val="BodyText"/>
      </w:pPr>
      <w: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w:t>
      </w:r>
      <w:r>
        <w:t xml:space="preserve"> </w:t>
      </w:r>
      <w:r>
        <w:rPr>
          <w:b/>
          <w:bCs/>
        </w:rPr>
        <w:t xml:space="preserve">Act 167 repealed 18 V.S.A. § 9410(e)</w:t>
      </w:r>
      <w: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pPr>
        <w:pStyle w:val="Heading3"/>
        <w:keepNext w:val="false"/>
      </w:pPr>
      <w:r>
        <w:rPr>
          <w:color w:val="161B22"/>
        </w:rPr>
        <w:t xml:space="preserve">4.3.4  </w:t>
      </w:r>
      <w:bookmarkStart w:id="1123" w:name="_Toc1122"/>
      <w:r>
        <w:rPr>
          <w:b/>
          <w:bCs/>
          <w:color w:val="161B22"/>
        </w:rPr>
        <w:t xml:space="preserve">The Three-Layer Architecture</w:t>
      </w:r>
      <w:bookmarkEnd w:id="1123"/>
    </w:p>
    <w:p>
      <w:pPr>
        <w:pStyle w:val="FirstParagraph"/>
        <w:keepNext w:val="false"/>
      </w:pPr>
      <w:r>
        <w:t xml:space="preserve">The UHDS is best understood as three layers, each depending on the one beneath it.</w:t>
      </w:r>
    </w:p>
    <w:tbl>
      <w:tblPr>
        <w:tblStyle w:val="HTRTable"/>
        <w:tblLook w:firstRow="1" w:lastRow="0" w:firstColumn="0" w:lastColumn="0" w:noHBand="0" w:noVBand="1" w:val="0020"/>
        <w:tblW w:w="9072" w:type="dxa"/>
        <w:tblLayout w:type="autofit"/>
      </w:tblPr>
      <w:tblGrid>
        <w:gridCol w:w="358"/>
        <w:gridCol w:w="1297"/>
        <w:gridCol w:w="3708"/>
        <w:gridCol w:w="3708"/>
      </w:tblGrid>
      <w:tr>
        <w:trPr>
          <w:tblHeader w:val="on"/>
          <w:cantSplit/>
        </w:trPr>
        <w:tc>
          <w:tcPr>
            <w:shd w:val="clear" w:color="auto" w:fill="1B3A6B"/>
            <w:tcW w:w="358" w:type="dxa"/>
          </w:tcPr>
          <w:p>
            <w:pPr>
              <w:pStyle w:val="Compact"/>
              <w:jc w:val="left"/>
            </w:pPr>
            <w:r>
              <w:rPr>
                <w:b/>
                <w:color w:val="FFFFFF"/>
                <w:sz w:val="18"/>
              </w:rPr>
              <w:t xml:space="preserve">Layer</w:t>
            </w:r>
          </w:p>
        </w:tc>
        <w:tc>
          <w:tcPr>
            <w:shd w:val="clear" w:color="auto" w:fill="1B3A6B"/>
            <w:tcW w:w="1297" w:type="dxa"/>
          </w:tcPr>
          <w:p>
            <w:pPr>
              <w:pStyle w:val="Compact"/>
              <w:jc w:val="left"/>
            </w:pPr>
            <w:r>
              <w:rPr>
                <w:b/>
                <w:color w:val="FFFFFF"/>
                <w:sz w:val="18"/>
              </w:rPr>
              <w:t xml:space="preserve">Name</w:t>
            </w:r>
          </w:p>
        </w:tc>
        <w:tc>
          <w:tcPr>
            <w:shd w:val="clear" w:color="auto" w:fill="1B3A6B"/>
            <w:tcW w:w="3708" w:type="dxa"/>
          </w:tcPr>
          <w:p>
            <w:pPr>
              <w:pStyle w:val="Compact"/>
              <w:jc w:val="left"/>
            </w:pPr>
            <w:r>
              <w:rPr>
                <w:b/>
                <w:color w:val="FFFFFF"/>
                <w:sz w:val="18"/>
              </w:rPr>
              <w:t xml:space="preserve">Components</w:t>
            </w:r>
          </w:p>
        </w:tc>
        <w:tc>
          <w:tcPr>
            <w:shd w:val="clear" w:color="auto" w:fill="1B3A6B"/>
            <w:tcW w:w="3708" w:type="dxa"/>
          </w:tcPr>
          <w:p>
            <w:pPr>
              <w:pStyle w:val="Compact"/>
              <w:jc w:val="left"/>
            </w:pPr>
            <w:r>
              <w:rPr>
                <w:b/>
                <w:color w:val="FFFFFF"/>
                <w:sz w:val="18"/>
              </w:rPr>
              <w:t xml:space="preserve">What it establishes</w:t>
            </w:r>
          </w:p>
        </w:tc>
      </w:tr>
      <w:tr>
        <w:trPr>
          <w:cantSplit/>
        </w:trPr>
        <w:tc>
          <w:tcPr>
            <w:tcW w:w="358" w:type="dxa"/>
          </w:tcPr>
          <w:p>
            <w:pPr>
              <w:pStyle w:val="Compact"/>
              <w:jc w:val="left"/>
            </w:pPr>
            <w:r>
              <w:rPr>
                <w:sz w:val="18"/>
              </w:rPr>
              <w:t xml:space="preserve">3</w:t>
            </w:r>
          </w:p>
        </w:tc>
        <w:tc>
          <w:tcPr>
            <w:tcW w:w="1297" w:type="dxa"/>
          </w:tcPr>
          <w:p>
            <w:pPr>
              <w:pStyle w:val="Compact"/>
              <w:jc w:val="left"/>
            </w:pPr>
            <w:r>
              <w:rPr>
                <w:sz w:val="18"/>
              </w:rPr>
              <w:t xml:space="preserve">End-User Services</w:t>
            </w:r>
          </w:p>
        </w:tc>
        <w:tc>
          <w:tcPr>
            <w:tcW w:w="3708" w:type="dxa"/>
          </w:tcPr>
          <w:p>
            <w:pPr>
              <w:pStyle w:val="Compact"/>
              <w:jc w:val="left"/>
            </w:pPr>
            <w:r>
              <w:rPr>
                <w:sz w:val="18"/>
              </w:rPr>
              <w:t xml:space="preserve">VITLAccess provider portal; real-time ADT event notifications; Advanced Analytics Layer</w:t>
            </w:r>
          </w:p>
        </w:tc>
        <w:tc>
          <w:tcPr>
            <w:tcW w:w="3708" w:type="dxa"/>
          </w:tcPr>
          <w:p>
            <w:pPr>
              <w:pStyle w:val="Compact"/>
              <w:jc w:val="left"/>
            </w:pPr>
            <w:r>
              <w:rPr>
                <w:sz w:val="18"/>
              </w:rPr>
              <w:t xml:space="preserve">What clinicians and state leaders actually touch — including the analytics used for regionalization and global-budget modeling</w:t>
            </w:r>
          </w:p>
        </w:tc>
      </w:tr>
      <w:tr>
        <w:trPr/>
        <w:tc>
          <w:tcPr>
            <w:tcW w:w="358" w:type="dxa"/>
          </w:tcPr>
          <w:p>
            <w:pPr>
              <w:pStyle w:val="Compact"/>
              <w:jc w:val="left"/>
            </w:pPr>
            <w:r>
              <w:rPr>
                <w:sz w:val="18"/>
              </w:rPr>
              <w:t xml:space="preserve">2</w:t>
            </w:r>
          </w:p>
        </w:tc>
        <w:tc>
          <w:tcPr>
            <w:tcW w:w="1297" w:type="dxa"/>
          </w:tcPr>
          <w:p>
            <w:pPr>
              <w:pStyle w:val="Compact"/>
              <w:jc w:val="left"/>
            </w:pPr>
            <w:r>
              <w:rPr>
                <w:sz w:val="18"/>
              </w:rPr>
              <w:t xml:space="preserve">Exchange Services</w:t>
            </w:r>
          </w:p>
        </w:tc>
        <w:tc>
          <w:tcPr>
            <w:tcW w:w="3708" w:type="dxa"/>
          </w:tcPr>
          <w:p>
            <w:pPr>
              <w:pStyle w:val="Compact"/>
              <w:jc w:val="left"/>
            </w:pPr>
            <w:r>
              <w:rPr>
                <w:sz w:val="18"/>
              </w:rPr>
              <w:t xml:space="preserve">FHIR APIs; Clinical Data Repository</w:t>
            </w:r>
          </w:p>
        </w:tc>
        <w:tc>
          <w:tcPr>
            <w:tcW w:w="3708" w:type="dxa"/>
          </w:tcPr>
          <w:p>
            <w:pPr>
              <w:pStyle w:val="Compact"/>
              <w:jc w:val="left"/>
            </w:pPr>
            <w:r>
              <w:rPr>
                <w:sz w:val="18"/>
              </w:rPr>
              <w:t xml:space="preserve">Moves and stores data as a single source of truth, prioritized around the weekly-refreshed MDWAS pipeline rather than the lagging VHCURES feed</w:t>
            </w:r>
          </w:p>
        </w:tc>
      </w:tr>
      <w:tr>
        <w:trPr>
          <w:cantSplit/>
        </w:trPr>
        <w:tc>
          <w:tcPr>
            <w:tcW w:w="358" w:type="dxa"/>
          </w:tcPr>
          <w:p>
            <w:pPr>
              <w:pStyle w:val="Compact"/>
              <w:jc w:val="left"/>
            </w:pPr>
            <w:r>
              <w:rPr>
                <w:sz w:val="18"/>
              </w:rPr>
              <w:t xml:space="preserve">1</w:t>
            </w:r>
          </w:p>
        </w:tc>
        <w:tc>
          <w:tcPr>
            <w:tcW w:w="1297" w:type="dxa"/>
          </w:tcPr>
          <w:p>
            <w:pPr>
              <w:pStyle w:val="Compact"/>
              <w:jc w:val="left"/>
            </w:pPr>
            <w:r>
              <w:rPr>
                <w:sz w:val="18"/>
              </w:rPr>
              <w:t xml:space="preserve">Foundational Services</w:t>
            </w:r>
          </w:p>
        </w:tc>
        <w:tc>
          <w:tcPr>
            <w:tcW w:w="3708" w:type="dxa"/>
          </w:tcPr>
          <w:p>
            <w:pPr>
              <w:pStyle w:val="Compact"/>
              <w:jc w:val="left"/>
            </w:pPr>
            <w:r>
              <w:rPr>
                <w:sz w:val="18"/>
              </w:rPr>
              <w:t xml:space="preserve">Master Patient Index (Verato); Terminology Services (Term Atlas); Rhapsody integration engine</w:t>
            </w:r>
          </w:p>
        </w:tc>
        <w:tc>
          <w:tcPr>
            <w:tcW w:w="3708" w:type="dxa"/>
          </w:tcPr>
          <w:p>
            <w:pPr>
              <w:pStyle w:val="Compact"/>
              <w:jc w:val="left"/>
            </w:pPr>
            <w:r>
              <w:rPr>
                <w:sz w:val="18"/>
              </w:rPr>
              <w:t xml:space="preserve">Establishes</w:t>
            </w:r>
            <w:r>
              <w:rPr>
                <w:sz w:val="18"/>
              </w:rPr>
              <w:t xml:space="preserve"> </w:t>
            </w:r>
            <w:r>
              <w:rPr>
                <w:i/>
                <w:iCs/>
                <w:sz w:val="18"/>
              </w:rPr>
              <w:t xml:space="preserve">who a patient is</w:t>
            </w:r>
            <w:r>
              <w:rPr>
                <w:sz w:val="18"/>
              </w:rPr>
              <w:t xml:space="preserve"> </w:t>
            </w:r>
            <w:r>
              <w:rPr>
                <w:sz w:val="18"/>
              </w:rPr>
              <w:t xml:space="preserve">and ensures every system speaks the same clinical vocabulary (SNOMED CT, LOINC). Without it, nothing above is trustworthy</w:t>
            </w:r>
          </w:p>
        </w:tc>
      </w:tr>
    </w:tbl>
    <w:p>
      <w:pPr>
        <w:pStyle w:val="Caption"/>
        <w:spacing w:before="120"/>
      </w:pPr>
      <w:r>
        <w:rPr>
          <w:i/>
          <w:iCs/>
        </w:rPr>
        <w:t xml:space="preserve">Figure 4.4 — The UHDS three-layer architecture. Each layer is dependent on the one below it. Sources: Vermont UHDS Transition Plan; DVHA HIE program documentation.</w:t>
      </w:r>
    </w:p>
    <w:p>
      <w:pPr>
        <w:pStyle w:val="Heading3"/>
      </w:pPr>
      <w:r>
        <w:rPr>
          <w:color w:val="161B22"/>
        </w:rPr>
        <w:t xml:space="preserve">4.3.5  </w:t>
      </w:r>
      <w:bookmarkStart w:id="1124" w:name="_Toc1123"/>
      <w:r>
        <w:rPr>
          <w:b/>
          <w:bCs/>
          <w:color w:val="161B22"/>
        </w:rPr>
        <w:t xml:space="preserve">Why Integration Is the Load-Bearing Element</w:t>
      </w:r>
      <w:bookmarkEnd w:id="1124"/>
    </w:p>
    <w:p>
      <w:pPr>
        <w:pStyle w:val="FirstParagraph"/>
      </w:pPr>
      <w:r>
        <w:t xml:space="preserve">The argument for merging these data types is often made in the abstract. It is more persuasive stated as three specific blind spots, each of which the others close.</w:t>
      </w:r>
    </w:p>
    <w:p>
      <w:pPr>
        <w:pStyle w:val="BodyText"/>
      </w:pPr>
      <w:r>
        <w:t xml:space="preserve">Clinical data alone gives no visibility outside the patient’s own network — a provider cannot see that the same test was run last week at a different hospital. 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pPr>
        <w:pStyle w:val="BodyText"/>
      </w:pPr>
      <w:r>
        <w:t xml:space="preserve">Three consequences follow directly, and each maps to a capability Vermont’s transformation agenda already assumes it will have.</w:t>
      </w:r>
    </w:p>
    <w:p>
      <w:pPr>
        <w:pStyle w:val="BodyText"/>
      </w:pPr>
      <w:r>
        <w:rPr>
          <w:b/>
          <w:bCs/>
        </w:rPr>
        <w:t xml:space="preserve">Hybrid quality measures become possible.</w:t>
      </w:r>
      <w:r>
        <w:t xml:space="preserve"> </w:t>
      </w:r>
      <w:r>
        <w:t xml:space="preserve">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w:t>
      </w:r>
      <w:r>
        <w:t xml:space="preserve"> </w:t>
      </w:r>
      <w:r>
        <w:rPr>
          <w:b/>
          <w:bCs/>
        </w:rPr>
        <w:t xml:space="preserve">over $14 million annually statewide</w:t>
      </w:r>
      <w:r>
        <w:t xml:space="preserve">.</w:t>
      </w:r>
    </w:p>
    <w:p>
      <w:pPr>
        <w:pStyle w:val="BodyText"/>
      </w:pPr>
      <w:r>
        <w:rPr>
          <w:b/>
          <w:bCs/>
        </w:rPr>
        <w:t xml:space="preserve">Risk prediction measurably improves.</w:t>
      </w:r>
      <w:r>
        <w:t xml:space="preserve"> </w:t>
      </w:r>
      <w:r>
        <w:t xml:space="preserve">Combining EHR and claims data identifies meaningfully more high-risk patients than claims data alone. That improvement is the entire basis for the earlier, targeted interventions on which Act 167’s cost-reduction strategy depends.</w:t>
      </w:r>
    </w:p>
    <w:p>
      <w:pPr>
        <w:pStyle w:val="BodyText"/>
      </w:pPr>
      <w:r>
        <w:rPr>
          <w:b/>
          <w:bCs/>
        </w:rPr>
        <w:t xml:space="preserve">SDOH integration closes the loop on root cause.</w:t>
      </w:r>
      <w:r>
        <w:t xml:space="preserve"> </w:t>
      </w:r>
      <w:r>
        <w:t xml:space="preserve">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pPr>
        <w:pStyle w:val="Heading3"/>
      </w:pPr>
      <w:r>
        <w:rPr>
          <w:color w:val="161B22"/>
        </w:rPr>
        <w:t xml:space="preserve">4.3.6  </w:t>
      </w:r>
      <w:bookmarkStart w:id="1125" w:name="_Toc1124"/>
      <w:r>
        <w:rPr>
          <w:b/>
          <w:bCs/>
          <w:color w:val="161B22"/>
        </w:rPr>
        <w:t xml:space="preserve">The MDWAS-First Path and Why Multi-Payer Scaling Is Not Optional</w:t>
      </w:r>
      <w:bookmarkEnd w:id="1125"/>
    </w:p>
    <w:p>
      <w:pPr>
        <w:pStyle w:val="FirstParagraph"/>
      </w:pPr>
      <w:r>
        <w:t xml:space="preserve">Vermont’s claims integration runs primarily through the</w:t>
      </w:r>
      <w:r>
        <w:t xml:space="preserve"> </w:t>
      </w:r>
      <w:r>
        <w:rPr>
          <w:b/>
          <w:bCs/>
        </w:rPr>
        <w:t xml:space="preserve">Medicaid Data Warehouse &amp; Analytics Solution (MDWAS)</w:t>
      </w:r>
      <w: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pPr>
        <w:pStyle w:val="BodyText"/>
      </w:pPr>
      <w:r>
        <w:t xml:space="preserve">Population coverage scales in three deliberate phases: Medicaid clinical and claims data went live in 2024; Medicare data scales across 2026–2028, meeting AHEAD Model reporting requirements and supporting hospital global-budget monitoring; and full multi-payer integration, incorporating commercial claims and standardized SDOH data, follows in 2029–2030.</w:t>
      </w:r>
    </w:p>
    <w:p>
      <w:pPr>
        <w:pStyle w:val="BodyText"/>
      </w:pPr>
      <w: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pPr>
        <w:pStyle w:val="Heading3"/>
      </w:pPr>
      <w:r>
        <w:rPr>
          <w:color w:val="161B22"/>
        </w:rPr>
        <w:t xml:space="preserve">4.3.7  </w:t>
      </w:r>
      <w:bookmarkStart w:id="1126" w:name="_Toc1125"/>
      <w:r>
        <w:rPr>
          <w:b/>
          <w:bCs/>
          <w:color w:val="161B22"/>
        </w:rPr>
        <w:t xml:space="preserve">The Privacy Shield</w:t>
      </w:r>
      <w:bookmarkEnd w:id="1126"/>
    </w:p>
    <w:p>
      <w:pPr>
        <w:pStyle w:val="FirstParagraph"/>
      </w:pPr>
      <w: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pPr>
        <w:pStyle w:val="BodyText"/>
      </w:pPr>
      <w: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pPr>
        <w:pStyle w:val="BodyText"/>
      </w:pPr>
      <w: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pPr>
        <w:pStyle w:val="Heading3"/>
      </w:pPr>
      <w:r>
        <w:rPr>
          <w:color w:val="161B22"/>
        </w:rPr>
        <w:t xml:space="preserve">4.3.8  </w:t>
      </w:r>
      <w:bookmarkStart w:id="1127" w:name="_Toc1126"/>
      <w:r>
        <w:rPr>
          <w:b/>
          <w:bCs/>
          <w:color w:val="161B22"/>
        </w:rPr>
        <w:t xml:space="preserve">The RHT Dependency</w:t>
      </w:r>
      <w:bookmarkEnd w:id="1127"/>
    </w:p>
    <w:p>
      <w:pPr>
        <w:pStyle w:val="FirstParagraph"/>
      </w:pPr>
      <w: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pPr>
        <w:pStyle w:val="BodyText"/>
      </w:pPr>
      <w:r>
        <w:t xml:space="preserve">Each of those projects is, in isolation, a vendor-supplied point solution. What converts it into measurable health system transformation is the data layer beneath it. A centralized transfer center only functions if bed and capacity data is tied to a correctly matched patient record across every facility in real time. Strip the UHDS out of the picture and Vermont’s $195 million-per-year RHT investment becomes a collection of disconnected purchases that cannot be attributed to a patient’s record, linked to cost data, or reported to CMS as evidence that the investment worked.</w:t>
      </w:r>
    </w:p>
    <w:p>
      <w:pPr>
        <w:pStyle w:val="BodyText"/>
      </w:pPr>
      <w: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pPr>
        <w:pStyle w:val="Heading3"/>
      </w:pPr>
      <w:r>
        <w:rPr>
          <w:color w:val="161B22"/>
        </w:rPr>
        <w:t xml:space="preserve">4.3.9  </w:t>
      </w:r>
      <w:bookmarkStart w:id="1128" w:name="_Toc1127"/>
      <w:r>
        <w:rPr>
          <w:b/>
          <w:bCs/>
          <w:color w:val="161B22"/>
        </w:rPr>
        <w:t xml:space="preserve">The Statewide EHR Question — Vermont’s Active Feasibility Assessment</w:t>
      </w:r>
      <w:bookmarkEnd w:id="1128"/>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cantSplit/>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cantSplit/>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spacing w:before="120"/>
      </w:pPr>
      <w:r>
        <w:rPr>
          <w:i/>
          <w:iCs/>
        </w:rPr>
        <w:t xml:space="preserve">Figure 4.5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9" w:name="_Toc1128"/>
      <w:r>
        <w:rPr>
          <w:b/>
          <w:bCs/>
          <w:color w:val="161B22"/>
        </w:rPr>
        <w:t xml:space="preserve">The Vermont Clinically Integrated Network — A New Technology Institution</w:t>
      </w:r>
      <w:bookmarkEnd w:id="1129"/>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30" w:name="_Toc1129"/>
      <w:r>
        <w:rPr>
          <w:b/>
          <w:bCs/>
          <w:color w:val="161B22"/>
        </w:rPr>
        <w:t xml:space="preserve">What a Clinically Integrated Network Does</w:t>
      </w:r>
      <w:bookmarkEnd w:id="1130"/>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31" w:name="_Toc1130"/>
      <w:r>
        <w:rPr>
          <w:b/>
          <w:bCs/>
          <w:color w:val="161B22"/>
        </w:rPr>
        <w:t xml:space="preserve">What the Vermont CIN Will Provide</w:t>
      </w:r>
      <w:bookmarkEnd w:id="1131"/>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32" w:name="_Toc1131"/>
      <w:r>
        <w:rPr>
          <w:b/>
          <w:bCs/>
          <w:color w:val="161B22"/>
        </w:rPr>
        <w:t xml:space="preserve">FHIR Interoperability — The National Standard and Vermont’s Compliance Path</w:t>
      </w:r>
      <w:bookmarkEnd w:id="1132"/>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33" w:name="_Toc1132"/>
      <w:r>
        <w:rPr>
          <w:b/>
          <w:bCs/>
          <w:color w:val="161B22"/>
        </w:rPr>
        <w:t xml:space="preserve">What FHIR Enables That Vermont Currently Cannot Do</w:t>
      </w:r>
      <w:bookmarkEnd w:id="1133"/>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34" w:name="_Toc1133"/>
      <w:r>
        <w:rPr>
          <w:b/>
          <w:bCs/>
          <w:color w:val="161B22"/>
        </w:rPr>
        <w:t xml:space="preserve">Vermont’s FHIR Compliance Status</w:t>
      </w:r>
      <w:bookmarkEnd w:id="1134"/>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cantSplit/>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spacing w:before="120"/>
      </w:pPr>
      <w:r>
        <w:rPr>
          <w:i/>
          <w:iCs/>
        </w:rPr>
        <w:t xml:space="preserve">Figure 4.6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35" w:name="_Toc1134"/>
      <w:r>
        <w:rPr>
          <w:b/>
          <w:bCs/>
          <w:color w:val="161B22"/>
        </w:rPr>
        <w:t xml:space="preserve">AI and Digital Health Technologies — Vermont’s Targeted Investment Strategy</w:t>
      </w:r>
      <w:bookmarkEnd w:id="1135"/>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6" w:name="_Toc1135"/>
      <w:r>
        <w:rPr>
          <w:b/>
          <w:bCs/>
          <w:color w:val="161B22"/>
        </w:rPr>
        <w:t xml:space="preserve">AI Scribe Technology: Addressing the Documentation Burden Crisis</w:t>
      </w:r>
      <w:bookmarkEnd w:id="1136"/>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7" w:name="_Toc1136"/>
      <w:r>
        <w:rPr>
          <w:b/>
          <w:bCs/>
          <w:color w:val="161B22"/>
        </w:rPr>
        <w:t xml:space="preserve">Remote Patient Monitoring: Managing Chronic Disease Outside the Hospital</w:t>
      </w:r>
      <w:bookmarkEnd w:id="1137"/>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8" w:name="_Toc1137"/>
      <w:r>
        <w:rPr>
          <w:b/>
          <w:bCs/>
          <w:color w:val="161B22"/>
        </w:rPr>
        <w:t xml:space="preserve">Telehealth: Specialty Access for Rural Vermont</w:t>
      </w:r>
      <w:bookmarkEnd w:id="1138"/>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9" w:name="_Toc1138"/>
      <w:r>
        <w:rPr>
          <w:b/>
          <w:bCs/>
          <w:color w:val="161B22"/>
        </w:rPr>
        <w:t xml:space="preserve">Diagnostic AI: The Emerging Standard of Care</w:t>
      </w:r>
      <w:bookmarkEnd w:id="1139"/>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40" w:name="_Toc1139"/>
      <w:r>
        <w:rPr>
          <w:b/>
          <w:bCs/>
          <w:color w:val="161B22"/>
        </w:rPr>
        <w:t xml:space="preserve">Price Transparency Technology</w:t>
      </w:r>
      <w:bookmarkEnd w:id="1140"/>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41" w:name="_Toc1140"/>
      <w:r>
        <w:rPr>
          <w:b/>
          <w:bCs/>
          <w:color w:val="161B22"/>
        </w:rPr>
        <w:t xml:space="preserve">AI Governance — Vermont’s Responsibility Before the Risk Arrives</w:t>
      </w:r>
      <w:bookmarkEnd w:id="1141"/>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42" w:name="_Toc1141"/>
      <w:r>
        <w:rPr>
          <w:b/>
          <w:bCs/>
          <w:color w:val="161B22"/>
        </w:rPr>
        <w:t xml:space="preserve">Vermont AI Governance Framework: Minimum Requirements</w:t>
      </w:r>
      <w:bookmarkEnd w:id="1142"/>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43" w:name="_Toc1142"/>
      <w:r>
        <w:rPr>
          <w:b/>
          <w:bCs/>
          <w:color w:val="161B22"/>
        </w:rPr>
        <w:t xml:space="preserve">Vermont’s Target Technology Architecture — A Framework for the Strategic Plan</w:t>
      </w:r>
      <w:bookmarkEnd w:id="1143"/>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4212"/>
        <w:gridCol w:w="4860"/>
      </w:tblGrid>
      <w:tr>
        <w:trPr>
          <w:tblHeader w:val="on"/>
          <w:cantSplit/>
        </w:trPr>
        <w:tc>
          <w:tcPr>
            <w:shd w:val="clear" w:color="auto" w:fill="1B3A6B"/>
            <w:tcW w:w="4212" w:type="dxa"/>
          </w:tcPr>
          <w:p>
            <w:pPr>
              <w:pStyle w:val="Compact"/>
              <w:spacing w:before="0" w:after="0" w:line="240" w:lineRule="auto"/>
            </w:pPr>
            <w:r>
              <w:rPr>
                <w:b/>
                <w:color w:val="FFFFFF"/>
                <w:sz w:val="17"/>
              </w:rPr>
              <w:t xml:space="preserve">Layer</w:t>
            </w:r>
          </w:p>
        </w:tc>
        <w:tc>
          <w:tcPr>
            <w:shd w:val="clear" w:color="auto" w:fill="1B3A6B"/>
            <w:tcW w:w="4860" w:type="dxa"/>
          </w:tcPr>
          <w:p>
            <w:pPr>
              <w:pStyle w:val="Compact"/>
              <w:spacing w:before="0" w:after="0" w:line="240" w:lineRule="auto"/>
            </w:pPr>
            <w:r>
              <w:rPr>
                <w:b/>
                <w:color w:val="FFFFFF"/>
                <w:sz w:val="17"/>
              </w:rPr>
              <w:t xml:space="preserve">Components</w:t>
            </w:r>
          </w:p>
        </w:tc>
      </w:tr>
      <w:tr>
        <w:trPr>
          <w:cantSplit/>
        </w:trPr>
        <w:tc>
          <w:tcPr>
            <w:tcW w:w="4212" w:type="dxa"/>
          </w:tcPr>
          <w:p>
            <w:pPr>
              <w:pStyle w:val="Compact"/>
              <w:spacing w:before="0" w:after="0" w:line="240" w:lineRule="auto"/>
            </w:pPr>
            <w:r>
              <w:rPr>
                <w:b/>
                <w:bCs/>
                <w:sz w:val="17"/>
              </w:rPr>
              <w:t xml:space="preserve">Layer 5 (Top)</w:t>
            </w:r>
            <w:r>
              <w:rPr>
                <w:sz w:val="17"/>
              </w:rPr>
              <w:t xml:space="preserve"> </w:t>
            </w:r>
            <w:r>
              <w:rPr>
                <w:sz w:val="17"/>
              </w:rPr>
              <w:t xml:space="preserve">— Advanced</w:t>
            </w:r>
            <w:r>
              <w:rPr>
                <w:sz w:val="17"/>
              </w:rPr>
              <w:t xml:space="preserve"> </w:t>
            </w:r>
            <w:r>
              <w:rPr>
                <w:sz w:val="17"/>
              </w:rPr>
              <w:t xml:space="preserve">Analytics &amp; AI Applications</w:t>
            </w:r>
          </w:p>
        </w:tc>
        <w:tc>
          <w:tcPr>
            <w:tcW w:w="4860" w:type="dxa"/>
          </w:tcPr>
          <w:p>
            <w:pPr>
              <w:pStyle w:val="Compact"/>
              <w:numPr>
                <w:ilvl w:val="0"/>
                <w:numId w:val="1014"/>
              </w:numPr>
              <w:spacing w:before="0" w:after="0" w:line="240" w:lineRule="auto"/>
            </w:pPr>
            <w:r>
              <w:rPr>
                <w:sz w:val="17"/>
              </w:rPr>
              <w:t xml:space="preserve">Population health analytics platform (joint AHS-GMCB</w:t>
            </w:r>
            <w:r>
              <w:rPr>
                <w:sz w:val="17"/>
              </w:rPr>
              <w:t xml:space="preserve"> </w:t>
            </w:r>
            <w:r>
              <w:rPr>
                <w:sz w:val="17"/>
              </w:rPr>
              <w:t xml:space="preserve">vendor): models transformation scenarios, evaluates</w:t>
            </w:r>
            <w:r>
              <w:rPr>
                <w:sz w:val="17"/>
              </w:rPr>
              <w:t xml:space="preserve"> </w:t>
            </w:r>
            <w:r>
              <w:rPr>
                <w:sz w:val="17"/>
              </w:rPr>
              <w:t xml:space="preserve">hospital proposals, tracks outcome metrics</w:t>
            </w:r>
          </w:p>
          <w:p>
            <w:pPr>
              <w:pStyle w:val="Compact"/>
              <w:numPr>
                <w:ilvl w:val="0"/>
                <w:numId w:val="1014"/>
              </w:numPr>
              <w:spacing w:before="0" w:after="0" w:line="240" w:lineRule="auto"/>
            </w:pPr>
            <w:r>
              <w:rPr>
                <w:sz w:val="17"/>
              </w:rPr>
              <w:t xml:space="preserve">AI scribe &amp; documentation automation: RHT grants; CIN</w:t>
            </w:r>
            <w:r>
              <w:rPr>
                <w:sz w:val="17"/>
              </w:rPr>
              <w:t xml:space="preserve"> </w:t>
            </w:r>
            <w:r>
              <w:rPr>
                <w:sz w:val="17"/>
              </w:rPr>
              <w:t xml:space="preserve">enterprise contract</w:t>
            </w:r>
          </w:p>
          <w:p>
            <w:pPr>
              <w:pStyle w:val="Compact"/>
              <w:numPr>
                <w:ilvl w:val="0"/>
                <w:numId w:val="1014"/>
              </w:numPr>
              <w:spacing w:before="0" w:after="0" w:line="240" w:lineRule="auto"/>
            </w:pPr>
            <w:r>
              <w:rPr>
                <w:sz w:val="17"/>
              </w:rPr>
              <w:t xml:space="preserve">Diagnostic AI: network-wide deployment via CIN shared</w:t>
            </w:r>
            <w:r>
              <w:rPr>
                <w:sz w:val="17"/>
              </w:rPr>
              <w:t xml:space="preserve"> </w:t>
            </w:r>
            <w:r>
              <w:rPr>
                <w:sz w:val="17"/>
              </w:rPr>
              <w:t xml:space="preserve">services with shared AI governance</w:t>
            </w:r>
          </w:p>
          <w:p>
            <w:pPr>
              <w:pStyle w:val="Compact"/>
              <w:numPr>
                <w:ilvl w:val="0"/>
                <w:numId w:val="1014"/>
              </w:numPr>
              <w:spacing w:before="0" w:after="0" w:line="240" w:lineRule="auto"/>
            </w:pPr>
            <w:r>
              <w:rPr>
                <w:sz w:val="17"/>
              </w:rPr>
              <w:t xml:space="preserve">Remote patient monitoring: RPM for CHF, COPD, diabetes;</w:t>
            </w:r>
            <w:r>
              <w:rPr>
                <w:sz w:val="17"/>
              </w:rPr>
              <w:t xml:space="preserve"> </w:t>
            </w:r>
            <w:r>
              <w:rPr>
                <w:sz w:val="17"/>
              </w:rPr>
              <w:t xml:space="preserve">community paramedicine integration</w:t>
            </w:r>
          </w:p>
          <w:p>
            <w:pPr>
              <w:pStyle w:val="Compact"/>
              <w:numPr>
                <w:ilvl w:val="0"/>
                <w:numId w:val="1014"/>
              </w:numPr>
              <w:spacing w:before="0" w:after="0" w:line="240" w:lineRule="auto"/>
            </w:pPr>
            <w:r>
              <w:rPr>
                <w:sz w:val="17"/>
              </w:rPr>
              <w:t xml:space="preserve">Price transparency dashboard: GMCB public tool;</w:t>
            </w:r>
            <w:r>
              <w:rPr>
                <w:sz w:val="17"/>
              </w:rPr>
              <w:t xml:space="preserve"> </w:t>
            </w:r>
            <w:r>
              <w:rPr>
                <w:sz w:val="17"/>
              </w:rPr>
              <w:t xml:space="preserve">patient-facing comparison via RHT</w:t>
            </w:r>
          </w:p>
        </w:tc>
      </w:tr>
      <w:tr>
        <w:trPr/>
        <w:tc>
          <w:tcPr>
            <w:tcW w:w="4212" w:type="dxa"/>
          </w:tcPr>
          <w:p>
            <w:pPr>
              <w:pStyle w:val="Compact"/>
              <w:spacing w:before="0" w:after="0" w:line="240" w:lineRule="auto"/>
            </w:pPr>
            <w:r>
              <w:rPr>
                <w:b/>
                <w:bCs/>
                <w:sz w:val="17"/>
              </w:rPr>
              <w:t xml:space="preserve">Layer 4</w:t>
            </w:r>
            <w:r>
              <w:rPr>
                <w:sz w:val="17"/>
              </w:rPr>
              <w:t xml:space="preserve"> </w:t>
            </w:r>
            <w:r>
              <w:rPr>
                <w:sz w:val="17"/>
              </w:rPr>
              <w:t xml:space="preserve">— Population</w:t>
            </w:r>
            <w:r>
              <w:rPr>
                <w:sz w:val="17"/>
              </w:rPr>
              <w:t xml:space="preserve"> </w:t>
            </w:r>
            <w:r>
              <w:rPr>
                <w:sz w:val="17"/>
              </w:rPr>
              <w:t xml:space="preserve">Health Management</w:t>
            </w:r>
          </w:p>
        </w:tc>
        <w:tc>
          <w:tcPr>
            <w:tcW w:w="4860" w:type="dxa"/>
          </w:tcPr>
          <w:p>
            <w:pPr>
              <w:pStyle w:val="Compact"/>
              <w:numPr>
                <w:ilvl w:val="0"/>
                <w:numId w:val="1015"/>
              </w:numPr>
              <w:spacing w:before="0" w:after="0" w:line="240" w:lineRule="auto"/>
            </w:pPr>
            <w:r>
              <w:rPr>
                <w:sz w:val="17"/>
              </w:rPr>
              <w:t xml:space="preserve">Blueprint clinical data registry: HEDIS measurement,</w:t>
            </w:r>
            <w:r>
              <w:rPr>
                <w:sz w:val="17"/>
              </w:rPr>
              <w:t xml:space="preserve"> </w:t>
            </w:r>
            <w:r>
              <w:rPr>
                <w:sz w:val="17"/>
              </w:rPr>
              <w:t xml:space="preserve">care-gap reporting, population risk stratification</w:t>
            </w:r>
          </w:p>
          <w:p>
            <w:pPr>
              <w:pStyle w:val="Compact"/>
              <w:numPr>
                <w:ilvl w:val="0"/>
                <w:numId w:val="1015"/>
              </w:numPr>
              <w:spacing w:before="0" w:after="0" w:line="240" w:lineRule="auto"/>
            </w:pPr>
            <w:r>
              <w:rPr>
                <w:sz w:val="17"/>
              </w:rPr>
              <w:t xml:space="preserve">Attribution management: patient-to-hospital attribution</w:t>
            </w:r>
            <w:r>
              <w:rPr>
                <w:sz w:val="17"/>
              </w:rPr>
              <w:t xml:space="preserve"> </w:t>
            </w:r>
            <w:r>
              <w:rPr>
                <w:sz w:val="17"/>
              </w:rPr>
              <w:t xml:space="preserve">for AHEAD global budgets; PC AHEAD attribution</w:t>
            </w:r>
          </w:p>
          <w:p>
            <w:pPr>
              <w:pStyle w:val="Compact"/>
              <w:numPr>
                <w:ilvl w:val="0"/>
                <w:numId w:val="1015"/>
              </w:numPr>
              <w:spacing w:before="0" w:after="0" w:line="240" w:lineRule="auto"/>
            </w:pPr>
            <w:r>
              <w:rPr>
                <w:sz w:val="17"/>
              </w:rPr>
              <w:t xml:space="preserve">SDOH screening data: Blueprint HRSN results linked to</w:t>
            </w:r>
            <w:r>
              <w:rPr>
                <w:sz w:val="17"/>
              </w:rPr>
              <w:t xml:space="preserve"> </w:t>
            </w:r>
            <w:r>
              <w:rPr>
                <w:sz w:val="17"/>
              </w:rPr>
              <w:t xml:space="preserve">health records</w:t>
            </w:r>
          </w:p>
          <w:p>
            <w:pPr>
              <w:pStyle w:val="Compact"/>
              <w:numPr>
                <w:ilvl w:val="0"/>
                <w:numId w:val="1015"/>
              </w:numPr>
              <w:spacing w:before="0" w:after="0" w:line="240" w:lineRule="auto"/>
            </w:pPr>
            <w:r>
              <w:rPr>
                <w:sz w:val="17"/>
              </w:rPr>
              <w:t xml:space="preserve">Care coordination registry: CHT patient registries; CCBHC</w:t>
            </w:r>
            <w:r>
              <w:rPr>
                <w:sz w:val="17"/>
              </w:rPr>
              <w:t xml:space="preserve"> </w:t>
            </w:r>
            <w:r>
              <w:rPr>
                <w:sz w:val="17"/>
              </w:rPr>
              <w:t xml:space="preserve">care-management data</w:t>
            </w:r>
          </w:p>
        </w:tc>
      </w:tr>
      <w:tr>
        <w:trPr/>
        <w:tc>
          <w:tcPr>
            <w:tcW w:w="4212" w:type="dxa"/>
          </w:tcPr>
          <w:p>
            <w:pPr>
              <w:pStyle w:val="Compact"/>
              <w:spacing w:before="0" w:after="0" w:line="240" w:lineRule="auto"/>
            </w:pPr>
            <w:r>
              <w:rPr>
                <w:b/>
                <w:bCs/>
                <w:sz w:val="17"/>
              </w:rPr>
              <w:t xml:space="preserve">Layer 3</w:t>
            </w:r>
            <w:r>
              <w:rPr>
                <w:sz w:val="17"/>
              </w:rPr>
              <w:t xml:space="preserve"> </w:t>
            </w:r>
            <w:r>
              <w:rPr>
                <w:sz w:val="17"/>
              </w:rPr>
              <w:t xml:space="preserve">— Integrated</w:t>
            </w:r>
            <w:r>
              <w:rPr>
                <w:sz w:val="17"/>
              </w:rPr>
              <w:t xml:space="preserve"> </w:t>
            </w:r>
            <w:r>
              <w:rPr>
                <w:sz w:val="17"/>
              </w:rPr>
              <w:t xml:space="preserve">Health Record (Target State)</w:t>
            </w:r>
          </w:p>
        </w:tc>
        <w:tc>
          <w:tcPr>
            <w:tcW w:w="4860" w:type="dxa"/>
          </w:tcPr>
          <w:p>
            <w:pPr>
              <w:pStyle w:val="Compact"/>
              <w:numPr>
                <w:ilvl w:val="0"/>
                <w:numId w:val="1016"/>
              </w:numPr>
              <w:spacing w:before="0" w:after="0" w:line="240" w:lineRule="auto"/>
            </w:pPr>
            <w:r>
              <w:rPr>
                <w:sz w:val="17"/>
              </w:rPr>
              <w:t xml:space="preserve">VHCURES–VHIE integration: claims merged with clinical data</w:t>
            </w:r>
            <w:r>
              <w:rPr>
                <w:sz w:val="17"/>
              </w:rPr>
              <w:t xml:space="preserve"> </w:t>
            </w:r>
            <w:r>
              <w:rPr>
                <w:sz w:val="17"/>
              </w:rPr>
              <w:t xml:space="preserve">per HIE Steering Committee mandate</w:t>
            </w:r>
          </w:p>
          <w:p>
            <w:pPr>
              <w:pStyle w:val="Compact"/>
              <w:numPr>
                <w:ilvl w:val="0"/>
                <w:numId w:val="1016"/>
              </w:numPr>
              <w:spacing w:before="0" w:after="0" w:line="240" w:lineRule="auto"/>
            </w:pPr>
            <w:r>
              <w:rPr>
                <w:sz w:val="17"/>
              </w:rPr>
              <w:t xml:space="preserve">Mental health &amp; SUD data integration: 42 CFR Part 2</w:t>
            </w:r>
            <w:r>
              <w:rPr>
                <w:sz w:val="17"/>
              </w:rPr>
              <w:t xml:space="preserve"> </w:t>
            </w:r>
            <w:r>
              <w:rPr>
                <w:sz w:val="17"/>
              </w:rPr>
              <w:t xml:space="preserve">compliant consent; CCBHC and DA data</w:t>
            </w:r>
          </w:p>
          <w:p>
            <w:pPr>
              <w:pStyle w:val="Compact"/>
              <w:numPr>
                <w:ilvl w:val="0"/>
                <w:numId w:val="1016"/>
              </w:numPr>
              <w:spacing w:before="0" w:after="0" w:line="240" w:lineRule="auto"/>
            </w:pPr>
            <w:r>
              <w:rPr>
                <w:sz w:val="17"/>
              </w:rPr>
              <w:t xml:space="preserve">SDOH data integration: social-service utilization linked</w:t>
            </w:r>
            <w:r>
              <w:rPr>
                <w:sz w:val="17"/>
              </w:rPr>
              <w:t xml:space="preserve"> </w:t>
            </w:r>
            <w:r>
              <w:rPr>
                <w:sz w:val="17"/>
              </w:rPr>
              <w:t xml:space="preserve">to the health record with privacy protections</w:t>
            </w:r>
          </w:p>
          <w:p>
            <w:pPr>
              <w:pStyle w:val="Compact"/>
              <w:numPr>
                <w:ilvl w:val="0"/>
                <w:numId w:val="1016"/>
              </w:numPr>
              <w:spacing w:before="0" w:after="0" w:line="240" w:lineRule="auto"/>
            </w:pPr>
            <w:r>
              <w:rPr>
                <w:sz w:val="17"/>
              </w:rPr>
              <w:t xml:space="preserve">Single patient identity: master patient index across all</w:t>
            </w:r>
            <w:r>
              <w:rPr>
                <w:sz w:val="17"/>
              </w:rPr>
              <w:t xml:space="preserve"> </w:t>
            </w:r>
            <w:r>
              <w:rPr>
                <w:sz w:val="17"/>
              </w:rPr>
              <w:t xml:space="preserve">14 hospitals and community providers</w:t>
            </w:r>
          </w:p>
        </w:tc>
      </w:tr>
      <w:tr>
        <w:trPr/>
        <w:tc>
          <w:tcPr>
            <w:tcW w:w="4212" w:type="dxa"/>
          </w:tcPr>
          <w:p>
            <w:pPr>
              <w:pStyle w:val="Compact"/>
              <w:spacing w:before="0" w:after="0" w:line="240" w:lineRule="auto"/>
            </w:pPr>
            <w:r>
              <w:rPr>
                <w:b/>
                <w:bCs/>
                <w:sz w:val="17"/>
              </w:rPr>
              <w:t xml:space="preserve">Layer 2</w:t>
            </w:r>
            <w:r>
              <w:rPr>
                <w:sz w:val="17"/>
              </w:rPr>
              <w:t xml:space="preserve"> </w:t>
            </w:r>
            <w:r>
              <w:rPr>
                <w:sz w:val="17"/>
              </w:rPr>
              <w:t xml:space="preserve">— Data Exchange</w:t>
            </w:r>
            <w:r>
              <w:rPr>
                <w:sz w:val="17"/>
              </w:rPr>
              <w:t xml:space="preserve"> </w:t>
            </w:r>
            <w:r>
              <w:rPr>
                <w:sz w:val="17"/>
              </w:rPr>
              <w:t xml:space="preserve">Infrastructure</w:t>
            </w:r>
          </w:p>
        </w:tc>
        <w:tc>
          <w:tcPr>
            <w:tcW w:w="4860" w:type="dxa"/>
          </w:tcPr>
          <w:p>
            <w:pPr>
              <w:pStyle w:val="Compact"/>
              <w:numPr>
                <w:ilvl w:val="0"/>
                <w:numId w:val="1017"/>
              </w:numPr>
              <w:spacing w:before="0" w:after="0" w:line="240" w:lineRule="auto"/>
            </w:pPr>
            <w:r>
              <w:rPr>
                <w:sz w:val="17"/>
              </w:rPr>
              <w:t xml:space="preserve">Vermont Health Information Exchange (VHIE/VITL): clinical</w:t>
            </w:r>
            <w:r>
              <w:rPr>
                <w:sz w:val="17"/>
              </w:rPr>
              <w:t xml:space="preserve"> </w:t>
            </w:r>
            <w:r>
              <w:rPr>
                <w:sz w:val="17"/>
              </w:rPr>
              <w:t xml:space="preserve">data exchange; connectivity mandated by Act 68</w:t>
            </w:r>
          </w:p>
          <w:p>
            <w:pPr>
              <w:pStyle w:val="Compact"/>
              <w:numPr>
                <w:ilvl w:val="0"/>
                <w:numId w:val="1017"/>
              </w:numPr>
              <w:spacing w:before="0" w:after="0" w:line="240" w:lineRule="auto"/>
            </w:pPr>
            <w:r>
              <w:rPr>
                <w:sz w:val="17"/>
              </w:rPr>
              <w:t xml:space="preserve">FHIR R4 APIs: CMS-mandated payer and provider APIs;</w:t>
            </w:r>
            <w:r>
              <w:rPr>
                <w:sz w:val="17"/>
              </w:rPr>
              <w:t xml:space="preserve"> </w:t>
            </w:r>
            <w:r>
              <w:rPr>
                <w:sz w:val="17"/>
              </w:rPr>
              <w:t xml:space="preserve">expanding to community providers via RHT grants</w:t>
            </w:r>
          </w:p>
          <w:p>
            <w:pPr>
              <w:pStyle w:val="Compact"/>
              <w:numPr>
                <w:ilvl w:val="0"/>
                <w:numId w:val="1017"/>
              </w:numPr>
              <w:spacing w:before="0" w:after="0" w:line="240" w:lineRule="auto"/>
            </w:pPr>
            <w:r>
              <w:rPr>
                <w:sz w:val="17"/>
              </w:rPr>
              <w:t xml:space="preserve">Vermont Clinically Integrated Network: shared data</w:t>
            </w:r>
            <w:r>
              <w:rPr>
                <w:sz w:val="17"/>
              </w:rPr>
              <w:t xml:space="preserve"> </w:t>
            </w:r>
            <w:r>
              <w:rPr>
                <w:sz w:val="17"/>
              </w:rPr>
              <w:t xml:space="preserve">standards, protocols, exchange agreements across 14</w:t>
            </w:r>
            <w:r>
              <w:rPr>
                <w:sz w:val="17"/>
              </w:rPr>
              <w:t xml:space="preserve"> </w:t>
            </w:r>
            <w:r>
              <w:rPr>
                <w:sz w:val="17"/>
              </w:rPr>
              <w:t xml:space="preserve">hospitals</w:t>
            </w:r>
          </w:p>
          <w:p>
            <w:pPr>
              <w:pStyle w:val="Compact"/>
              <w:numPr>
                <w:ilvl w:val="0"/>
                <w:numId w:val="1017"/>
              </w:numPr>
              <w:spacing w:before="0" w:after="0" w:line="240" w:lineRule="auto"/>
            </w:pPr>
            <w:r>
              <w:rPr>
                <w:sz w:val="17"/>
              </w:rPr>
              <w:t xml:space="preserve">CommonWell / Carequality: national network connectivity</w:t>
            </w:r>
            <w:r>
              <w:rPr>
                <w:sz w:val="17"/>
              </w:rPr>
              <w:t xml:space="preserve"> </w:t>
            </w:r>
            <w:r>
              <w:rPr>
                <w:sz w:val="17"/>
              </w:rPr>
              <w:t xml:space="preserve">for out-of-state care records</w:t>
            </w:r>
          </w:p>
        </w:tc>
      </w:tr>
      <w:tr>
        <w:trPr>
          <w:cantSplit/>
        </w:trPr>
        <w:tc>
          <w:tcPr>
            <w:tcW w:w="4212" w:type="dxa"/>
          </w:tcPr>
          <w:p>
            <w:pPr>
              <w:pStyle w:val="Compact"/>
              <w:spacing w:before="0" w:after="0" w:line="240" w:lineRule="auto"/>
            </w:pPr>
            <w:r>
              <w:rPr>
                <w:b/>
                <w:bCs/>
                <w:sz w:val="17"/>
              </w:rPr>
              <w:t xml:space="preserve">Layer 1 (Foundation)</w:t>
            </w:r>
            <w:r>
              <w:rPr>
                <w:sz w:val="17"/>
              </w:rPr>
              <w:t xml:space="preserve"> </w:t>
            </w:r>
            <w:r>
              <w:rPr>
                <w:sz w:val="17"/>
              </w:rPr>
              <w:t xml:space="preserve">—</w:t>
            </w:r>
            <w:r>
              <w:rPr>
                <w:sz w:val="17"/>
              </w:rPr>
              <w:t xml:space="preserve"> </w:t>
            </w:r>
            <w:r>
              <w:rPr>
                <w:sz w:val="17"/>
              </w:rPr>
              <w:t xml:space="preserve">Core Data Assets</w:t>
            </w:r>
          </w:p>
        </w:tc>
        <w:tc>
          <w:tcPr>
            <w:tcW w:w="4860" w:type="dxa"/>
          </w:tcPr>
          <w:p>
            <w:pPr>
              <w:pStyle w:val="Compact"/>
              <w:numPr>
                <w:ilvl w:val="0"/>
                <w:numId w:val="1018"/>
              </w:numPr>
              <w:spacing w:before="0" w:after="0" w:line="240" w:lineRule="auto"/>
            </w:pPr>
            <w:r>
              <w:rPr>
                <w:sz w:val="17"/>
              </w:rPr>
              <w:t xml:space="preserve">VHCURES (all-payer claims database): 100%</w:t>
            </w:r>
            <w:r>
              <w:rPr>
                <w:sz w:val="17"/>
              </w:rPr>
              <w:t xml:space="preserve"> </w:t>
            </w:r>
            <w:r>
              <w:rPr>
                <w:sz w:val="17"/>
              </w:rPr>
              <w:t xml:space="preserve">Medicaid/Medicare; 60% commercial; GMCB-managed; Onpoint</w:t>
            </w:r>
            <w:r>
              <w:rPr>
                <w:sz w:val="17"/>
              </w:rPr>
              <w:t xml:space="preserve"> </w:t>
            </w:r>
            <w:r>
              <w:rPr>
                <w:sz w:val="17"/>
              </w:rPr>
              <w:t xml:space="preserve">vendor</w:t>
            </w:r>
          </w:p>
          <w:p>
            <w:pPr>
              <w:pStyle w:val="Compact"/>
              <w:numPr>
                <w:ilvl w:val="0"/>
                <w:numId w:val="1018"/>
              </w:numPr>
              <w:spacing w:before="0" w:after="0" w:line="240" w:lineRule="auto"/>
            </w:pPr>
            <w:r>
              <w:rPr>
                <w:sz w:val="17"/>
              </w:rPr>
              <w:t xml:space="preserve">VUHDDS (hospital discharge database): all 14 hospitals;</w:t>
            </w:r>
            <w:r>
              <w:rPr>
                <w:sz w:val="17"/>
              </w:rPr>
              <w:t xml:space="preserve"> </w:t>
            </w:r>
            <w:r>
              <w:rPr>
                <w:sz w:val="17"/>
              </w:rPr>
              <w:t xml:space="preserve">all inpatient, outpatient, ED discharges</w:t>
            </w:r>
          </w:p>
          <w:p>
            <w:pPr>
              <w:pStyle w:val="Compact"/>
              <w:numPr>
                <w:ilvl w:val="0"/>
                <w:numId w:val="1018"/>
              </w:numPr>
              <w:spacing w:before="0" w:after="0" w:line="240" w:lineRule="auto"/>
            </w:pPr>
            <w:r>
              <w:rPr>
                <w:sz w:val="17"/>
              </w:rPr>
              <w:t xml:space="preserve">EHR systems at 14 hospitals: Epic (UVMMC), Oracle Health</w:t>
            </w:r>
            <w:r>
              <w:rPr>
                <w:sz w:val="17"/>
              </w:rPr>
              <w:t xml:space="preserve"> </w:t>
            </w:r>
            <w:r>
              <w:rPr>
                <w:sz w:val="17"/>
              </w:rPr>
              <w:t xml:space="preserve">(CVMC, others), TruBridge (CAHs), Meditech (others)</w:t>
            </w:r>
          </w:p>
          <w:p>
            <w:pPr>
              <w:pStyle w:val="Compact"/>
              <w:numPr>
                <w:ilvl w:val="0"/>
                <w:numId w:val="1018"/>
              </w:numPr>
              <w:spacing w:before="0" w:after="0" w:line="240" w:lineRule="auto"/>
            </w:pPr>
            <w:r>
              <w:rPr>
                <w:sz w:val="17"/>
              </w:rPr>
              <w:t xml:space="preserve">Blueprint clinical registry: quality-measure data linked</w:t>
            </w:r>
            <w:r>
              <w:rPr>
                <w:sz w:val="17"/>
              </w:rPr>
              <w:t xml:space="preserve"> </w:t>
            </w:r>
            <w:r>
              <w:rPr>
                <w:sz w:val="17"/>
              </w:rPr>
              <w:t xml:space="preserve">to VHCURES for population-level HEDIS</w:t>
            </w:r>
          </w:p>
          <w:p>
            <w:pPr>
              <w:pStyle w:val="Compact"/>
              <w:numPr>
                <w:ilvl w:val="0"/>
                <w:numId w:val="1018"/>
              </w:numPr>
              <w:spacing w:before="0" w:after="0" w:line="240" w:lineRule="auto"/>
            </w:pPr>
            <w:r>
              <w:rPr>
                <w:sz w:val="17"/>
              </w:rPr>
              <w:t xml:space="preserve">GMCB regulatory data: hospital budgets, rate filings, CON</w:t>
            </w:r>
            <w:r>
              <w:rPr>
                <w:sz w:val="17"/>
              </w:rPr>
              <w:t xml:space="preserve"> </w:t>
            </w:r>
            <w:r>
              <w:rPr>
                <w:sz w:val="17"/>
              </w:rPr>
              <w:t xml:space="preserve">decisions, ACO budget data</w:t>
            </w:r>
          </w:p>
        </w:tc>
      </w:tr>
    </w:tbl>
    <w:p>
      <w:pPr>
        <w:pStyle w:val="Caption"/>
        <w:spacing w:before="120"/>
      </w:pPr>
      <w:r>
        <w:rPr>
          <w:i/>
          <w:iCs/>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44" w:name="_Toc1143"/>
      <w:r>
        <w:rPr>
          <w:b/>
          <w:bCs/>
          <w:color w:val="161B22"/>
        </w:rPr>
        <w:t xml:space="preserve">Work This Chapter on the Platform</w:t>
      </w:r>
      <w:bookmarkEnd w:id="1144"/>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FHIR R4 resources and map terminology across ICD-10, SNOMED, LOINC, RxNorm</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4062" w:type="dxa"/>
          </w:tcPr>
          <w:p>
            <w:pPr>
              <w:pStyle w:val="Compact"/>
              <w:jc w:val="left"/>
            </w:pPr>
            <w:r>
              <w:rPr>
                <w:sz w:val="18"/>
              </w:rPr>
              <w:t xml:space="preserve">Stratify a population by CMS-HCC risk and see the attribution that global budgets require</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Why technology must precede economics: you cannot manage a budget for a population you cannot see.</w:t>
            </w:r>
          </w:p>
        </w:tc>
      </w:tr>
      <w:tr>
        <w:trPr/>
        <w:tc>
          <w:tcPr>
            <w:tcW w:w="4062" w:type="dxa"/>
          </w:tcPr>
          <w:p>
            <w:pPr>
              <w:pStyle w:val="Compact"/>
              <w:jc w:val="left"/>
            </w:pPr>
            <w:r>
              <w:rPr>
                <w:sz w:val="18"/>
              </w:rPr>
              <w:t xml:space="preserve">Compare EHR vendors, model adoption cost and 5-year ROI, and audit a record’s USCDI data quality</w:t>
            </w:r>
          </w:p>
        </w:tc>
        <w:tc>
          <w:tcPr>
            <w:tcW w:w="947"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4062"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4062" w:type="dxa"/>
          </w:tcPr>
          <w:p>
            <w:pPr>
              <w:pStyle w:val="Compact"/>
              <w:jc w:val="left"/>
            </w:pPr>
            <w:r>
              <w:rPr>
                <w:sz w:val="18"/>
              </w:rPr>
              <w:t xml:space="preserve">Weigh a single statewide EHR against FHIR interoperability across Vermont’s existing platforms</w:t>
            </w:r>
          </w:p>
        </w:tc>
        <w:tc>
          <w:tcPr>
            <w:tcW w:w="947"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4062"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spacing w:before="120"/>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45" w:name="_Toc1144"/>
      <w:r>
        <w:rPr>
          <w:b/>
          <w:bCs/>
          <w:color w:val="161B22"/>
        </w:rPr>
        <w:t xml:space="preserve">Implications for You</w:t>
      </w:r>
      <w:bookmarkEnd w:id="1145"/>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6" w:name="_Toc1145"/>
      <w:r>
        <w:rPr>
          <w:b/>
          <w:bCs/>
          <w:color w:val="161B22"/>
        </w:rPr>
        <w:t xml:space="preserve">Key Concepts in This Chapter</w:t>
      </w:r>
      <w:bookmarkEnd w:id="1146"/>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7" w:name="_Toc1146"/>
      <w:r>
        <w:rPr>
          <w:b/>
          <w:bCs/>
          <w:color w:val="161B22"/>
        </w:rPr>
        <w:t xml:space="preserve">Chapter 5: The Technology Pillar in Practice — FHIR, AI Governance, and Clinical Decision Support</w:t>
      </w:r>
      <w:bookmarkEnd w:id="1147"/>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8" w:name="_Toc1147"/>
      <w:r>
        <w:rPr>
          <w:b/>
          <w:bCs/>
          <w:color w:val="161B22"/>
        </w:rPr>
        <w:t xml:space="preserve">From Architecture to Implementation</w:t>
      </w:r>
      <w:bookmarkEnd w:id="1148"/>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9" w:name="_Toc1148"/>
      <w:r>
        <w:rPr>
          <w:b/>
          <w:bCs/>
          <w:color w:val="161B22"/>
        </w:rPr>
        <w:t xml:space="preserve">FHIR Implementation — From Standard to Working System</w:t>
      </w:r>
      <w:bookmarkEnd w:id="1149"/>
    </w:p>
    <w:p>
      <w:pPr>
        <w:pStyle w:val="Heading3"/>
      </w:pPr>
      <w:r>
        <w:rPr>
          <w:color w:val="161B22"/>
        </w:rPr>
        <w:t xml:space="preserve">5.2.1  </w:t>
      </w:r>
      <w:bookmarkStart w:id="1150" w:name="_Toc1149"/>
      <w:r>
        <w:rPr>
          <w:b/>
          <w:bCs/>
          <w:color w:val="161B22"/>
        </w:rPr>
        <w:t xml:space="preserve">The FHIR Implementation Reality</w:t>
      </w:r>
      <w:bookmarkEnd w:id="1150"/>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51" w:name="_Toc1150"/>
      <w:r>
        <w:rPr>
          <w:b/>
          <w:bCs/>
          <w:color w:val="161B22"/>
        </w:rPr>
        <w:t xml:space="preserve">The Three FHIR Use Cases Vermont Needs Most</w:t>
      </w:r>
      <w:bookmarkEnd w:id="1151"/>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spacing w:before="120"/>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52" w:name="_Toc1151"/>
      <w:r>
        <w:rPr>
          <w:b/>
          <w:bCs/>
          <w:color w:val="161B22"/>
        </w:rPr>
        <w:t xml:space="preserve">The Master Patient Index — Vermont’s Identity Management Challenge</w:t>
      </w:r>
      <w:bookmarkEnd w:id="1152"/>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53" w:name="_Toc1152"/>
      <w:r>
        <w:rPr>
          <w:b/>
          <w:bCs/>
          <w:color w:val="161B22"/>
        </w:rPr>
        <w:t xml:space="preserve">AI Clinical Governance — The Complete Framework</w:t>
      </w:r>
      <w:bookmarkEnd w:id="1153"/>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54" w:name="_Toc1153"/>
      <w:r>
        <w:rPr>
          <w:b/>
          <w:bCs/>
          <w:color w:val="161B22"/>
        </w:rPr>
        <w:t xml:space="preserve">The AI Clinical Governance Lifecycle</w:t>
      </w:r>
      <w:bookmarkEnd w:id="1154"/>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55" w:name="_Toc1154"/>
      <w:r>
        <w:rPr>
          <w:b/>
          <w:bCs/>
          <w:color w:val="161B22"/>
        </w:rPr>
        <w:t xml:space="preserve">Stage 1: Pre-Deployment Evaluation</w:t>
      </w:r>
      <w:bookmarkEnd w:id="1155"/>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6" w:name="_Toc1155"/>
      <w:r>
        <w:rPr>
          <w:b/>
          <w:bCs/>
          <w:color w:val="161B22"/>
        </w:rPr>
        <w:t xml:space="preserve">Stage 2: Implementation and Training</w:t>
      </w:r>
      <w:bookmarkEnd w:id="1156"/>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7" w:name="_Toc1156"/>
      <w:r>
        <w:rPr>
          <w:b/>
          <w:bCs/>
          <w:color w:val="161B22"/>
        </w:rPr>
        <w:t xml:space="preserve">Stage 3: Active Monitoring</w:t>
      </w:r>
      <w:bookmarkEnd w:id="1157"/>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8" w:name="_Toc1157"/>
      <w:r>
        <w:rPr>
          <w:b/>
          <w:bCs/>
          <w:color w:val="161B22"/>
        </w:rPr>
        <w:t xml:space="preserve">Stage 4: Vendor Management</w:t>
      </w:r>
      <w:bookmarkEnd w:id="1158"/>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9" w:name="_Toc1158"/>
      <w:r>
        <w:rPr>
          <w:b/>
          <w:bCs/>
          <w:color w:val="161B22"/>
        </w:rPr>
        <w:t xml:space="preserve">AI-Specific Issues for Vermont Rural Hospitals</w:t>
      </w:r>
      <w:bookmarkEnd w:id="1159"/>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60" w:name="_Toc1159"/>
      <w:r>
        <w:rPr>
          <w:b/>
          <w:bCs/>
          <w:color w:val="161B22"/>
        </w:rPr>
        <w:t xml:space="preserve">Clinical Decision Support — From Alerts to Intelligence</w:t>
      </w:r>
      <w:bookmarkEnd w:id="1160"/>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61" w:name="_Toc1160"/>
      <w:r>
        <w:rPr>
          <w:b/>
          <w:bCs/>
          <w:color w:val="161B22"/>
        </w:rPr>
        <w:t xml:space="preserve">Alert Fatigue — The CDS Effectiveness Crisis</w:t>
      </w:r>
      <w:bookmarkEnd w:id="1161"/>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62" w:name="_Toc1161"/>
      <w:r>
        <w:rPr>
          <w:b/>
          <w:bCs/>
          <w:color w:val="161B22"/>
        </w:rPr>
        <w:t xml:space="preserve">Population Health CDS — Vermont’s Priority Application</w:t>
      </w:r>
      <w:bookmarkEnd w:id="1162"/>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spacing w:before="120"/>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63" w:name="_Toc1162"/>
      <w:r>
        <w:rPr>
          <w:b/>
          <w:bCs/>
          <w:color w:val="161B22"/>
        </w:rPr>
        <w:t xml:space="preserve">Cybersecurity in Rural Health Infrastructure</w:t>
      </w:r>
      <w:bookmarkEnd w:id="1163"/>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64" w:name="_Toc1163"/>
      <w:r>
        <w:rPr>
          <w:b/>
          <w:bCs/>
          <w:color w:val="161B22"/>
        </w:rPr>
        <w:t xml:space="preserve">The CIN Cybersecurity Shared Services Model</w:t>
      </w:r>
      <w:bookmarkEnd w:id="1164"/>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65" w:name="_Toc1164"/>
      <w:r>
        <w:rPr>
          <w:b/>
          <w:bCs/>
          <w:color w:val="161B22"/>
        </w:rPr>
        <w:t xml:space="preserve">Technology Pillar Implementation Matrix</w:t>
      </w:r>
      <w:bookmarkEnd w:id="1165"/>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spacing w:before="280"/>
      </w:pPr>
      <w:r>
        <w:rPr>
          <w:color w:val="161B22"/>
        </w:rPr>
        <w:t xml:space="preserve">5.7  </w:t>
      </w:r>
      <w:bookmarkStart w:id="1166" w:name="_Toc1165"/>
      <w:r>
        <w:rPr>
          <w:b/>
          <w:bCs/>
          <w:color w:val="161B22"/>
        </w:rPr>
        <w:t xml:space="preserve">Work This Chapter on the Platform</w:t>
      </w:r>
      <w:bookmarkEnd w:id="1166"/>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an AI clinical governance framework across the model lifecycle</w:t>
            </w:r>
          </w:p>
        </w:tc>
        <w:tc>
          <w:tcPr>
            <w:tcW w:w="947"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4062" w:type="dxa"/>
          </w:tcPr>
          <w:p>
            <w:pPr>
              <w:pStyle w:val="Compact"/>
              <w:jc w:val="left"/>
            </w:pPr>
            <w:r>
              <w:rPr>
                <w:sz w:val="18"/>
              </w:rPr>
              <w:t xml:space="preserve">The 65-item checklist as a go/no-go gate before any clinical AI deployment.</w:t>
            </w:r>
          </w:p>
        </w:tc>
      </w:tr>
      <w:tr>
        <w:trPr/>
        <w:tc>
          <w:tcPr>
            <w:tcW w:w="4062" w:type="dxa"/>
          </w:tcPr>
          <w:p>
            <w:pPr>
              <w:pStyle w:val="Compact"/>
              <w:jc w:val="left"/>
            </w:pPr>
            <w:r>
              <w:rPr>
                <w:sz w:val="18"/>
              </w:rPr>
              <w:t xml:space="preserve">Model RPM and telehealth ROI by condition and CPT code</w:t>
            </w:r>
          </w:p>
        </w:tc>
        <w:tc>
          <w:tcPr>
            <w:tcW w:w="947"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4062" w:type="dxa"/>
          </w:tcPr>
          <w:p>
            <w:pPr>
              <w:pStyle w:val="Compact"/>
              <w:jc w:val="left"/>
            </w:pPr>
            <w:r>
              <w:rPr>
                <w:sz w:val="18"/>
              </w:rPr>
              <w:t xml:space="preserve">Where digital health earns its cost — and where it adds alert fatigue without value.</w:t>
            </w:r>
          </w:p>
        </w:tc>
      </w:tr>
      <w:tr>
        <w:trPr/>
        <w:tc>
          <w:tcPr>
            <w:tcW w:w="4062" w:type="dxa"/>
          </w:tcPr>
          <w:p>
            <w:pPr>
              <w:pStyle w:val="Compact"/>
              <w:jc w:val="left"/>
            </w:pPr>
            <w:r>
              <w:rPr>
                <w:sz w:val="18"/>
              </w:rPr>
              <w:t xml:space="preserve">Exercise clinical data exchange and HL7 messaging</w:t>
            </w:r>
          </w:p>
        </w:tc>
        <w:tc>
          <w:tcPr>
            <w:tcW w:w="947"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4062" w:type="dxa"/>
          </w:tcPr>
          <w:p>
            <w:pPr>
              <w:pStyle w:val="Compact"/>
              <w:jc w:val="left"/>
            </w:pPr>
            <w:r>
              <w:rPr>
                <w:sz w:val="18"/>
              </w:rPr>
              <w:t xml:space="preserve">The integration work that makes near-real-time care management possible.</w:t>
            </w:r>
          </w:p>
        </w:tc>
      </w:tr>
      <w:tr>
        <w:trPr>
          <w:cantSplit/>
        </w:trPr>
        <w:tc>
          <w:tcPr>
            <w:tcW w:w="4062" w:type="dxa"/>
          </w:tcPr>
          <w:p>
            <w:pPr>
              <w:pStyle w:val="Compact"/>
              <w:jc w:val="left"/>
            </w:pPr>
            <w:r>
              <w:rPr>
                <w:sz w:val="18"/>
              </w:rPr>
              <w:t xml:space="preserve">Test whether FHIR-based exchange can deliver what a statewide EHR would, at lower cost</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Where FHIR closes the gap and where it does not — the question Vermont’s feasibility assessment must answer.</w:t>
            </w:r>
          </w:p>
        </w:tc>
      </w:tr>
    </w:tbl>
    <w:p>
      <w:pPr>
        <w:pStyle w:val="Caption"/>
        <w:spacing w:before="120"/>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7" w:name="_Toc1166"/>
      <w:r>
        <w:rPr>
          <w:b/>
          <w:bCs/>
          <w:color w:val="161B22"/>
        </w:rPr>
        <w:t xml:space="preserve">Implications for You</w:t>
      </w:r>
      <w:bookmarkEnd w:id="1167"/>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8" w:name="_Toc1167"/>
      <w:r>
        <w:rPr>
          <w:b/>
          <w:bCs/>
          <w:color w:val="161B22"/>
        </w:rPr>
        <w:t xml:space="preserve">Key Concepts in This Chapter</w:t>
      </w:r>
      <w:bookmarkEnd w:id="1168"/>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9" w:name="_Toc1168"/>
      <w:r>
        <w:rPr>
          <w:b/>
          <w:bCs/>
          <w:color w:val="161B22"/>
        </w:rPr>
        <w:t xml:space="preserve">Chapter 6: The Economics Pillar — Global Budgets, Reference-Based Pricing, and Financial Reform</w:t>
      </w:r>
      <w:bookmarkEnd w:id="116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70" w:name="_Toc1169"/>
      <w:r>
        <w:rPr>
          <w:b/>
          <w:bCs/>
          <w:color w:val="161B22"/>
        </w:rPr>
        <w:t xml:space="preserve">The Economics Pillar: Why Payment Reform Is the Master Variable</w:t>
      </w:r>
      <w:bookmarkEnd w:id="1170"/>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71" w:name="_Toc1170"/>
      <w:r>
        <w:rPr>
          <w:b/>
          <w:bCs/>
          <w:color w:val="161B22"/>
        </w:rPr>
        <w:t xml:space="preserve">The Fee-for-Service Trap — Why the Current System Fails</w:t>
      </w:r>
      <w:bookmarkEnd w:id="1171"/>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72" w:name="_Toc1171"/>
      <w:r>
        <w:rPr>
          <w:b/>
          <w:bCs/>
          <w:color w:val="161B22"/>
        </w:rPr>
        <w:t xml:space="preserve">The Volume Incentive Problem</w:t>
      </w:r>
      <w:bookmarkEnd w:id="1172"/>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73" w:name="_Toc1172"/>
      <w:r>
        <w:rPr>
          <w:b/>
          <w:bCs/>
          <w:color w:val="161B22"/>
        </w:rPr>
        <w:t xml:space="preserve">The Price Extraction Problem</w:t>
      </w:r>
      <w:bookmarkEnd w:id="117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spacing w:before="120"/>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spacing w:before="120"/>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74" w:name="_Toc1173"/>
      <w:r>
        <w:rPr>
          <w:b/>
          <w:bCs/>
          <w:color w:val="161B22"/>
        </w:rPr>
        <w:t xml:space="preserve">The Cross-Subsidy Collapse</w:t>
      </w:r>
      <w:bookmarkEnd w:id="1174"/>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75" w:name="_Toc1174"/>
      <w:r>
        <w:rPr>
          <w:b/>
          <w:bCs/>
          <w:color w:val="161B22"/>
        </w:rPr>
        <w:t xml:space="preserve">Reference-Based Pricing — Mechanics, Evidence, and Vermont’s Design</w:t>
      </w:r>
      <w:bookmarkEnd w:id="1175"/>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6" w:name="_Toc1175"/>
      <w:r>
        <w:rPr>
          <w:b/>
          <w:bCs/>
          <w:color w:val="161B22"/>
        </w:rPr>
        <w:t xml:space="preserve">How RBP Works: The Mechanism</w:t>
      </w:r>
      <w:bookmarkEnd w:id="1176"/>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7" w:name="_Toc1176"/>
      <w:r>
        <w:rPr>
          <w:b/>
          <w:bCs/>
          <w:color w:val="161B22"/>
        </w:rPr>
        <w:t xml:space="preserve">The Evidence Base: Cross-State Results</w:t>
      </w:r>
      <w:bookmarkEnd w:id="1177"/>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5"/>
        <w:gridCol w:w="2910"/>
        <w:gridCol w:w="2134"/>
        <w:gridCol w:w="2910"/>
      </w:tblGrid>
      <w:tr>
        <w:trPr>
          <w:tblHeader w:val="on"/>
          <w:cantSplit/>
        </w:trPr>
        <w:tc>
          <w:tcPr>
            <w:shd w:val="clear" w:color="auto" w:fill="1B3A6B"/>
            <w:tcW w:w="1115" w:type="dxa"/>
          </w:tcPr>
          <w:p>
            <w:pPr>
              <w:pStyle w:val="Compact"/>
              <w:jc w:val="left"/>
            </w:pPr>
            <w:r>
              <w:rPr>
                <w:b/>
                <w:color w:val="FFFFFF"/>
                <w:sz w:val="18"/>
              </w:rPr>
              <w:t xml:space="preserve">State / Program</w:t>
            </w:r>
          </w:p>
        </w:tc>
        <w:tc>
          <w:tcPr>
            <w:shd w:val="clear" w:color="auto" w:fill="1B3A6B"/>
            <w:tcW w:w="2910" w:type="dxa"/>
          </w:tcPr>
          <w:p>
            <w:pPr>
              <w:pStyle w:val="Compact"/>
              <w:jc w:val="left"/>
            </w:pPr>
            <w:r>
              <w:rPr>
                <w:b/>
                <w:color w:val="FFFFFF"/>
                <w:sz w:val="18"/>
              </w:rPr>
              <w:t xml:space="preserve">Design</w:t>
            </w:r>
          </w:p>
        </w:tc>
        <w:tc>
          <w:tcPr>
            <w:shd w:val="clear" w:color="auto" w:fill="1B3A6B"/>
            <w:tcW w:w="2134" w:type="dxa"/>
          </w:tcPr>
          <w:p>
            <w:pPr>
              <w:pStyle w:val="Compact"/>
              <w:jc w:val="left"/>
            </w:pPr>
            <w:r>
              <w:rPr>
                <w:b/>
                <w:color w:val="FFFFFF"/>
                <w:sz w:val="18"/>
              </w:rPr>
              <w:t xml:space="preserve">Scope</w:t>
            </w:r>
          </w:p>
        </w:tc>
        <w:tc>
          <w:tcPr>
            <w:shd w:val="clear" w:color="auto" w:fill="1B3A6B"/>
            <w:tcW w:w="2910" w:type="dxa"/>
          </w:tcPr>
          <w:p>
            <w:pPr>
              <w:pStyle w:val="Compact"/>
              <w:jc w:val="left"/>
            </w:pPr>
            <w:r>
              <w:rPr>
                <w:b/>
                <w:color w:val="FFFFFF"/>
                <w:sz w:val="18"/>
              </w:rPr>
              <w:t xml:space="preserve">Key Results</w:t>
            </w:r>
          </w:p>
        </w:tc>
      </w:tr>
      <w:tr>
        <w:trPr>
          <w:cantSplit/>
        </w:trPr>
        <w:tc>
          <w:tcPr>
            <w:tcW w:w="1115" w:type="dxa"/>
          </w:tcPr>
          <w:p>
            <w:pPr>
              <w:pStyle w:val="Compact"/>
              <w:jc w:val="left"/>
            </w:pPr>
            <w:r>
              <w:rPr>
                <w:sz w:val="18"/>
              </w:rPr>
              <w:t xml:space="preserve">Oregon (2019)</w:t>
            </w:r>
          </w:p>
        </w:tc>
        <w:tc>
          <w:tcPr>
            <w:tcW w:w="2910" w:type="dxa"/>
          </w:tcPr>
          <w:p>
            <w:pPr>
              <w:pStyle w:val="Compact"/>
              <w:jc w:val="left"/>
            </w:pPr>
            <w:r>
              <w:rPr>
                <w:sz w:val="18"/>
              </w:rPr>
              <w:t xml:space="preserve">200% of Medicare in-network; 185% out-of-network. CAH exemptions.</w:t>
            </w:r>
          </w:p>
        </w:tc>
        <w:tc>
          <w:tcPr>
            <w:tcW w:w="2134" w:type="dxa"/>
          </w:tcPr>
          <w:p>
            <w:pPr>
              <w:pStyle w:val="Compact"/>
              <w:jc w:val="left"/>
            </w:pPr>
            <w:r>
              <w:rPr>
                <w:sz w:val="18"/>
              </w:rPr>
              <w:t xml:space="preserve">State employee plan (~300,000 covered lives)</w:t>
            </w:r>
          </w:p>
        </w:tc>
        <w:tc>
          <w:tcPr>
            <w:tcW w:w="2910" w:type="dxa"/>
          </w:tcPr>
          <w:p>
            <w:pPr>
              <w:pStyle w:val="Compact"/>
              <w:jc w:val="left"/>
            </w:pPr>
            <w:r>
              <w:rPr>
                <w:sz w:val="18"/>
              </w:rPr>
              <w:t xml:space="preserve">$107.5M saved in first 27 months (Health Affairs). All 24 affected hospitals remained in-network. No documented access harm.</w:t>
            </w:r>
          </w:p>
        </w:tc>
      </w:tr>
      <w:tr>
        <w:trPr/>
        <w:tc>
          <w:tcPr>
            <w:tcW w:w="1115" w:type="dxa"/>
          </w:tcPr>
          <w:p>
            <w:pPr>
              <w:pStyle w:val="Compact"/>
              <w:jc w:val="left"/>
            </w:pPr>
            <w:r>
              <w:rPr>
                <w:sz w:val="18"/>
              </w:rPr>
              <w:t xml:space="preserve">Montana (2016)</w:t>
            </w:r>
          </w:p>
        </w:tc>
        <w:tc>
          <w:tcPr>
            <w:tcW w:w="2910" w:type="dxa"/>
          </w:tcPr>
          <w:p>
            <w:pPr>
              <w:pStyle w:val="Compact"/>
              <w:jc w:val="left"/>
            </w:pPr>
            <w:r>
              <w:rPr>
                <w:sz w:val="18"/>
              </w:rPr>
              <w:t xml:space="preserve">Direct contracting at % of Medicare for state employee plan.</w:t>
            </w:r>
          </w:p>
        </w:tc>
        <w:tc>
          <w:tcPr>
            <w:tcW w:w="2134" w:type="dxa"/>
          </w:tcPr>
          <w:p>
            <w:pPr>
              <w:pStyle w:val="Compact"/>
              <w:jc w:val="left"/>
            </w:pPr>
            <w:r>
              <w:rPr>
                <w:sz w:val="18"/>
              </w:rPr>
              <w:t xml:space="preserve">State employee plan</w:t>
            </w:r>
          </w:p>
        </w:tc>
        <w:tc>
          <w:tcPr>
            <w:tcW w:w="2910"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8"/>
              </w:rPr>
              <w:t xml:space="preserve">Washington (2021)</w:t>
            </w:r>
          </w:p>
        </w:tc>
        <w:tc>
          <w:tcPr>
            <w:tcW w:w="2910"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134" w:type="dxa"/>
          </w:tcPr>
          <w:p>
            <w:pPr>
              <w:pStyle w:val="Compact"/>
              <w:jc w:val="left"/>
            </w:pPr>
            <w:r>
              <w:rPr>
                <w:sz w:val="18"/>
              </w:rPr>
              <w:t xml:space="preserve">Voluntary public option</w:t>
            </w:r>
          </w:p>
        </w:tc>
        <w:tc>
          <w:tcPr>
            <w:tcW w:w="2910" w:type="dxa"/>
          </w:tcPr>
          <w:p>
            <w:pPr>
              <w:pStyle w:val="Compact"/>
              <w:jc w:val="left"/>
            </w:pPr>
            <w:r>
              <w:rPr>
                <w:sz w:val="18"/>
              </w:rPr>
              <w:t xml:space="preserve">Expanding to state employee plans. Growing commercial adoption.</w:t>
            </w:r>
          </w:p>
        </w:tc>
      </w:tr>
      <w:tr>
        <w:trPr/>
        <w:tc>
          <w:tcPr>
            <w:tcW w:w="1115" w:type="dxa"/>
          </w:tcPr>
          <w:p>
            <w:pPr>
              <w:pStyle w:val="Compact"/>
              <w:jc w:val="left"/>
            </w:pPr>
            <w:r>
              <w:rPr>
                <w:sz w:val="18"/>
              </w:rPr>
              <w:t xml:space="preserve">Maryland (2014–present)</w:t>
            </w:r>
          </w:p>
        </w:tc>
        <w:tc>
          <w:tcPr>
            <w:tcW w:w="2910" w:type="dxa"/>
          </w:tcPr>
          <w:p>
            <w:pPr>
              <w:pStyle w:val="Compact"/>
              <w:jc w:val="left"/>
            </w:pPr>
            <w:r>
              <w:rPr>
                <w:sz w:val="18"/>
              </w:rPr>
              <w:t xml:space="preserve">All-payer rate setting; hospitals receive fixed annual revenue (global budget). Medicare waiver.</w:t>
            </w:r>
          </w:p>
        </w:tc>
        <w:tc>
          <w:tcPr>
            <w:tcW w:w="2134" w:type="dxa"/>
          </w:tcPr>
          <w:p>
            <w:pPr>
              <w:pStyle w:val="Compact"/>
              <w:jc w:val="left"/>
            </w:pPr>
            <w:r>
              <w:rPr>
                <w:sz w:val="18"/>
              </w:rPr>
              <w:t xml:space="preserve">All payers, all hospitals statewide</w:t>
            </w:r>
          </w:p>
        </w:tc>
        <w:tc>
          <w:tcPr>
            <w:tcW w:w="2910"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8"/>
              </w:rPr>
              <w:t xml:space="preserve">Vermont Act 68 (FY2027)</w:t>
            </w:r>
          </w:p>
        </w:tc>
        <w:tc>
          <w:tcPr>
            <w:tcW w:w="2910" w:type="dxa"/>
          </w:tcPr>
          <w:p>
            <w:pPr>
              <w:pStyle w:val="Compact"/>
              <w:jc w:val="left"/>
            </w:pPr>
            <w:r>
              <w:rPr>
                <w:sz w:val="18"/>
              </w:rPr>
              <w:t xml:space="preserve">Mandatory statewide RBP maximum set by GMCB rule. Initially commercial payers; excludes Medicare/Medicaid.</w:t>
            </w:r>
          </w:p>
        </w:tc>
        <w:tc>
          <w:tcPr>
            <w:tcW w:w="2134" w:type="dxa"/>
          </w:tcPr>
          <w:p>
            <w:pPr>
              <w:pStyle w:val="Compact"/>
              <w:jc w:val="left"/>
            </w:pPr>
            <w:r>
              <w:rPr>
                <w:sz w:val="18"/>
              </w:rPr>
              <w:t xml:space="preserve">All Vermont hospitals, all commercial payers</w:t>
            </w:r>
          </w:p>
        </w:tc>
        <w:tc>
          <w:tcPr>
            <w:tcW w:w="2910" w:type="dxa"/>
          </w:tcPr>
          <w:p>
            <w:pPr>
              <w:pStyle w:val="Compact"/>
              <w:jc w:val="left"/>
            </w:pPr>
            <w:r>
              <w:rPr>
                <w:sz w:val="18"/>
              </w:rPr>
              <w:t xml:space="preserve">Targeting implementation FY27; first negative commercial rate benchmark (-1%) in effect FY26 as transition step.</w:t>
            </w:r>
          </w:p>
        </w:tc>
      </w:tr>
    </w:tbl>
    <w:p>
      <w:pPr>
        <w:pStyle w:val="Caption"/>
        <w:spacing w:before="120"/>
      </w:pPr>
      <w:r>
        <w:rPr>
          <w:i/>
          <w:iCs/>
        </w:rPr>
        <w:t xml:space="preserve">Table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78" w:name="_Toc1177"/>
      <w:r>
        <w:rPr>
          <w:b/>
          <w:bCs/>
          <w:color w:val="161B22"/>
        </w:rPr>
        <w:t xml:space="preserve">What RBP Does — and What It Does Not Do</w:t>
      </w:r>
      <w:bookmarkEnd w:id="1178"/>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79" w:name="_Toc1178"/>
      <w:r>
        <w:rPr>
          <w:b/>
          <w:bCs/>
          <w:color w:val="161B22"/>
        </w:rPr>
        <w:t xml:space="preserve">Vermont’s Phased Implementation Timeline</w:t>
      </w:r>
      <w:bookmarkEnd w:id="1179"/>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spacing w:before="120"/>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80" w:name="_Toc1179"/>
      <w:r>
        <w:rPr>
          <w:b/>
          <w:bCs/>
          <w:color w:val="161B22"/>
        </w:rPr>
        <w:t xml:space="preserve">Hospital Global Budgets — Architecture, History, and Vermont’s Mandate</w:t>
      </w:r>
      <w:bookmarkEnd w:id="1180"/>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81" w:name="_Toc1180"/>
      <w:r>
        <w:rPr>
          <w:b/>
          <w:bCs/>
          <w:color w:val="161B22"/>
        </w:rPr>
        <w:t xml:space="preserve">The Economic Logic: Flipping the Incentive</w:t>
      </w:r>
      <w:bookmarkEnd w:id="1181"/>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82" w:name="_Toc1181"/>
      <w:r>
        <w:rPr>
          <w:b/>
          <w:bCs/>
          <w:color w:val="161B22"/>
        </w:rPr>
        <w:t xml:space="preserve">Five Design Dimensions Every Global Budget Must Resolve</w:t>
      </w:r>
      <w:bookmarkEnd w:id="1182"/>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988"/>
        <w:gridCol w:w="2694"/>
        <w:gridCol w:w="2694"/>
        <w:gridCol w:w="2694"/>
      </w:tblGrid>
      <w:tr>
        <w:trPr>
          <w:tblHeader w:val="on"/>
          <w:cantSplit/>
        </w:trPr>
        <w:tc>
          <w:tcPr>
            <w:shd w:val="clear" w:color="auto" w:fill="1B3A6B"/>
            <w:tcW w:w="988" w:type="dxa"/>
          </w:tcPr>
          <w:p>
            <w:pPr>
              <w:pStyle w:val="Compact"/>
              <w:jc w:val="left"/>
            </w:pPr>
            <w:r>
              <w:rPr>
                <w:b/>
                <w:color w:val="FFFFFF"/>
                <w:sz w:val="18"/>
              </w:rPr>
              <w:t xml:space="preserve">Design dimension</w:t>
            </w:r>
          </w:p>
        </w:tc>
        <w:tc>
          <w:tcPr>
            <w:shd w:val="clear" w:color="auto" w:fill="1B3A6B"/>
            <w:tcW w:w="2694" w:type="dxa"/>
          </w:tcPr>
          <w:p>
            <w:pPr>
              <w:pStyle w:val="Compact"/>
              <w:jc w:val="left"/>
            </w:pPr>
            <w:r>
              <w:rPr>
                <w:b/>
                <w:color w:val="FFFFFF"/>
                <w:sz w:val="18"/>
              </w:rPr>
              <w:t xml:space="preserve">The choice</w:t>
            </w:r>
          </w:p>
        </w:tc>
        <w:tc>
          <w:tcPr>
            <w:shd w:val="clear" w:color="auto" w:fill="1B3A6B"/>
            <w:tcW w:w="2694" w:type="dxa"/>
          </w:tcPr>
          <w:p>
            <w:pPr>
              <w:pStyle w:val="Compact"/>
              <w:jc w:val="left"/>
            </w:pPr>
            <w:r>
              <w:rPr>
                <w:b/>
                <w:color w:val="FFFFFF"/>
                <w:sz w:val="18"/>
              </w:rPr>
              <w:t xml:space="preserve">Key tradeoff</w:t>
            </w:r>
          </w:p>
        </w:tc>
        <w:tc>
          <w:tcPr>
            <w:shd w:val="clear" w:color="auto" w:fill="1B3A6B"/>
            <w:tcW w:w="2694" w:type="dxa"/>
          </w:tcPr>
          <w:p>
            <w:pPr>
              <w:pStyle w:val="Compact"/>
              <w:jc w:val="left"/>
            </w:pPr>
            <w:r>
              <w:rPr>
                <w:b/>
                <w:color w:val="FFFFFF"/>
                <w:sz w:val="18"/>
              </w:rPr>
              <w:t xml:space="preserve">Vermont’s current direction</w:t>
            </w:r>
          </w:p>
        </w:tc>
      </w:tr>
      <w:tr>
        <w:trPr>
          <w:cantSplit/>
        </w:trPr>
        <w:tc>
          <w:tcPr>
            <w:tcW w:w="988" w:type="dxa"/>
          </w:tcPr>
          <w:p>
            <w:pPr>
              <w:pStyle w:val="Compact"/>
              <w:jc w:val="left"/>
            </w:pPr>
            <w:r>
              <w:rPr>
                <w:sz w:val="18"/>
              </w:rPr>
              <w:t xml:space="preserve">Scope</w:t>
            </w:r>
          </w:p>
        </w:tc>
        <w:tc>
          <w:tcPr>
            <w:tcW w:w="2694" w:type="dxa"/>
          </w:tcPr>
          <w:p>
            <w:pPr>
              <w:pStyle w:val="Compact"/>
              <w:jc w:val="left"/>
            </w:pPr>
            <w:r>
              <w:rPr>
                <w:sz w:val="18"/>
              </w:rPr>
              <w:t xml:space="preserve">Which services are inside vs. outside the budget? (Capital, high-cost drugs, outpatient, physician services?)</w:t>
            </w:r>
          </w:p>
        </w:tc>
        <w:tc>
          <w:tcPr>
            <w:tcW w:w="2694" w:type="dxa"/>
          </w:tcPr>
          <w:p>
            <w:pPr>
              <w:pStyle w:val="Compact"/>
              <w:jc w:val="left"/>
            </w:pPr>
            <w:r>
              <w:rPr>
                <w:sz w:val="18"/>
              </w:rPr>
              <w:t xml:space="preserve">Broader scope = more comprehensive cost control. Narrower scope = simpler to administer but leaves cost-shifting opportunities.</w:t>
            </w:r>
          </w:p>
        </w:tc>
        <w:tc>
          <w:tcPr>
            <w:tcW w:w="2694"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8"/>
              </w:rPr>
              <w:t xml:space="preserve">Population adjustment</w:t>
            </w:r>
          </w:p>
        </w:tc>
        <w:tc>
          <w:tcPr>
            <w:tcW w:w="2694" w:type="dxa"/>
          </w:tcPr>
          <w:p>
            <w:pPr>
              <w:pStyle w:val="Compact"/>
              <w:jc w:val="left"/>
            </w:pPr>
            <w:r>
              <w:rPr>
                <w:sz w:val="18"/>
              </w:rPr>
              <w:t xml:space="preserve">How does the budget account for patient demographics, complexity, and socioeconomic factors?</w:t>
            </w:r>
          </w:p>
        </w:tc>
        <w:tc>
          <w:tcPr>
            <w:tcW w:w="2694" w:type="dxa"/>
          </w:tcPr>
          <w:p>
            <w:pPr>
              <w:pStyle w:val="Compact"/>
              <w:jc w:val="left"/>
            </w:pPr>
            <w:r>
              <w:rPr>
                <w:sz w:val="18"/>
              </w:rPr>
              <w:t xml:space="preserve">No adjustment rewards hospitals serving healthier populations. Over-adjustment reduces cost-control incentives.</w:t>
            </w:r>
          </w:p>
        </w:tc>
        <w:tc>
          <w:tcPr>
            <w:tcW w:w="2694" w:type="dxa"/>
          </w:tcPr>
          <w:p>
            <w:pPr>
              <w:pStyle w:val="Compact"/>
              <w:jc w:val="left"/>
            </w:pPr>
            <w:r>
              <w:rPr>
                <w:sz w:val="18"/>
              </w:rPr>
              <w:t xml:space="preserve">GMCB considering payer mix, labor costs, social risk factors for each hospital. Critical for Vermont’s CAHs vs. UVMMC.</w:t>
            </w:r>
          </w:p>
        </w:tc>
      </w:tr>
      <w:tr>
        <w:trPr/>
        <w:tc>
          <w:tcPr>
            <w:tcW w:w="988" w:type="dxa"/>
          </w:tcPr>
          <w:p>
            <w:pPr>
              <w:pStyle w:val="Compact"/>
              <w:jc w:val="left"/>
            </w:pPr>
            <w:r>
              <w:rPr>
                <w:sz w:val="18"/>
              </w:rPr>
              <w:t xml:space="preserve">Volume treatment</w:t>
            </w:r>
          </w:p>
        </w:tc>
        <w:tc>
          <w:tcPr>
            <w:tcW w:w="2694" w:type="dxa"/>
          </w:tcPr>
          <w:p>
            <w:pPr>
              <w:pStyle w:val="Compact"/>
              <w:jc w:val="left"/>
            </w:pPr>
            <w:r>
              <w:rPr>
                <w:sz w:val="18"/>
              </w:rPr>
              <w:t xml:space="preserve">Does the budget adjust if patient volume changes significantly?</w:t>
            </w:r>
          </w:p>
        </w:tc>
        <w:tc>
          <w:tcPr>
            <w:tcW w:w="2694" w:type="dxa"/>
          </w:tcPr>
          <w:p>
            <w:pPr>
              <w:pStyle w:val="Compact"/>
              <w:jc w:val="left"/>
            </w:pPr>
            <w:r>
              <w:rPr>
                <w:sz w:val="18"/>
              </w:rPr>
              <w:t xml:space="preserve">Fixed budget = maximum cost-control incentive. Volume-adjusted budget = lower risk for hospitals, less population health incentive.</w:t>
            </w:r>
          </w:p>
        </w:tc>
        <w:tc>
          <w:tcPr>
            <w:tcW w:w="2694" w:type="dxa"/>
          </w:tcPr>
          <w:p>
            <w:pPr>
              <w:pStyle w:val="Compact"/>
              <w:jc w:val="left"/>
            </w:pPr>
            <w:r>
              <w:rPr>
                <w:sz w:val="18"/>
              </w:rPr>
              <w:t xml:space="preserve">Maryland preserved revenue initially when volume decreased to ease transition. Vermont likely to adopt similar glide path.</w:t>
            </w:r>
          </w:p>
        </w:tc>
      </w:tr>
      <w:tr>
        <w:trPr/>
        <w:tc>
          <w:tcPr>
            <w:tcW w:w="988" w:type="dxa"/>
          </w:tcPr>
          <w:p>
            <w:pPr>
              <w:pStyle w:val="Compact"/>
              <w:jc w:val="left"/>
            </w:pPr>
            <w:r>
              <w:rPr>
                <w:sz w:val="18"/>
              </w:rPr>
              <w:t xml:space="preserve">Quality linkage</w:t>
            </w:r>
          </w:p>
        </w:tc>
        <w:tc>
          <w:tcPr>
            <w:tcW w:w="2694" w:type="dxa"/>
          </w:tcPr>
          <w:p>
            <w:pPr>
              <w:pStyle w:val="Compact"/>
              <w:jc w:val="left"/>
            </w:pPr>
            <w:r>
              <w:rPr>
                <w:sz w:val="18"/>
              </w:rPr>
              <w:t xml:space="preserve">How are quality metrics integrated — penalty, incentive, or both?</w:t>
            </w:r>
          </w:p>
        </w:tc>
        <w:tc>
          <w:tcPr>
            <w:tcW w:w="2694" w:type="dxa"/>
          </w:tcPr>
          <w:p>
            <w:pPr>
              <w:pStyle w:val="Compact"/>
              <w:jc w:val="left"/>
            </w:pPr>
            <w:r>
              <w:rPr>
                <w:sz w:val="18"/>
              </w:rPr>
              <w:t xml:space="preserve">Too small a linkage = no behavioral change. Too large = financial instability for hospitals still improving.</w:t>
            </w:r>
          </w:p>
        </w:tc>
        <w:tc>
          <w:tcPr>
            <w:tcW w:w="2694" w:type="dxa"/>
          </w:tcPr>
          <w:p>
            <w:pPr>
              <w:pStyle w:val="Compact"/>
              <w:jc w:val="left"/>
            </w:pPr>
            <w:r>
              <w:rPr>
                <w:sz w:val="18"/>
              </w:rPr>
              <w:t xml:space="preserve">Act 68 requires standardized accountability metrics. GMCB quality programs (readmissions, HACs) will be embedded.</w:t>
            </w:r>
          </w:p>
        </w:tc>
      </w:tr>
      <w:tr>
        <w:trPr>
          <w:cantSplit/>
        </w:trPr>
        <w:tc>
          <w:tcPr>
            <w:tcW w:w="988" w:type="dxa"/>
          </w:tcPr>
          <w:p>
            <w:pPr>
              <w:pStyle w:val="Compact"/>
              <w:jc w:val="left"/>
            </w:pPr>
            <w:r>
              <w:rPr>
                <w:sz w:val="18"/>
              </w:rPr>
              <w:t xml:space="preserve">Flexibility mechanisms</w:t>
            </w:r>
          </w:p>
        </w:tc>
        <w:tc>
          <w:tcPr>
            <w:tcW w:w="2694" w:type="dxa"/>
          </w:tcPr>
          <w:p>
            <w:pPr>
              <w:pStyle w:val="Compact"/>
              <w:jc w:val="left"/>
            </w:pPr>
            <w:r>
              <w:rPr>
                <w:sz w:val="18"/>
              </w:rPr>
              <w:t xml:space="preserve">Provisions for mid-year adjustments, carryover of savings, risk corridors?</w:t>
            </w:r>
          </w:p>
        </w:tc>
        <w:tc>
          <w:tcPr>
            <w:tcW w:w="2694" w:type="dxa"/>
          </w:tcPr>
          <w:p>
            <w:pPr>
              <w:pStyle w:val="Compact"/>
              <w:jc w:val="left"/>
            </w:pPr>
            <w:r>
              <w:rPr>
                <w:sz w:val="18"/>
              </w:rPr>
              <w:t xml:space="preserve">More flexibility = lower hospital risk, easier adoption. Less flexibility = stronger cost-control signal.</w:t>
            </w:r>
          </w:p>
        </w:tc>
        <w:tc>
          <w:tcPr>
            <w:tcW w:w="2694" w:type="dxa"/>
          </w:tcPr>
          <w:p>
            <w:pPr>
              <w:pStyle w:val="Compact"/>
              <w:jc w:val="left"/>
            </w:pPr>
            <w:r>
              <w:rPr>
                <w:sz w:val="18"/>
              </w:rPr>
              <w:t xml:space="preserve">GMCB authorized to identify conditions requiring modification or termination of RBP or budget parameters.</w:t>
            </w:r>
          </w:p>
        </w:tc>
      </w:tr>
    </w:tbl>
    <w:p>
      <w:pPr>
        <w:pStyle w:val="Caption"/>
        <w:spacing w:before="120"/>
      </w:pPr>
      <w:r>
        <w:rPr>
          <w:i/>
          <w:iCs/>
        </w:rPr>
        <w:t xml:space="preserve">Table 6.5 — Five dimensions of global budget design with Vermont’s current direction. Source: GMCB Act 68 Update (February 2026); Act 68 of 2025.</w:t>
      </w:r>
    </w:p>
    <w:p>
      <w:pPr>
        <w:pStyle w:val="Heading3"/>
        <w:keepNext w:val="false"/>
      </w:pPr>
      <w:r>
        <w:rPr>
          <w:color w:val="161B22"/>
        </w:rPr>
        <w:t xml:space="preserve">6.4.3  </w:t>
      </w:r>
      <w:bookmarkStart w:id="1183" w:name="_Toc1182"/>
      <w:r>
        <w:rPr>
          <w:b/>
          <w:bCs/>
          <w:color w:val="161B22"/>
        </w:rPr>
        <w:t xml:space="preserve">Vermont’s Global Budget History: Four Attempts, One Lesson</w:t>
      </w:r>
      <w:bookmarkEnd w:id="1183"/>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951"/>
        <w:gridCol w:w="791"/>
        <w:gridCol w:w="3164"/>
        <w:gridCol w:w="3164"/>
      </w:tblGrid>
      <w:tr>
        <w:trPr>
          <w:tblHeader w:val="on"/>
          <w:cantSplit/>
        </w:trPr>
        <w:tc>
          <w:tcPr>
            <w:shd w:val="clear" w:color="auto" w:fill="1B3A6B"/>
            <w:tcW w:w="1951" w:type="dxa"/>
          </w:tcPr>
          <w:p>
            <w:pPr>
              <w:pStyle w:val="Compact"/>
              <w:jc w:val="left"/>
            </w:pPr>
            <w:r>
              <w:rPr>
                <w:b/>
                <w:color w:val="FFFFFF"/>
                <w:sz w:val="18"/>
              </w:rPr>
              <w:t xml:space="preserve">Approach</w:t>
            </w:r>
          </w:p>
        </w:tc>
        <w:tc>
          <w:tcPr>
            <w:shd w:val="clear" w:color="auto" w:fill="1B3A6B"/>
            <w:tcW w:w="791" w:type="dxa"/>
          </w:tcPr>
          <w:p>
            <w:pPr>
              <w:pStyle w:val="Compact"/>
              <w:jc w:val="left"/>
            </w:pPr>
            <w:r>
              <w:rPr>
                <w:b/>
                <w:color w:val="FFFFFF"/>
                <w:sz w:val="18"/>
              </w:rPr>
              <w:t xml:space="preserve">Year(s)</w:t>
            </w:r>
          </w:p>
        </w:tc>
        <w:tc>
          <w:tcPr>
            <w:shd w:val="clear" w:color="auto" w:fill="1B3A6B"/>
            <w:tcW w:w="3164" w:type="dxa"/>
          </w:tcPr>
          <w:p>
            <w:pPr>
              <w:pStyle w:val="Compact"/>
              <w:jc w:val="left"/>
            </w:pPr>
            <w:r>
              <w:rPr>
                <w:b/>
                <w:color w:val="FFFFFF"/>
                <w:sz w:val="18"/>
              </w:rPr>
              <w:t xml:space="preserve">Structure</w:t>
            </w:r>
          </w:p>
        </w:tc>
        <w:tc>
          <w:tcPr>
            <w:shd w:val="clear" w:color="auto" w:fill="1B3A6B"/>
            <w:tcW w:w="3164" w:type="dxa"/>
          </w:tcPr>
          <w:p>
            <w:pPr>
              <w:pStyle w:val="Compact"/>
              <w:jc w:val="left"/>
            </w:pPr>
            <w:r>
              <w:rPr>
                <w:b/>
                <w:color w:val="FFFFFF"/>
                <w:sz w:val="18"/>
              </w:rPr>
              <w:t xml:space="preserve">Outcome and lesson</w:t>
            </w:r>
          </w:p>
        </w:tc>
      </w:tr>
      <w:tr>
        <w:trPr>
          <w:cantSplit/>
        </w:trPr>
        <w:tc>
          <w:tcPr>
            <w:tcW w:w="1951" w:type="dxa"/>
          </w:tcPr>
          <w:p>
            <w:pPr>
              <w:pStyle w:val="Compact"/>
              <w:jc w:val="left"/>
            </w:pPr>
            <w:r>
              <w:rPr>
                <w:sz w:val="18"/>
              </w:rPr>
              <w:t xml:space="preserve">GMCB Net Patient Revenue Cap</w:t>
            </w:r>
          </w:p>
        </w:tc>
        <w:tc>
          <w:tcPr>
            <w:tcW w:w="791" w:type="dxa"/>
          </w:tcPr>
          <w:p>
            <w:pPr>
              <w:pStyle w:val="Compact"/>
              <w:jc w:val="left"/>
            </w:pPr>
            <w:r>
              <w:rPr>
                <w:sz w:val="18"/>
              </w:rPr>
              <w:t xml:space="preserve">2012–present</w:t>
            </w:r>
          </w:p>
        </w:tc>
        <w:tc>
          <w:tcPr>
            <w:tcW w:w="3164" w:type="dxa"/>
          </w:tcPr>
          <w:p>
            <w:pPr>
              <w:pStyle w:val="Compact"/>
              <w:jc w:val="left"/>
            </w:pPr>
            <w:r>
              <w:rPr>
                <w:sz w:val="18"/>
              </w:rPr>
              <w:t xml:space="preserve">Regulatory cap on net patient revenue each hospital may receive</w:t>
            </w:r>
          </w:p>
        </w:tc>
        <w:tc>
          <w:tcPr>
            <w:tcW w:w="3164"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8"/>
              </w:rPr>
              <w:t xml:space="preserve">Rutland Regional Medical Center Pilot</w:t>
            </w:r>
          </w:p>
        </w:tc>
        <w:tc>
          <w:tcPr>
            <w:tcW w:w="791" w:type="dxa"/>
          </w:tcPr>
          <w:p>
            <w:pPr>
              <w:pStyle w:val="Compact"/>
              <w:jc w:val="left"/>
            </w:pPr>
            <w:r>
              <w:rPr>
                <w:sz w:val="18"/>
              </w:rPr>
              <w:t xml:space="preserve">2014 (proposed)</w:t>
            </w:r>
          </w:p>
        </w:tc>
        <w:tc>
          <w:tcPr>
            <w:tcW w:w="3164" w:type="dxa"/>
          </w:tcPr>
          <w:p>
            <w:pPr>
              <w:pStyle w:val="Compact"/>
              <w:jc w:val="left"/>
            </w:pPr>
            <w:r>
              <w:rPr>
                <w:sz w:val="18"/>
              </w:rPr>
              <w:t xml:space="preserve">Hospital payments based on historical revenue plus inflation, adjusted for demographics</w:t>
            </w:r>
          </w:p>
        </w:tc>
        <w:tc>
          <w:tcPr>
            <w:tcW w:w="3164"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8"/>
              </w:rPr>
              <w:t xml:space="preserve">Vermont All-Payer ACO Model</w:t>
            </w:r>
          </w:p>
        </w:tc>
        <w:tc>
          <w:tcPr>
            <w:tcW w:w="791" w:type="dxa"/>
          </w:tcPr>
          <w:p>
            <w:pPr>
              <w:pStyle w:val="Compact"/>
              <w:jc w:val="left"/>
            </w:pPr>
            <w:r>
              <w:rPr>
                <w:sz w:val="18"/>
              </w:rPr>
              <w:t xml:space="preserve">2017–2025</w:t>
            </w:r>
          </w:p>
        </w:tc>
        <w:tc>
          <w:tcPr>
            <w:tcW w:w="3164"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8"/>
              </w:rPr>
              <w:t xml:space="preserve">Act 167 / Act 68 Mandate</w:t>
            </w:r>
          </w:p>
        </w:tc>
        <w:tc>
          <w:tcPr>
            <w:tcW w:w="791" w:type="dxa"/>
          </w:tcPr>
          <w:p>
            <w:pPr>
              <w:pStyle w:val="Compact"/>
              <w:jc w:val="left"/>
            </w:pPr>
            <w:r>
              <w:rPr>
                <w:sz w:val="18"/>
              </w:rPr>
              <w:t xml:space="preserve">2022–present</w:t>
            </w:r>
          </w:p>
        </w:tc>
        <w:tc>
          <w:tcPr>
            <w:tcW w:w="3164" w:type="dxa"/>
          </w:tcPr>
          <w:p>
            <w:pPr>
              <w:pStyle w:val="Compact"/>
              <w:jc w:val="left"/>
            </w:pPr>
            <w:r>
              <w:rPr>
                <w:sz w:val="18"/>
              </w:rPr>
              <w:t xml:space="preserve">GMCB directed to design and implement mandatory global budgets: non-CAH hospitals by FY2028, all hospitals by FY2030</w:t>
            </w:r>
          </w:p>
        </w:tc>
        <w:tc>
          <w:tcPr>
            <w:tcW w:w="3164" w:type="dxa"/>
          </w:tcPr>
          <w:p>
            <w:pPr>
              <w:pStyle w:val="Compact"/>
              <w:jc w:val="left"/>
            </w:pPr>
            <w:r>
              <w:rPr>
                <w:sz w:val="18"/>
              </w:rPr>
              <w:t xml:space="preserve">In progress. Removes the voluntary participation flaw that undermined all prior attempts.</w:t>
            </w:r>
          </w:p>
        </w:tc>
      </w:tr>
    </w:tbl>
    <w:p>
      <w:pPr>
        <w:pStyle w:val="Caption"/>
        <w:spacing w:before="120"/>
      </w:pPr>
      <w:r>
        <w:rPr>
          <w:i/>
          <w:iCs/>
        </w:rPr>
        <w:t xml:space="preserve">Table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84" w:name="_Toc1183"/>
      <w:r>
        <w:rPr>
          <w:b/>
          <w:bCs/>
          <w:color w:val="161B22"/>
        </w:rPr>
        <w:t xml:space="preserve">Maryland — A Decade of Global Budget Evidence</w:t>
      </w:r>
      <w:bookmarkEnd w:id="1184"/>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85" w:name="_Toc1184"/>
      <w:r>
        <w:rPr>
          <w:b/>
          <w:bCs/>
          <w:color w:val="161B22"/>
        </w:rPr>
        <w:t xml:space="preserve">Maryland All-Payer Model — A Decade of Evidence</w:t>
      </w:r>
      <w:bookmarkEnd w:id="1185"/>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6" w:name="_Toc1185"/>
      <w:r>
        <w:rPr>
          <w:b/>
          <w:bCs/>
          <w:color w:val="161B22"/>
        </w:rPr>
        <w:t xml:space="preserve">The Maryland Architecture</w:t>
      </w:r>
      <w:bookmarkEnd w:id="1186"/>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7" w:name="_Toc1186"/>
      <w:r>
        <w:rPr>
          <w:b/>
          <w:bCs/>
          <w:color w:val="161B22"/>
        </w:rPr>
        <w:t xml:space="preserve">The Results</w:t>
      </w:r>
      <w:bookmarkEnd w:id="1187"/>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spacing w:before="120"/>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8" w:name="_Toc1187"/>
      <w:r>
        <w:rPr>
          <w:b/>
          <w:bCs/>
          <w:color w:val="161B22"/>
        </w:rPr>
        <w:t xml:space="preserve">The Limitations — What Maryland Teaches About What Global Budgets Cannot Do Alone</w:t>
      </w:r>
      <w:bookmarkEnd w:id="1188"/>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89" w:name="_Toc1188"/>
      <w:r>
        <w:rPr>
          <w:b/>
          <w:bCs/>
          <w:color w:val="161B22"/>
        </w:rPr>
        <w:t xml:space="preserve">The AHEAD Model — Medicare’s Entry into Vermont’s Reform</w:t>
      </w:r>
      <w:bookmarkEnd w:id="1189"/>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90" w:name="_Toc1189"/>
      <w:r>
        <w:rPr>
          <w:b/>
          <w:bCs/>
          <w:color w:val="161B22"/>
        </w:rPr>
        <w:t xml:space="preserve">What AHEAD Actually Is</w:t>
      </w:r>
      <w:bookmarkEnd w:id="1190"/>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91" w:name="_Toc1190"/>
      <w:r>
        <w:rPr>
          <w:b/>
          <w:bCs/>
          <w:color w:val="161B22"/>
        </w:rPr>
        <w:t xml:space="preserve">The AHEAD-Act 68 Integration: Why Both Are Required</w:t>
      </w:r>
      <w:bookmarkEnd w:id="1191"/>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spacing w:before="120"/>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92" w:name="_Toc1191"/>
      <w:r>
        <w:rPr>
          <w:b/>
          <w:bCs/>
          <w:color w:val="161B22"/>
        </w:rPr>
        <w:t xml:space="preserve">Hospital Financial Modeling — Reading the Numbers That Matter</w:t>
      </w:r>
      <w:bookmarkEnd w:id="1192"/>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93" w:name="_Toc1192"/>
      <w:r>
        <w:rPr>
          <w:b/>
          <w:bCs/>
          <w:color w:val="161B22"/>
        </w:rPr>
        <w:t xml:space="preserve">The Oliver Wyman Projection Scenarios</w:t>
      </w:r>
      <w:bookmarkEnd w:id="1193"/>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spacing w:before="120"/>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94" w:name="_Toc1193"/>
      <w:r>
        <w:rPr>
          <w:b/>
          <w:bCs/>
          <w:color w:val="161B22"/>
        </w:rPr>
        <w:t xml:space="preserve">Reading the Metrics That Actually Matter Under Global Budgets</w:t>
      </w:r>
      <w:bookmarkEnd w:id="1194"/>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cantSplit/>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cantSplit/>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spacing w:before="120"/>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95" w:name="_Toc1194"/>
      <w:r>
        <w:rPr>
          <w:b/>
          <w:bCs/>
          <w:color w:val="161B22"/>
        </w:rPr>
        <w:t xml:space="preserve">The Savings Roadmap: Where Vermont’s $400M+ Can Come From</w:t>
      </w:r>
      <w:bookmarkEnd w:id="1195"/>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spacing w:before="120"/>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6" w:name="_Toc1195"/>
      <w:r>
        <w:rPr>
          <w:b/>
          <w:bCs/>
          <w:color w:val="161B22"/>
        </w:rPr>
        <w:t xml:space="preserve">APM Transition Strategy for Vermont Healthcare Organizations</w:t>
      </w:r>
      <w:bookmarkEnd w:id="1196"/>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7" w:name="_Toc1196"/>
      <w:r>
        <w:rPr>
          <w:b/>
          <w:bCs/>
          <w:color w:val="161B22"/>
        </w:rPr>
        <w:t xml:space="preserve">The Three-Phase Transition Model</w:t>
      </w:r>
      <w:bookmarkEnd w:id="1197"/>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69"/>
        <w:gridCol w:w="1095"/>
        <w:gridCol w:w="3653"/>
        <w:gridCol w:w="3653"/>
      </w:tblGrid>
      <w:tr>
        <w:trPr>
          <w:tblHeader w:val="on"/>
          <w:cantSplit/>
        </w:trPr>
        <w:tc>
          <w:tcPr>
            <w:shd w:val="clear" w:color="auto" w:fill="1B3A6B"/>
            <w:tcW w:w="669" w:type="dxa"/>
          </w:tcPr>
          <w:p>
            <w:pPr>
              <w:pStyle w:val="Compact"/>
              <w:jc w:val="left"/>
            </w:pPr>
            <w:r>
              <w:rPr>
                <w:b/>
                <w:color w:val="FFFFFF"/>
                <w:sz w:val="18"/>
              </w:rPr>
              <w:t xml:space="preserve">Phase</w:t>
            </w:r>
          </w:p>
        </w:tc>
        <w:tc>
          <w:tcPr>
            <w:shd w:val="clear" w:color="auto" w:fill="1B3A6B"/>
            <w:tcW w:w="1095" w:type="dxa"/>
          </w:tcPr>
          <w:p>
            <w:pPr>
              <w:pStyle w:val="Compact"/>
              <w:jc w:val="left"/>
            </w:pPr>
            <w:r>
              <w:rPr>
                <w:b/>
                <w:color w:val="FFFFFF"/>
                <w:sz w:val="18"/>
              </w:rPr>
              <w:t xml:space="preserve">Timeline</w:t>
            </w:r>
          </w:p>
        </w:tc>
        <w:tc>
          <w:tcPr>
            <w:shd w:val="clear" w:color="auto" w:fill="1B3A6B"/>
            <w:tcW w:w="3653" w:type="dxa"/>
          </w:tcPr>
          <w:p>
            <w:pPr>
              <w:pStyle w:val="Compact"/>
              <w:jc w:val="left"/>
            </w:pPr>
            <w:r>
              <w:rPr>
                <w:b/>
                <w:color w:val="FFFFFF"/>
                <w:sz w:val="18"/>
              </w:rPr>
              <w:t xml:space="preserve">Payment environment</w:t>
            </w:r>
          </w:p>
        </w:tc>
        <w:tc>
          <w:tcPr>
            <w:shd w:val="clear" w:color="auto" w:fill="1B3A6B"/>
            <w:tcW w:w="3653" w:type="dxa"/>
          </w:tcPr>
          <w:p>
            <w:pPr>
              <w:pStyle w:val="Compact"/>
              <w:jc w:val="left"/>
            </w:pPr>
            <w:r>
              <w:rPr>
                <w:b/>
                <w:color w:val="FFFFFF"/>
                <w:sz w:val="18"/>
              </w:rPr>
              <w:t xml:space="preserve">Strategic priorities</w:t>
            </w:r>
          </w:p>
        </w:tc>
      </w:tr>
      <w:tr>
        <w:trPr>
          <w:cantSplit/>
        </w:trPr>
        <w:tc>
          <w:tcPr>
            <w:tcW w:w="669" w:type="dxa"/>
          </w:tcPr>
          <w:p>
            <w:pPr>
              <w:pStyle w:val="Compact"/>
              <w:jc w:val="left"/>
            </w:pPr>
            <w:r>
              <w:rPr>
                <w:sz w:val="18"/>
              </w:rPr>
              <w:t xml:space="preserve">Preparation</w:t>
            </w:r>
          </w:p>
        </w:tc>
        <w:tc>
          <w:tcPr>
            <w:tcW w:w="1095" w:type="dxa"/>
          </w:tcPr>
          <w:p>
            <w:pPr>
              <w:pStyle w:val="Compact"/>
              <w:jc w:val="left"/>
            </w:pPr>
            <w:r>
              <w:rPr>
                <w:sz w:val="18"/>
              </w:rPr>
              <w:t xml:space="preserve">Now through FY2026</w:t>
            </w:r>
          </w:p>
        </w:tc>
        <w:tc>
          <w:tcPr>
            <w:tcW w:w="3653" w:type="dxa"/>
          </w:tcPr>
          <w:p>
            <w:pPr>
              <w:pStyle w:val="Compact"/>
              <w:jc w:val="left"/>
            </w:pPr>
            <w:r>
              <w:rPr>
                <w:sz w:val="18"/>
              </w:rPr>
              <w:t xml:space="preserve">FFS with increasing budget pressure; -1% commercial rate benchmark; Act 55 drug cap in effect</w:t>
            </w:r>
          </w:p>
        </w:tc>
        <w:tc>
          <w:tcPr>
            <w:tcW w:w="3653"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8"/>
              </w:rPr>
              <w:t xml:space="preserve">Transition</w:t>
            </w:r>
          </w:p>
        </w:tc>
        <w:tc>
          <w:tcPr>
            <w:tcW w:w="1095" w:type="dxa"/>
          </w:tcPr>
          <w:p>
            <w:pPr>
              <w:pStyle w:val="Compact"/>
              <w:jc w:val="left"/>
            </w:pPr>
            <w:r>
              <w:rPr>
                <w:sz w:val="18"/>
              </w:rPr>
              <w:t xml:space="preserve">FY2027</w:t>
            </w:r>
          </w:p>
        </w:tc>
        <w:tc>
          <w:tcPr>
            <w:tcW w:w="3653" w:type="dxa"/>
          </w:tcPr>
          <w:p>
            <w:pPr>
              <w:pStyle w:val="Compact"/>
              <w:jc w:val="left"/>
            </w:pPr>
            <w:r>
              <w:rPr>
                <w:sz w:val="18"/>
              </w:rPr>
              <w:t xml:space="preserve">RBP maximum rates in effect for commercial payers; AHEAD Hospital Global Budgets begin January 2028 for Medicare FFS</w:t>
            </w:r>
          </w:p>
        </w:tc>
        <w:tc>
          <w:tcPr>
            <w:tcW w:w="3653"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8"/>
              </w:rPr>
              <w:t xml:space="preserve">Operation</w:t>
            </w:r>
          </w:p>
        </w:tc>
        <w:tc>
          <w:tcPr>
            <w:tcW w:w="1095" w:type="dxa"/>
          </w:tcPr>
          <w:p>
            <w:pPr>
              <w:pStyle w:val="Compact"/>
              <w:jc w:val="left"/>
            </w:pPr>
            <w:r>
              <w:rPr>
                <w:sz w:val="18"/>
              </w:rPr>
              <w:t xml:space="preserve">FY2028 and beyond</w:t>
            </w:r>
          </w:p>
        </w:tc>
        <w:tc>
          <w:tcPr>
            <w:tcW w:w="3653" w:type="dxa"/>
          </w:tcPr>
          <w:p>
            <w:pPr>
              <w:pStyle w:val="Compact"/>
              <w:jc w:val="left"/>
            </w:pPr>
            <w:r>
              <w:rPr>
                <w:sz w:val="18"/>
              </w:rPr>
              <w:t xml:space="preserve">Global hospital budgets for non-CAH hospitals; AHEAD in full operation; Statewide Strategic Plan delivered December 2028</w:t>
            </w:r>
          </w:p>
        </w:tc>
        <w:tc>
          <w:tcPr>
            <w:tcW w:w="3653"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spacing w:before="120"/>
      </w:pPr>
      <w:r>
        <w:rPr>
          <w:i/>
          <w:iCs/>
        </w:rPr>
        <w:t xml:space="preserve">Figure 6.12 — Three-phase APM transition model for Vermont healthcare organizations.</w:t>
      </w:r>
    </w:p>
    <w:p>
      <w:pPr>
        <w:pStyle w:val="Heading3"/>
      </w:pPr>
      <w:r>
        <w:rPr>
          <w:color w:val="161B22"/>
        </w:rPr>
        <w:t xml:space="preserve">6.8.2  </w:t>
      </w:r>
      <w:bookmarkStart w:id="1198" w:name="_Toc1197"/>
      <w:r>
        <w:rPr>
          <w:b/>
          <w:bCs/>
          <w:color w:val="161B22"/>
        </w:rPr>
        <w:t xml:space="preserve">The VBC Readiness Assessment in a Global Budget Context</w:t>
      </w:r>
      <w:bookmarkEnd w:id="1198"/>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199" w:name="_Toc1198"/>
      <w:r>
        <w:rPr>
          <w:b/>
          <w:bCs/>
          <w:color w:val="161B22"/>
        </w:rPr>
        <w:t xml:space="preserve">Work This Chapter on the Platform</w:t>
      </w:r>
      <w:bookmarkEnd w:id="1199"/>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Design an APM and model a 5-year global-budget transition with Vermont’s All-Payer TCOC preset</w:t>
            </w:r>
          </w:p>
        </w:tc>
        <w:tc>
          <w:tcPr>
            <w:tcW w:w="947"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4062" w:type="dxa"/>
          </w:tcPr>
          <w:p>
            <w:pPr>
              <w:pStyle w:val="Compact"/>
              <w:jc w:val="left"/>
            </w:pPr>
            <w:r>
              <w:rPr>
                <w:sz w:val="18"/>
              </w:rPr>
              <w:t xml:space="preserve">How a binding revenue envelope changes the volume incentive the chapter describes.</w:t>
            </w:r>
          </w:p>
        </w:tc>
      </w:tr>
      <w:tr>
        <w:trPr/>
        <w:tc>
          <w:tcPr>
            <w:tcW w:w="4062" w:type="dxa"/>
          </w:tcPr>
          <w:p>
            <w:pPr>
              <w:pStyle w:val="Compact"/>
              <w:jc w:val="left"/>
            </w:pPr>
            <w:r>
              <w:rPr>
                <w:sz w:val="18"/>
              </w:rPr>
              <w:t xml:space="preserve">Stress-test a hospital’s finances under RBP, global-budget, and Medicaid-cut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Reproduce the Oliver Wyman finding: 13 of 14 hospitals in operating loss by 2028 under the conservative scenario.</w:t>
            </w:r>
          </w:p>
        </w:tc>
      </w:tr>
    </w:tbl>
    <w:p>
      <w:pPr>
        <w:pStyle w:val="Caption"/>
        <w:spacing w:before="120"/>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200" w:name="_Toc1199"/>
      <w:r>
        <w:rPr>
          <w:b/>
          <w:bCs/>
          <w:color w:val="161B22"/>
        </w:rPr>
        <w:t xml:space="preserve">Implications for You</w:t>
      </w:r>
      <w:bookmarkEnd w:id="1200"/>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201" w:name="_Toc1200"/>
      <w:r>
        <w:rPr>
          <w:b/>
          <w:bCs/>
          <w:color w:val="161B22"/>
        </w:rPr>
        <w:t xml:space="preserve">Key Concepts in This Chapter</w:t>
      </w:r>
      <w:bookmarkEnd w:id="1201"/>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202" w:name="_Toc1201"/>
      <w:r>
        <w:rPr>
          <w:b/>
          <w:bCs/>
          <w:color w:val="161B22"/>
        </w:rPr>
        <w:t xml:space="preserve">Chapter 7: The Economics Pillar in Practice — VBC Financial Modeling and APM Readiness</w:t>
      </w:r>
      <w:bookmarkEnd w:id="120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203" w:name="_Toc1202"/>
      <w:r>
        <w:rPr>
          <w:b/>
          <w:bCs/>
          <w:color w:val="161B22"/>
        </w:rPr>
        <w:t xml:space="preserve">From Payment Architecture to Financial Practice</w:t>
      </w:r>
      <w:bookmarkEnd w:id="1203"/>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204" w:name="_Toc1203"/>
      <w:r>
        <w:rPr>
          <w:b/>
          <w:bCs/>
          <w:color w:val="161B22"/>
        </w:rPr>
        <w:t xml:space="preserve">The APM Financial Modeling Framework</w:t>
      </w:r>
      <w:bookmarkEnd w:id="1204"/>
    </w:p>
    <w:p>
      <w:pPr>
        <w:pStyle w:val="Heading3"/>
      </w:pPr>
      <w:r>
        <w:rPr>
          <w:color w:val="161B22"/>
        </w:rPr>
        <w:t xml:space="preserve">7.2.1  </w:t>
      </w:r>
      <w:bookmarkStart w:id="1205" w:name="_Toc1204"/>
      <w:r>
        <w:rPr>
          <w:b/>
          <w:bCs/>
          <w:color w:val="161B22"/>
        </w:rPr>
        <w:t xml:space="preserve">Understanding Benchmarks — The Foundation of VBC Economics</w:t>
      </w:r>
      <w:bookmarkEnd w:id="1205"/>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6" w:name="_Toc1205"/>
      <w:r>
        <w:rPr>
          <w:b/>
          <w:bCs/>
          <w:color w:val="161B22"/>
        </w:rPr>
        <w:t xml:space="preserve">Historical Spending Baseline</w:t>
      </w:r>
      <w:bookmarkEnd w:id="1206"/>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7" w:name="_Toc1206"/>
      <w:r>
        <w:rPr>
          <w:b/>
          <w:bCs/>
          <w:color w:val="161B22"/>
        </w:rPr>
        <w:t xml:space="preserve">Regional Benchmark</w:t>
      </w:r>
      <w:bookmarkEnd w:id="1207"/>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08" w:name="_Toc1207"/>
      <w:r>
        <w:rPr>
          <w:b/>
          <w:bCs/>
          <w:color w:val="161B22"/>
        </w:rPr>
        <w:t xml:space="preserve">Prospective Benchmark</w:t>
      </w:r>
      <w:bookmarkEnd w:id="1208"/>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09" w:name="_Toc1208"/>
      <w:r>
        <w:rPr>
          <w:b/>
          <w:bCs/>
          <w:color w:val="161B22"/>
        </w:rPr>
        <w:t xml:space="preserve">The Shared Savings Calculation — A Working Model</w:t>
      </w:r>
      <w:bookmarkEnd w:id="1209"/>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258"/>
        <w:gridCol w:w="2604"/>
        <w:gridCol w:w="2604"/>
        <w:gridCol w:w="2604"/>
      </w:tblGrid>
      <w:tr>
        <w:trPr>
          <w:tblHeader w:val="on"/>
          <w:cantSplit/>
        </w:trPr>
        <w:tc>
          <w:tcPr>
            <w:shd w:val="clear" w:color="auto" w:fill="1B3A6B"/>
            <w:tcW w:w="1258" w:type="dxa"/>
          </w:tcPr>
          <w:p>
            <w:pPr>
              <w:pStyle w:val="Compact"/>
              <w:jc w:val="left"/>
            </w:pPr>
            <w:r>
              <w:rPr>
                <w:b/>
                <w:color w:val="FFFFFF"/>
                <w:sz w:val="18"/>
              </w:rPr>
              <w:t xml:space="preserve">Step</w:t>
            </w:r>
          </w:p>
        </w:tc>
        <w:tc>
          <w:tcPr>
            <w:shd w:val="clear" w:color="auto" w:fill="1B3A6B"/>
            <w:tcW w:w="2604" w:type="dxa"/>
          </w:tcPr>
          <w:p>
            <w:pPr>
              <w:pStyle w:val="Compact"/>
              <w:jc w:val="left"/>
            </w:pPr>
            <w:r>
              <w:rPr>
                <w:b/>
                <w:color w:val="FFFFFF"/>
                <w:sz w:val="18"/>
              </w:rPr>
              <w:t xml:space="preserve">Formula / concept</w:t>
            </w:r>
          </w:p>
        </w:tc>
        <w:tc>
          <w:tcPr>
            <w:shd w:val="clear" w:color="auto" w:fill="1B3A6B"/>
            <w:tcW w:w="2604" w:type="dxa"/>
          </w:tcPr>
          <w:p>
            <w:pPr>
              <w:pStyle w:val="Compact"/>
              <w:jc w:val="left"/>
            </w:pPr>
            <w:r>
              <w:rPr>
                <w:b/>
                <w:color w:val="FFFFFF"/>
                <w:sz w:val="18"/>
              </w:rPr>
              <w:t xml:space="preserve">Practical meaning</w:t>
            </w:r>
          </w:p>
        </w:tc>
        <w:tc>
          <w:tcPr>
            <w:shd w:val="clear" w:color="auto" w:fill="1B3A6B"/>
            <w:tcW w:w="2604" w:type="dxa"/>
          </w:tcPr>
          <w:p>
            <w:pPr>
              <w:pStyle w:val="Compact"/>
              <w:jc w:val="left"/>
            </w:pPr>
            <w:r>
              <w:rPr>
                <w:b/>
                <w:color w:val="FFFFFF"/>
                <w:sz w:val="18"/>
              </w:rPr>
              <w:t xml:space="preserve">Vermont application</w:t>
            </w:r>
          </w:p>
        </w:tc>
      </w:tr>
      <w:tr>
        <w:trPr>
          <w:cantSplit/>
        </w:trPr>
        <w:tc>
          <w:tcPr>
            <w:tcW w:w="1258" w:type="dxa"/>
          </w:tcPr>
          <w:p>
            <w:pPr>
              <w:pStyle w:val="Compact"/>
              <w:jc w:val="left"/>
            </w:pPr>
            <w:r>
              <w:rPr>
                <w:sz w:val="18"/>
              </w:rPr>
              <w:t xml:space="preserve">1. Benchmark setting</w:t>
            </w:r>
          </w:p>
        </w:tc>
        <w:tc>
          <w:tcPr>
            <w:tcW w:w="2604" w:type="dxa"/>
          </w:tcPr>
          <w:p>
            <w:pPr>
              <w:pStyle w:val="Compact"/>
              <w:jc w:val="left"/>
            </w:pPr>
            <w:r>
              <w:rPr>
                <w:sz w:val="18"/>
              </w:rPr>
              <w:t xml:space="preserve">Benchmark PMPM × attributed member months = Total benchmark spending</w:t>
            </w:r>
          </w:p>
        </w:tc>
        <w:tc>
          <w:tcPr>
            <w:tcW w:w="2604"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604"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258" w:type="dxa"/>
          </w:tcPr>
          <w:p>
            <w:pPr>
              <w:pStyle w:val="Compact"/>
              <w:jc w:val="left"/>
            </w:pPr>
            <w:r>
              <w:rPr>
                <w:sz w:val="18"/>
              </w:rPr>
              <w:t xml:space="preserve">2. Performance measurement</w:t>
            </w:r>
          </w:p>
        </w:tc>
        <w:tc>
          <w:tcPr>
            <w:tcW w:w="2604" w:type="dxa"/>
          </w:tcPr>
          <w:p>
            <w:pPr>
              <w:pStyle w:val="Compact"/>
              <w:jc w:val="left"/>
            </w:pPr>
            <w:r>
              <w:rPr>
                <w:sz w:val="18"/>
              </w:rPr>
              <w:t xml:space="preserve">Actual total cost of care for attributed population</w:t>
            </w:r>
          </w:p>
        </w:tc>
        <w:tc>
          <w:tcPr>
            <w:tcW w:w="2604"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8"/>
              </w:rPr>
              <w:t xml:space="preserve">AHEAD tracks total cost of care for Medicare FFS beneficiaries attributed to Vermont hospitals across all payer settings.</w:t>
            </w:r>
          </w:p>
        </w:tc>
      </w:tr>
      <w:tr>
        <w:trPr/>
        <w:tc>
          <w:tcPr>
            <w:tcW w:w="1258" w:type="dxa"/>
          </w:tcPr>
          <w:p>
            <w:pPr>
              <w:pStyle w:val="Compact"/>
              <w:jc w:val="left"/>
            </w:pPr>
            <w:r>
              <w:rPr>
                <w:sz w:val="18"/>
              </w:rPr>
              <w:t xml:space="preserve">3. Savings calculation</w:t>
            </w:r>
          </w:p>
        </w:tc>
        <w:tc>
          <w:tcPr>
            <w:tcW w:w="2604" w:type="dxa"/>
          </w:tcPr>
          <w:p>
            <w:pPr>
              <w:pStyle w:val="Compact"/>
              <w:jc w:val="left"/>
            </w:pPr>
            <w:r>
              <w:rPr>
                <w:sz w:val="18"/>
              </w:rPr>
              <w:t xml:space="preserve">Benchmark - Actual TCOC = Gross savings (or loss)</w:t>
            </w:r>
          </w:p>
        </w:tc>
        <w:tc>
          <w:tcPr>
            <w:tcW w:w="2604" w:type="dxa"/>
          </w:tcPr>
          <w:p>
            <w:pPr>
              <w:pStyle w:val="Compact"/>
              <w:jc w:val="left"/>
            </w:pPr>
            <w:r>
              <w:rPr>
                <w:sz w:val="18"/>
              </w:rPr>
              <w:t xml:space="preserve">If actual spending is below benchmark, gross savings exist. If above, gross loss.</w:t>
            </w:r>
          </w:p>
        </w:tc>
        <w:tc>
          <w:tcPr>
            <w:tcW w:w="2604"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258" w:type="dxa"/>
          </w:tcPr>
          <w:p>
            <w:pPr>
              <w:pStyle w:val="Compact"/>
              <w:jc w:val="left"/>
            </w:pPr>
            <w:r>
              <w:rPr>
                <w:sz w:val="18"/>
              </w:rPr>
              <w:t xml:space="preserve">4. Minimum savings rate (MSR)</w:t>
            </w:r>
          </w:p>
        </w:tc>
        <w:tc>
          <w:tcPr>
            <w:tcW w:w="2604" w:type="dxa"/>
          </w:tcPr>
          <w:p>
            <w:pPr>
              <w:pStyle w:val="Compact"/>
              <w:jc w:val="left"/>
            </w:pPr>
            <w:r>
              <w:rPr>
                <w:sz w:val="18"/>
              </w:rPr>
              <w:t xml:space="preserve">In most shared savings models, savings must exceed a minimum threshold (typically 2-3.5%) before the organization shares in them</w:t>
            </w:r>
          </w:p>
        </w:tc>
        <w:tc>
          <w:tcPr>
            <w:tcW w:w="2604" w:type="dxa"/>
          </w:tcPr>
          <w:p>
            <w:pPr>
              <w:pStyle w:val="Compact"/>
              <w:jc w:val="left"/>
            </w:pPr>
            <w:r>
              <w:rPr>
                <w:sz w:val="18"/>
              </w:rPr>
              <w:t xml:space="preserve">Protects against natural year-to-year cost variation triggering shared savings or losses that don’t reflect genuine performance changes.</w:t>
            </w:r>
          </w:p>
        </w:tc>
        <w:tc>
          <w:tcPr>
            <w:tcW w:w="2604"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8"/>
              </w:rPr>
              <w:t xml:space="preserve">5. Shared savings calculation</w:t>
            </w:r>
          </w:p>
        </w:tc>
        <w:tc>
          <w:tcPr>
            <w:tcW w:w="2604" w:type="dxa"/>
          </w:tcPr>
          <w:p>
            <w:pPr>
              <w:pStyle w:val="Compact"/>
              <w:jc w:val="left"/>
            </w:pPr>
            <w:r>
              <w:rPr>
                <w:sz w:val="18"/>
              </w:rPr>
              <w:t xml:space="preserve">Gross savings × sharing rate = Organization’s shared savings payment (or loss obligation)</w:t>
            </w:r>
          </w:p>
        </w:tc>
        <w:tc>
          <w:tcPr>
            <w:tcW w:w="2604" w:type="dxa"/>
          </w:tcPr>
          <w:p>
            <w:pPr>
              <w:pStyle w:val="Compact"/>
              <w:jc w:val="left"/>
            </w:pPr>
            <w:r>
              <w:rPr>
                <w:sz w:val="18"/>
              </w:rPr>
              <w:t xml:space="preserve">Sharing rates vary by model and risk track — typically 50-75% for one-sided models; may reach 80% for full-risk models.</w:t>
            </w:r>
          </w:p>
        </w:tc>
        <w:tc>
          <w:tcPr>
            <w:tcW w:w="2604" w:type="dxa"/>
          </w:tcPr>
          <w:p>
            <w:pPr>
              <w:pStyle w:val="Compact"/>
              <w:jc w:val="left"/>
            </w:pPr>
            <w:r>
              <w:rPr>
                <w:sz w:val="18"/>
              </w:rPr>
              <w:t xml:space="preserve">Vermont RBP: savings to payers from price reduction; 100% of premium passthrough per GMCB monitoring requirement.</w:t>
            </w:r>
          </w:p>
        </w:tc>
      </w:tr>
    </w:tbl>
    <w:p>
      <w:pPr>
        <w:pStyle w:val="Caption"/>
        <w:spacing w:before="120"/>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10" w:name="_Toc1209"/>
      <w:r>
        <w:rPr>
          <w:b/>
          <w:bCs/>
          <w:color w:val="161B22"/>
        </w:rPr>
        <w:t xml:space="preserve">Risk Stratification — The Economic Engine of Population Health Management</w:t>
      </w:r>
      <w:bookmarkEnd w:id="1210"/>
    </w:p>
    <w:p>
      <w:pPr>
        <w:pStyle w:val="Heading3"/>
      </w:pPr>
      <w:r>
        <w:rPr>
          <w:color w:val="161B22"/>
        </w:rPr>
        <w:t xml:space="preserve">7.2.7  </w:t>
      </w:r>
      <w:bookmarkStart w:id="1211" w:name="_Toc1210"/>
      <w:r>
        <w:rPr>
          <w:b/>
          <w:bCs/>
          <w:color w:val="161B22"/>
        </w:rPr>
        <w:t xml:space="preserve">The Care Management ROI Calculation</w:t>
      </w:r>
      <w:bookmarkEnd w:id="1211"/>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spacing w:before="280"/>
      </w:pPr>
      <w:r>
        <w:rPr>
          <w:color w:val="161B22"/>
        </w:rPr>
        <w:t xml:space="preserve">7.3  </w:t>
      </w:r>
      <w:bookmarkStart w:id="1212" w:name="_Toc1211"/>
      <w:r>
        <w:rPr>
          <w:b/>
          <w:bCs/>
          <w:color w:val="161B22"/>
        </w:rPr>
        <w:t xml:space="preserve">Economics Pillar Implementation Matrix</w:t>
      </w:r>
      <w:bookmarkEnd w:id="1212"/>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spacing w:before="120"/>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13" w:name="_Toc1212"/>
      <w:r>
        <w:rPr>
          <w:b/>
          <w:bCs/>
          <w:color w:val="161B22"/>
        </w:rPr>
        <w:t xml:space="preserve">APM Readiness Assessment — The 30-Dimension Framework</w:t>
      </w:r>
      <w:bookmarkEnd w:id="1213"/>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14" w:name="_Toc1213"/>
      <w:r>
        <w:rPr>
          <w:b/>
          <w:bCs/>
          <w:color w:val="161B22"/>
        </w:rPr>
        <w:t xml:space="preserve">The Six Readiness Domains</w:t>
      </w:r>
      <w:bookmarkEnd w:id="1214"/>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15" w:name="_Toc1214"/>
      <w:r>
        <w:rPr>
          <w:b/>
          <w:bCs/>
          <w:color w:val="161B22"/>
        </w:rPr>
        <w:t xml:space="preserve">VBC Readiness Scoring — What the Numbers Mean</w:t>
      </w:r>
      <w:bookmarkEnd w:id="1215"/>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6" w:name="_Toc1215"/>
      <w:r>
        <w:rPr>
          <w:b/>
          <w:bCs/>
          <w:color w:val="161B22"/>
        </w:rPr>
        <w:t xml:space="preserve">Contract Analysis — Reading an APM Contract for Financial Risk</w:t>
      </w:r>
      <w:bookmarkEnd w:id="1216"/>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7" w:name="_Toc1216"/>
      <w:r>
        <w:rPr>
          <w:b/>
          <w:bCs/>
          <w:color w:val="161B22"/>
        </w:rPr>
        <w:t xml:space="preserve">The 65-Item VBC Contract Review Checklist: Key Categories</w:t>
      </w:r>
      <w:bookmarkEnd w:id="1217"/>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cantSplit/>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spacing w:before="120"/>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8" w:name="_Toc1217"/>
      <w:r>
        <w:rPr>
          <w:b/>
          <w:bCs/>
          <w:color w:val="161B22"/>
        </w:rPr>
        <w:t xml:space="preserve">Hospital Financial Modeling Under Global Budgets — The Vermont Framework</w:t>
      </w:r>
      <w:bookmarkEnd w:id="1218"/>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19" w:name="_Toc1218"/>
      <w:r>
        <w:rPr>
          <w:b/>
          <w:bCs/>
          <w:color w:val="161B22"/>
        </w:rPr>
        <w:t xml:space="preserve">The Global Budget Financial Management Model</w:t>
      </w:r>
      <w:bookmarkEnd w:id="1219"/>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cantSplit/>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cantSplit/>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spacing w:before="120"/>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20" w:name="_Toc1219"/>
      <w:r>
        <w:rPr>
          <w:b/>
          <w:bCs/>
          <w:color w:val="161B22"/>
        </w:rPr>
        <w:t xml:space="preserve">The Hospital Financial Stress Test Model</w:t>
      </w:r>
      <w:bookmarkEnd w:id="1220"/>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21" w:name="_Toc1220"/>
      <w:r>
        <w:rPr>
          <w:b/>
          <w:bCs/>
          <w:color w:val="161B22"/>
        </w:rPr>
        <w:t xml:space="preserve">The ROI of Transformation — Building the Financial Case</w:t>
      </w:r>
      <w:bookmarkEnd w:id="1221"/>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22" w:name="_Toc1221"/>
      <w:r>
        <w:rPr>
          <w:b/>
          <w:bCs/>
          <w:color w:val="161B22"/>
        </w:rPr>
        <w:t xml:space="preserve">The Transformation ROI Framework</w:t>
      </w:r>
      <w:bookmarkEnd w:id="1222"/>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909"/>
        <w:gridCol w:w="2387"/>
        <w:gridCol w:w="2387"/>
        <w:gridCol w:w="2387"/>
      </w:tblGrid>
      <w:tr>
        <w:trPr>
          <w:tblHeader w:val="on"/>
          <w:cantSplit/>
        </w:trPr>
        <w:tc>
          <w:tcPr>
            <w:shd w:val="clear" w:color="auto" w:fill="1B3A6B"/>
            <w:tcW w:w="1909" w:type="dxa"/>
          </w:tcPr>
          <w:p>
            <w:pPr>
              <w:pStyle w:val="Compact"/>
              <w:jc w:val="left"/>
            </w:pPr>
            <w:r>
              <w:rPr>
                <w:b/>
                <w:color w:val="FFFFFF"/>
                <w:sz w:val="18"/>
              </w:rPr>
              <w:t xml:space="preserve">Investment type</w:t>
            </w:r>
          </w:p>
        </w:tc>
        <w:tc>
          <w:tcPr>
            <w:shd w:val="clear" w:color="auto" w:fill="1B3A6B"/>
            <w:tcW w:w="2387" w:type="dxa"/>
          </w:tcPr>
          <w:p>
            <w:pPr>
              <w:pStyle w:val="Compact"/>
              <w:jc w:val="left"/>
            </w:pPr>
            <w:r>
              <w:rPr>
                <w:b/>
                <w:color w:val="FFFFFF"/>
                <w:sz w:val="18"/>
              </w:rPr>
              <w:t xml:space="preserve">Revenue/savings mechanism</w:t>
            </w:r>
          </w:p>
        </w:tc>
        <w:tc>
          <w:tcPr>
            <w:shd w:val="clear" w:color="auto" w:fill="1B3A6B"/>
            <w:tcW w:w="2387" w:type="dxa"/>
          </w:tcPr>
          <w:p>
            <w:pPr>
              <w:pStyle w:val="Compact"/>
              <w:jc w:val="left"/>
            </w:pPr>
            <w:r>
              <w:rPr>
                <w:b/>
                <w:color w:val="FFFFFF"/>
                <w:sz w:val="18"/>
              </w:rPr>
              <w:t xml:space="preserve">Calculation approach</w:t>
            </w:r>
          </w:p>
        </w:tc>
        <w:tc>
          <w:tcPr>
            <w:shd w:val="clear" w:color="auto" w:fill="1B3A6B"/>
            <w:tcW w:w="2387" w:type="dxa"/>
          </w:tcPr>
          <w:p>
            <w:pPr>
              <w:pStyle w:val="Compact"/>
              <w:jc w:val="left"/>
            </w:pPr>
            <w:r>
              <w:rPr>
                <w:b/>
                <w:color w:val="FFFFFF"/>
                <w:sz w:val="18"/>
              </w:rPr>
              <w:t xml:space="preserve">Vermont example</w:t>
            </w:r>
          </w:p>
        </w:tc>
      </w:tr>
      <w:tr>
        <w:trPr>
          <w:cantSplit/>
        </w:trPr>
        <w:tc>
          <w:tcPr>
            <w:tcW w:w="1909" w:type="dxa"/>
          </w:tcPr>
          <w:p>
            <w:pPr>
              <w:pStyle w:val="Compact"/>
              <w:jc w:val="left"/>
            </w:pPr>
            <w:r>
              <w:rPr>
                <w:sz w:val="18"/>
              </w:rPr>
              <w:t xml:space="preserve">Care management program</w:t>
            </w:r>
          </w:p>
        </w:tc>
        <w:tc>
          <w:tcPr>
            <w:tcW w:w="2387" w:type="dxa"/>
          </w:tcPr>
          <w:p>
            <w:pPr>
              <w:pStyle w:val="Compact"/>
              <w:jc w:val="left"/>
            </w:pPr>
            <w:r>
              <w:rPr>
                <w:sz w:val="18"/>
              </w:rPr>
              <w:t xml:space="preserve">Prevents hospitalizations and ED visits that, under VBC, are costs without offsetting revenue</w:t>
            </w:r>
          </w:p>
        </w:tc>
        <w:tc>
          <w:tcPr>
            <w:tcW w:w="2387" w:type="dxa"/>
          </w:tcPr>
          <w:p>
            <w:pPr>
              <w:pStyle w:val="Compact"/>
              <w:jc w:val="left"/>
            </w:pPr>
            <w:r>
              <w:rPr>
                <w:sz w:val="18"/>
              </w:rPr>
              <w:t xml:space="preserve">(Prevented events) × (average cost per event) - (program operating cost) = Net savings. Divide by program cost for ROI.</w:t>
            </w:r>
          </w:p>
        </w:tc>
        <w:tc>
          <w:tcPr>
            <w:tcW w:w="2387"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8"/>
              </w:rPr>
              <w:t xml:space="preserve">Behavioral health integration (CoCM)</w:t>
            </w:r>
          </w:p>
        </w:tc>
        <w:tc>
          <w:tcPr>
            <w:tcW w:w="2387" w:type="dxa"/>
          </w:tcPr>
          <w:p>
            <w:pPr>
              <w:pStyle w:val="Compact"/>
              <w:jc w:val="left"/>
            </w:pPr>
            <w:r>
              <w:rPr>
                <w:sz w:val="18"/>
              </w:rPr>
              <w:t xml:space="preserve">Reduces downstream high-cost utilization — hospitalizations, ED visits for MH crisis — for patients receiving earlier MH intervention</w:t>
            </w:r>
          </w:p>
        </w:tc>
        <w:tc>
          <w:tcPr>
            <w:tcW w:w="2387"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8"/>
              </w:rPr>
              <w:t xml:space="preserve">SDOH program investment</w:t>
            </w:r>
          </w:p>
        </w:tc>
        <w:tc>
          <w:tcPr>
            <w:tcW w:w="2387"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8"/>
              </w:rPr>
              <w:t xml:space="preserve">Primary care investment (PCMH enhanced payments)</w:t>
            </w:r>
          </w:p>
        </w:tc>
        <w:tc>
          <w:tcPr>
            <w:tcW w:w="2387" w:type="dxa"/>
          </w:tcPr>
          <w:p>
            <w:pPr>
              <w:pStyle w:val="Compact"/>
              <w:jc w:val="left"/>
            </w:pPr>
            <w:r>
              <w:rPr>
                <w:sz w:val="18"/>
              </w:rPr>
              <w:t xml:space="preserve">Reduces hospitalizations and specialty care through better chronic disease management and early intervention</w:t>
            </w:r>
          </w:p>
        </w:tc>
        <w:tc>
          <w:tcPr>
            <w:tcW w:w="2387"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8"/>
              </w:rPr>
              <w:t xml:space="preserve">Telehealth for rural access</w:t>
            </w:r>
          </w:p>
        </w:tc>
        <w:tc>
          <w:tcPr>
            <w:tcW w:w="2387"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spacing w:before="120"/>
      </w:pPr>
      <w:r>
        <w:rPr>
          <w:i/>
          <w:iCs/>
        </w:rPr>
        <w:t xml:space="preserve">Figure 7.5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23" w:name="_Toc1222"/>
      <w:r>
        <w:rPr>
          <w:b/>
          <w:bCs/>
          <w:color w:val="161B22"/>
        </w:rPr>
        <w:t xml:space="preserve">Making Care Primary — Vermont’s Primary Care Economics</w:t>
      </w:r>
      <w:bookmarkEnd w:id="1223"/>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24" w:name="_Toc1223"/>
      <w:r>
        <w:rPr>
          <w:b/>
          <w:bCs/>
          <w:color w:val="161B22"/>
        </w:rPr>
        <w:t xml:space="preserve">Work This Chapter on the Platform</w:t>
      </w:r>
      <w:bookmarkEnd w:id="1224"/>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Model shared savings/loss under any APM contract (benchmark PMPM, sharing rate, MSR, stop-loss)</w:t>
            </w:r>
          </w:p>
        </w:tc>
        <w:tc>
          <w:tcPr>
            <w:tcW w:w="947"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4062"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4062" w:type="dxa"/>
          </w:tcPr>
          <w:p>
            <w:pPr>
              <w:pStyle w:val="Compact"/>
              <w:jc w:val="left"/>
            </w:pPr>
            <w:r>
              <w:rPr>
                <w:sz w:val="18"/>
              </w:rPr>
              <w:t xml:space="preserve">Score an organization’s value-based-care readiness across six domains</w:t>
            </w:r>
          </w:p>
        </w:tc>
        <w:tc>
          <w:tcPr>
            <w:tcW w:w="947"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4062" w:type="dxa"/>
          </w:tcPr>
          <w:p>
            <w:pPr>
              <w:pStyle w:val="Compact"/>
              <w:jc w:val="left"/>
            </w:pPr>
            <w:r>
              <w:rPr>
                <w:sz w:val="18"/>
              </w:rPr>
              <w:t xml:space="preserve">Which domain is the binding constraint before assuming downside risk.</w:t>
            </w:r>
          </w:p>
        </w:tc>
      </w:tr>
      <w:tr>
        <w:trPr/>
        <w:tc>
          <w:tcPr>
            <w:tcW w:w="4062" w:type="dxa"/>
          </w:tcPr>
          <w:p>
            <w:pPr>
              <w:pStyle w:val="Compact"/>
              <w:jc w:val="left"/>
            </w:pPr>
            <w:r>
              <w:rPr>
                <w:sz w:val="18"/>
              </w:rPr>
              <w:t xml:space="preserve">Run a cost-effectiveness analysis on a proposed intervention</w:t>
            </w:r>
          </w:p>
        </w:tc>
        <w:tc>
          <w:tcPr>
            <w:tcW w:w="947"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4062" w:type="dxa"/>
          </w:tcPr>
          <w:p>
            <w:pPr>
              <w:pStyle w:val="Compact"/>
              <w:jc w:val="left"/>
            </w:pPr>
            <w:r>
              <w:rPr>
                <w:sz w:val="18"/>
              </w:rPr>
              <w:t xml:space="preserve">Whether the ROI case survives contact with the numbers.</w:t>
            </w:r>
          </w:p>
        </w:tc>
      </w:tr>
      <w:tr>
        <w:trPr/>
        <w:tc>
          <w:tcPr>
            <w:tcW w:w="4062" w:type="dxa"/>
          </w:tcPr>
          <w:p>
            <w:pPr>
              <w:pStyle w:val="Compact"/>
              <w:jc w:val="left"/>
            </w:pPr>
            <w:r>
              <w:rPr>
                <w:sz w:val="18"/>
              </w:rPr>
              <w:t xml:space="preserve">Stress-test a hospital’s finances against reference-based pricing and global budget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The years the hospital is thinnest. For most Vermont hospitals that is FY2027-28, not the FY2030 destination.</w:t>
            </w:r>
          </w:p>
        </w:tc>
      </w:tr>
      <w:tr>
        <w:trPr>
          <w:cantSplit/>
        </w:trPr>
        <w:tc>
          <w:tcPr>
            <w:tcW w:w="4062" w:type="dxa"/>
          </w:tcPr>
          <w:p>
            <w:pPr>
              <w:pStyle w:val="Compact"/>
              <w:jc w:val="left"/>
            </w:pPr>
            <w:r>
              <w:rPr>
                <w:sz w:val="18"/>
              </w:rPr>
              <w:t xml:space="preserve">Track capital committed against each pillar and find where funding runs ahead of dependency order</w:t>
            </w:r>
          </w:p>
        </w:tc>
        <w:tc>
          <w:tcPr>
            <w:tcW w:w="947"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4062" w:type="dxa"/>
          </w:tcPr>
          <w:p>
            <w:pPr>
              <w:pStyle w:val="Compact"/>
              <w:jc w:val="left"/>
            </w:pPr>
            <w:r>
              <w:rPr>
                <w:sz w:val="18"/>
              </w:rPr>
              <w:t xml:space="preserve">Money moving faster than the sequence is the early signal of premature investment.</w:t>
            </w:r>
          </w:p>
        </w:tc>
      </w:tr>
    </w:tbl>
    <w:p>
      <w:pPr>
        <w:pStyle w:val="Caption"/>
        <w:spacing w:before="120"/>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25" w:name="_Toc1224"/>
      <w:r>
        <w:rPr>
          <w:b/>
          <w:bCs/>
          <w:color w:val="161B22"/>
        </w:rPr>
        <w:t xml:space="preserve">Implications for You</w:t>
      </w:r>
      <w:bookmarkEnd w:id="1225"/>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6" w:name="_Toc1225"/>
      <w:r>
        <w:rPr>
          <w:b/>
          <w:bCs/>
          <w:color w:val="161B22"/>
        </w:rPr>
        <w:t xml:space="preserve">Key Concepts in This Chapter</w:t>
      </w:r>
      <w:bookmarkEnd w:id="1226"/>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7" w:name="_Toc1226"/>
      <w:r>
        <w:rPr>
          <w:b/>
          <w:bCs/>
          <w:color w:val="161B22"/>
        </w:rPr>
        <w:t xml:space="preserve">Chapter 8: The Clinical Pillar — Redesigning Care Delivery for a Transformed System</w:t>
      </w:r>
      <w:bookmarkEnd w:id="1227"/>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two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8" w:name="_Toc1227"/>
      <w:r>
        <w:rPr>
          <w:b/>
          <w:bCs/>
          <w:color w:val="161B22"/>
        </w:rPr>
        <w:t xml:space="preserve">The Clinical Pillar: What It Is and Why It Is Not the Same as Clinical Quality</w:t>
      </w:r>
      <w:bookmarkEnd w:id="1228"/>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29" w:name="_Toc1228"/>
      <w:r>
        <w:rPr>
          <w:b/>
          <w:bCs/>
          <w:color w:val="161B22"/>
        </w:rPr>
        <w:t xml:space="preserve">The Vermont Blueprint for Health — Two Decades of Primary Care Transformation</w:t>
      </w:r>
      <w:bookmarkEnd w:id="1229"/>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30" w:name="_Toc1229"/>
      <w:r>
        <w:rPr>
          <w:b/>
          <w:bCs/>
          <w:color w:val="161B22"/>
        </w:rPr>
        <w:t xml:space="preserve">The Blueprint Architecture</w:t>
      </w:r>
      <w:bookmarkEnd w:id="1230"/>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spacing w:before="120"/>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31" w:name="_Toc1230"/>
      <w:r>
        <w:rPr>
          <w:b/>
          <w:bCs/>
          <w:color w:val="161B22"/>
        </w:rPr>
        <w:t xml:space="preserve">The Evidence: What the Blueprint Has Produced</w:t>
      </w:r>
      <w:bookmarkEnd w:id="1231"/>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spacing w:before="120"/>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32" w:name="_Toc1231"/>
      <w:r>
        <w:rPr>
          <w:b/>
          <w:bCs/>
          <w:color w:val="161B22"/>
        </w:rPr>
        <w:t xml:space="preserve">The Blueprint and AHEAD: A Critical Transition</w:t>
      </w:r>
      <w:bookmarkEnd w:id="1232"/>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33" w:name="_Toc1232"/>
      <w:r>
        <w:rPr>
          <w:b/>
          <w:bCs/>
          <w:color w:val="161B22"/>
        </w:rPr>
        <w:t xml:space="preserve">The Behavioral Health Crisis — Vermont’s Most Urgent Clinical Challenge</w:t>
      </w:r>
      <w:bookmarkEnd w:id="1233"/>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34" w:name="_Toc1233"/>
      <w:r>
        <w:rPr>
          <w:b/>
          <w:bCs/>
          <w:color w:val="161B22"/>
        </w:rPr>
        <w:t xml:space="preserve">The Three-Layer Behavioral Health Architecture Vermont Is Building</w:t>
      </w:r>
      <w:bookmarkEnd w:id="1234"/>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35" w:name="_Toc1234"/>
      <w:r>
        <w:rPr>
          <w:b/>
          <w:bCs/>
          <w:color w:val="161B22"/>
        </w:rPr>
        <w:t xml:space="preserve">The Collaborative Care Model: Clinical Standard of Practice for Primary Care Integration</w:t>
      </w:r>
      <w:bookmarkEnd w:id="1235"/>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6" w:name="_Toc1235"/>
      <w:r>
        <w:rPr>
          <w:b/>
          <w:bCs/>
          <w:color w:val="161B22"/>
        </w:rPr>
        <w:t xml:space="preserve">The SUD Continuum: Vermont’s Hub and Spoke Model</w:t>
      </w:r>
      <w:bookmarkEnd w:id="1236"/>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7" w:name="_Toc1236"/>
      <w:r>
        <w:rPr>
          <w:b/>
          <w:bCs/>
          <w:color w:val="161B22"/>
        </w:rPr>
        <w:t xml:space="preserve">Primary Care Redesign — Vermont’s Strategy for the Front Door</w:t>
      </w:r>
      <w:bookmarkEnd w:id="1237"/>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8" w:name="_Toc1237"/>
      <w:r>
        <w:rPr>
          <w:b/>
          <w:bCs/>
          <w:color w:val="161B22"/>
        </w:rPr>
        <w:t xml:space="preserve">The Vermont Comprehensive Primary Health Care Initiative</w:t>
      </w:r>
      <w:bookmarkEnd w:id="1238"/>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spacing w:before="120"/>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9" w:name="_Toc1238"/>
      <w:r>
        <w:rPr>
          <w:b/>
          <w:bCs/>
          <w:color w:val="161B22"/>
        </w:rPr>
        <w:t xml:space="preserve">Primary Care’s Role in Reducing Hospital Utilization</w:t>
      </w:r>
      <w:bookmarkEnd w:id="1239"/>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40" w:name="_Toc1239"/>
      <w:r>
        <w:rPr>
          <w:b/>
          <w:bCs/>
          <w:color w:val="161B22"/>
        </w:rPr>
        <w:t xml:space="preserve">Vermont’s Clinical Quality Architecture — Measuring What Matters</w:t>
      </w:r>
      <w:bookmarkEnd w:id="1240"/>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spacing w:before="120"/>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41" w:name="_Toc1240"/>
      <w:r>
        <w:rPr>
          <w:b/>
          <w:bCs/>
          <w:color w:val="161B22"/>
        </w:rPr>
        <w:t xml:space="preserve">The HEDIS Improvement Methodology — Vermont Context</w:t>
      </w:r>
      <w:bookmarkEnd w:id="1241"/>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42" w:name="_Toc1241"/>
      <w:r>
        <w:rPr>
          <w:b/>
          <w:bCs/>
          <w:color w:val="161B22"/>
        </w:rPr>
        <w:t xml:space="preserve">Care for Vermont’s Aging Population — The Clinical Imperative</w:t>
      </w:r>
      <w:bookmarkEnd w:id="1242"/>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43" w:name="_Toc1242"/>
      <w:r>
        <w:rPr>
          <w:b/>
          <w:bCs/>
          <w:color w:val="161B22"/>
        </w:rPr>
        <w:t xml:space="preserve">The PACE Model and Vermont’s Long-Term Care Gap</w:t>
      </w:r>
      <w:bookmarkEnd w:id="1243"/>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44" w:name="_Toc1243"/>
      <w:r>
        <w:rPr>
          <w:b/>
          <w:bCs/>
          <w:color w:val="161B22"/>
        </w:rPr>
        <w:t xml:space="preserve">Dementia Care: The Coming Clinical Challenge</w:t>
      </w:r>
      <w:bookmarkEnd w:id="1244"/>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45" w:name="_Toc1244"/>
      <w:r>
        <w:rPr>
          <w:b/>
          <w:bCs/>
          <w:color w:val="161B22"/>
        </w:rPr>
        <w:t xml:space="preserve">Clinical Pillar Implications for AHS’s Statewide Strategic Plan</w:t>
      </w:r>
      <w:bookmarkEnd w:id="1245"/>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980"/>
        <w:gridCol w:w="2763"/>
        <w:gridCol w:w="1565"/>
        <w:gridCol w:w="2763"/>
      </w:tblGrid>
      <w:tr>
        <w:trPr>
          <w:tblHeader w:val="on"/>
          <w:cantSplit/>
        </w:trPr>
        <w:tc>
          <w:tcPr>
            <w:shd w:val="clear" w:color="auto" w:fill="1B3A6B"/>
            <w:tcW w:w="1980" w:type="dxa"/>
          </w:tcPr>
          <w:p>
            <w:pPr>
              <w:pStyle w:val="Compact"/>
              <w:jc w:val="left"/>
            </w:pPr>
            <w:r>
              <w:rPr>
                <w:b/>
                <w:color w:val="FFFFFF"/>
                <w:sz w:val="18"/>
              </w:rPr>
              <w:t xml:space="preserve">Commitment</w:t>
            </w:r>
          </w:p>
        </w:tc>
        <w:tc>
          <w:tcPr>
            <w:shd w:val="clear" w:color="auto" w:fill="1B3A6B"/>
            <w:tcW w:w="2763" w:type="dxa"/>
          </w:tcPr>
          <w:p>
            <w:pPr>
              <w:pStyle w:val="Compact"/>
              <w:jc w:val="left"/>
            </w:pPr>
            <w:r>
              <w:rPr>
                <w:b/>
                <w:color w:val="FFFFFF"/>
                <w:sz w:val="18"/>
              </w:rPr>
              <w:t xml:space="preserve">What it requires</w:t>
            </w:r>
          </w:p>
        </w:tc>
        <w:tc>
          <w:tcPr>
            <w:shd w:val="clear" w:color="auto" w:fill="1B3A6B"/>
            <w:tcW w:w="1565" w:type="dxa"/>
          </w:tcPr>
          <w:p>
            <w:pPr>
              <w:pStyle w:val="Compact"/>
              <w:jc w:val="left"/>
            </w:pPr>
            <w:r>
              <w:rPr>
                <w:b/>
                <w:color w:val="FFFFFF"/>
                <w:sz w:val="18"/>
              </w:rPr>
              <w:t xml:space="preserve">Timeline</w:t>
            </w:r>
          </w:p>
        </w:tc>
        <w:tc>
          <w:tcPr>
            <w:shd w:val="clear" w:color="auto" w:fill="1B3A6B"/>
            <w:tcW w:w="2763" w:type="dxa"/>
          </w:tcPr>
          <w:p>
            <w:pPr>
              <w:pStyle w:val="Compact"/>
              <w:jc w:val="left"/>
            </w:pPr>
            <w:r>
              <w:rPr>
                <w:b/>
                <w:color w:val="FFFFFF"/>
                <w:sz w:val="18"/>
              </w:rPr>
              <w:t xml:space="preserve">Primary vehicle</w:t>
            </w:r>
          </w:p>
        </w:tc>
      </w:tr>
      <w:tr>
        <w:trPr>
          <w:cantSplit/>
        </w:trPr>
        <w:tc>
          <w:tcPr>
            <w:tcW w:w="1980" w:type="dxa"/>
          </w:tcPr>
          <w:p>
            <w:pPr>
              <w:pStyle w:val="Compact"/>
              <w:jc w:val="left"/>
            </w:pPr>
            <w:r>
              <w:rPr>
                <w:sz w:val="18"/>
              </w:rPr>
              <w:t xml:space="preserve">Universal Blueprint PCMH coverage</w:t>
            </w:r>
          </w:p>
        </w:tc>
        <w:tc>
          <w:tcPr>
            <w:tcW w:w="2763"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Blueprint expansion; AHEAD PC primary care recruitment; RHT workforce investment</w:t>
            </w:r>
          </w:p>
        </w:tc>
      </w:tr>
      <w:tr>
        <w:trPr/>
        <w:tc>
          <w:tcPr>
            <w:tcW w:w="1980" w:type="dxa"/>
          </w:tcPr>
          <w:p>
            <w:pPr>
              <w:pStyle w:val="Compact"/>
              <w:jc w:val="left"/>
            </w:pPr>
            <w:r>
              <w:rPr>
                <w:sz w:val="18"/>
              </w:rPr>
              <w:t xml:space="preserve">Behavioral health integration at every PCMH</w:t>
            </w:r>
          </w:p>
        </w:tc>
        <w:tc>
          <w:tcPr>
            <w:tcW w:w="2763"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MHI permanent funding through AHEAD EAST Fund; CCBHC partnerships; BHCM workforce training through RHT Program</w:t>
            </w:r>
          </w:p>
        </w:tc>
      </w:tr>
      <w:tr>
        <w:trPr/>
        <w:tc>
          <w:tcPr>
            <w:tcW w:w="1980" w:type="dxa"/>
          </w:tcPr>
          <w:p>
            <w:pPr>
              <w:pStyle w:val="Compact"/>
              <w:jc w:val="left"/>
            </w:pPr>
            <w:r>
              <w:rPr>
                <w:sz w:val="18"/>
              </w:rPr>
              <w:t xml:space="preserve">CCBHC network covering all HSAs</w:t>
            </w:r>
          </w:p>
        </w:tc>
        <w:tc>
          <w:tcPr>
            <w:tcW w:w="2763"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8"/>
              </w:rPr>
              <w:t xml:space="preserve">2026 (5 new CCBHCs) through 2028</w:t>
            </w:r>
          </w:p>
        </w:tc>
        <w:tc>
          <w:tcPr>
            <w:tcW w:w="2763" w:type="dxa"/>
          </w:tcPr>
          <w:p>
            <w:pPr>
              <w:pStyle w:val="Compact"/>
              <w:jc w:val="left"/>
            </w:pPr>
            <w:r>
              <w:rPr>
                <w:sz w:val="18"/>
              </w:rPr>
              <w:t xml:space="preserve">CCBHC Demonstration State enhanced Medicaid; RHT Program funding; Act 68 grants</w:t>
            </w:r>
          </w:p>
        </w:tc>
      </w:tr>
      <w:tr>
        <w:trPr/>
        <w:tc>
          <w:tcPr>
            <w:tcW w:w="1980" w:type="dxa"/>
          </w:tcPr>
          <w:p>
            <w:pPr>
              <w:pStyle w:val="Compact"/>
              <w:jc w:val="left"/>
            </w:pPr>
            <w:r>
              <w:rPr>
                <w:sz w:val="18"/>
              </w:rPr>
              <w:t xml:space="preserve">PACE program development</w:t>
            </w:r>
          </w:p>
        </w:tc>
        <w:tc>
          <w:tcPr>
            <w:tcW w:w="2763"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8"/>
              </w:rPr>
              <w:t xml:space="preserve">2026-2028 (feasibility and launch)</w:t>
            </w:r>
          </w:p>
        </w:tc>
        <w:tc>
          <w:tcPr>
            <w:tcW w:w="2763" w:type="dxa"/>
          </w:tcPr>
          <w:p>
            <w:pPr>
              <w:pStyle w:val="Compact"/>
              <w:jc w:val="left"/>
            </w:pPr>
            <w:r>
              <w:rPr>
                <w:sz w:val="18"/>
              </w:rPr>
              <w:t xml:space="preserve">AHEAD EAST Fund; RHT long-term care infrastructure investment; Medicaid PACE program rules</w:t>
            </w:r>
          </w:p>
        </w:tc>
      </w:tr>
      <w:tr>
        <w:trPr>
          <w:cantSplit/>
        </w:trPr>
        <w:tc>
          <w:tcPr>
            <w:tcW w:w="1980" w:type="dxa"/>
          </w:tcPr>
          <w:p>
            <w:pPr>
              <w:pStyle w:val="Compact"/>
              <w:jc w:val="left"/>
            </w:pPr>
            <w:r>
              <w:rPr>
                <w:sz w:val="18"/>
              </w:rPr>
              <w:t xml:space="preserve">Dementia care infrastructure</w:t>
            </w:r>
          </w:p>
        </w:tc>
        <w:tc>
          <w:tcPr>
            <w:tcW w:w="2763"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8"/>
              </w:rPr>
              <w:t xml:space="preserve">2026-2030</w:t>
            </w:r>
          </w:p>
        </w:tc>
        <w:tc>
          <w:tcPr>
            <w:tcW w:w="2763" w:type="dxa"/>
          </w:tcPr>
          <w:p>
            <w:pPr>
              <w:pStyle w:val="Compact"/>
              <w:jc w:val="left"/>
            </w:pPr>
            <w:r>
              <w:rPr>
                <w:sz w:val="18"/>
              </w:rPr>
              <w:t xml:space="preserve">RHT Program; COE designation process; Blueprint quality measures expansion</w:t>
            </w:r>
          </w:p>
        </w:tc>
      </w:tr>
    </w:tbl>
    <w:p>
      <w:pPr>
        <w:pStyle w:val="Caption"/>
        <w:spacing w:before="120"/>
      </w:pPr>
      <w:r>
        <w:rPr>
          <w:i/>
          <w:iCs/>
        </w:rPr>
        <w:t xml:space="preserve">Table 8.1 — Clinical-pillar implementation commitments for the Statewide Strategic Plan. Source: HTR Analysis (2026).</w:t>
      </w:r>
    </w:p>
    <w:p>
      <w:pPr>
        <w:pStyle w:val="Heading2"/>
        <w:pBdr>
          <w:top w:val="single" w:sz="6" w:space="10" w:color="C9D2DF"/>
        </w:pBdr>
        <w:keepNext w:val="false"/>
      </w:pPr>
      <w:r>
        <w:rPr>
          <w:color w:val="161B22"/>
        </w:rPr>
        <w:t xml:space="preserve">8.8  </w:t>
      </w:r>
      <w:bookmarkStart w:id="1246" w:name="_Toc1245"/>
      <w:r>
        <w:rPr>
          <w:b/>
          <w:bCs/>
          <w:color w:val="161B22"/>
        </w:rPr>
        <w:t xml:space="preserve">Work This Chapter on the Platform</w:t>
      </w:r>
      <w:bookmarkEnd w:id="1246"/>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Stratify a clinical panel by risk tier and match staffing intensity</w:t>
            </w:r>
          </w:p>
        </w:tc>
        <w:tc>
          <w:tcPr>
            <w:tcW w:w="947"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4062" w:type="dxa"/>
          </w:tcPr>
          <w:p>
            <w:pPr>
              <w:pStyle w:val="Compact"/>
              <w:jc w:val="left"/>
            </w:pPr>
            <w:r>
              <w:rPr>
                <w:sz w:val="18"/>
              </w:rPr>
              <w:t xml:space="preserve">How panel design changes when staffing follows risk rather than volume.</w:t>
            </w:r>
          </w:p>
        </w:tc>
      </w:tr>
      <w:tr>
        <w:trPr/>
        <w:tc>
          <w:tcPr>
            <w:tcW w:w="4062" w:type="dxa"/>
          </w:tcPr>
          <w:p>
            <w:pPr>
              <w:pStyle w:val="Compact"/>
              <w:jc w:val="left"/>
            </w:pPr>
            <w:r>
              <w:rPr>
                <w:sz w:val="18"/>
              </w:rPr>
              <w:t xml:space="preserve">Model HEDIS measure performance against NCQA benchmarks</w:t>
            </w:r>
          </w:p>
        </w:tc>
        <w:tc>
          <w:tcPr>
            <w:tcW w:w="947"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4062" w:type="dxa"/>
          </w:tcPr>
          <w:p>
            <w:pPr>
              <w:pStyle w:val="Compact"/>
              <w:jc w:val="left"/>
            </w:pPr>
            <w:r>
              <w:rPr>
                <w:sz w:val="18"/>
              </w:rPr>
              <w:t xml:space="preserve">Which measures move population outcomes vs. which only move scores.</w:t>
            </w:r>
          </w:p>
        </w:tc>
      </w:tr>
      <w:tr>
        <w:trPr>
          <w:cantSplit/>
        </w:trPr>
        <w:tc>
          <w:tcPr>
            <w:tcW w:w="4062" w:type="dxa"/>
          </w:tcPr>
          <w:p>
            <w:pPr>
              <w:pStyle w:val="Compact"/>
              <w:jc w:val="left"/>
            </w:pPr>
            <w:r>
              <w:rPr>
                <w:sz w:val="18"/>
              </w:rPr>
              <w:t xml:space="preserve">Run risk stratification on a live panel rather than reading the methodology</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How many patients change tier once social risk is included alongside clinical risk.</w:t>
            </w:r>
          </w:p>
        </w:tc>
      </w:tr>
    </w:tbl>
    <w:p>
      <w:pPr>
        <w:pStyle w:val="Caption"/>
        <w:spacing w:before="120"/>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7" w:name="_Toc1246"/>
      <w:r>
        <w:rPr>
          <w:b/>
          <w:bCs/>
          <w:color w:val="161B22"/>
        </w:rPr>
        <w:t xml:space="preserve">Implications for You</w:t>
      </w:r>
      <w:bookmarkEnd w:id="1247"/>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8" w:name="_Toc1247"/>
      <w:r>
        <w:rPr>
          <w:b/>
          <w:bCs/>
          <w:color w:val="161B22"/>
        </w:rPr>
        <w:t xml:space="preserve">Key Concepts in This Chapter</w:t>
      </w:r>
      <w:bookmarkEnd w:id="1248"/>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9" w:name="_Toc1248"/>
      <w:r>
        <w:rPr>
          <w:b/>
          <w:bCs/>
          <w:color w:val="161B22"/>
        </w:rPr>
        <w:t xml:space="preserve">Chapter 9: The Clinical Pillar in Practice — Care Model Implementation, Quality Mechanics, and the Vermont Clinical Transformation Toolkit</w:t>
      </w:r>
      <w:bookmarkEnd w:id="124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50" w:name="_Toc1249"/>
      <w:r>
        <w:rPr>
          <w:b/>
          <w:bCs/>
          <w:color w:val="161B22"/>
        </w:rPr>
        <w:t xml:space="preserve">From Clinical Architecture to Clinical Practice</w:t>
      </w:r>
      <w:bookmarkEnd w:id="1250"/>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51" w:name="_Toc1250"/>
      <w:r>
        <w:rPr>
          <w:b/>
          <w:bCs/>
          <w:color w:val="161B22"/>
        </w:rPr>
        <w:t xml:space="preserve">PCMH Transformation — The Blueprint Practice Implementation Playbook</w:t>
      </w:r>
      <w:bookmarkEnd w:id="1251"/>
    </w:p>
    <w:p>
      <w:pPr>
        <w:pStyle w:val="Heading3"/>
      </w:pPr>
      <w:r>
        <w:rPr>
          <w:color w:val="161B22"/>
        </w:rPr>
        <w:t xml:space="preserve">9.2.1  </w:t>
      </w:r>
      <w:bookmarkStart w:id="1252" w:name="_Toc1251"/>
      <w:r>
        <w:rPr>
          <w:b/>
          <w:bCs/>
          <w:color w:val="161B22"/>
        </w:rPr>
        <w:t xml:space="preserve">The Blueprint PCMH Recognition Process — What It Actually Requires</w:t>
      </w:r>
      <w:bookmarkEnd w:id="1252"/>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spacing w:before="120"/>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53" w:name="_Toc1252"/>
      <w:r>
        <w:rPr>
          <w:b/>
          <w:bCs/>
          <w:color w:val="161B22"/>
        </w:rPr>
        <w:t xml:space="preserve">The Blueprint Field Staff Model — Vermont’s Practice Transformation Infrastructure</w:t>
      </w:r>
      <w:bookmarkEnd w:id="1253"/>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54" w:name="_Toc1253"/>
      <w:r>
        <w:rPr>
          <w:b/>
          <w:bCs/>
          <w:color w:val="161B22"/>
        </w:rPr>
        <w:t xml:space="preserve">The Practice Panel: Right-Sizing and Risk Stratification</w:t>
      </w:r>
      <w:bookmarkEnd w:id="1254"/>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keepNext/>
        <w:spacing w:before="120"/>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55" w:name="_Toc1254"/>
      <w:r>
        <w:rPr>
          <w:b/>
          <w:bCs/>
          <w:color w:val="161B22"/>
        </w:rPr>
        <w:t xml:space="preserve">Deploying the Collaborative Care Model — Operational Requirements</w:t>
      </w:r>
      <w:bookmarkEnd w:id="1255"/>
    </w:p>
    <w:p>
      <w:pPr>
        <w:pStyle w:val="Heading3"/>
      </w:pPr>
      <w:r>
        <w:rPr>
          <w:color w:val="161B22"/>
        </w:rPr>
        <w:t xml:space="preserve">9.3.1  </w:t>
      </w:r>
      <w:bookmarkStart w:id="1256" w:name="_Toc1255"/>
      <w:r>
        <w:rPr>
          <w:b/>
          <w:bCs/>
          <w:color w:val="161B22"/>
        </w:rPr>
        <w:t xml:space="preserve">Site Readiness Assessment</w:t>
      </w:r>
      <w:bookmarkEnd w:id="1256"/>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7" w:name="_Toc1256"/>
      <w:r>
        <w:rPr>
          <w:b/>
          <w:bCs/>
          <w:color w:val="161B22"/>
        </w:rPr>
        <w:t xml:space="preserve">The Psychiatric Consultation Model — Vermont’s Workforce Solution</w:t>
      </w:r>
      <w:bookmarkEnd w:id="1257"/>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8" w:name="_Toc1257"/>
      <w:r>
        <w:rPr>
          <w:b/>
          <w:bCs/>
          <w:color w:val="161B22"/>
        </w:rPr>
        <w:t xml:space="preserve">The BHCM Workforce Pipeline</w:t>
      </w:r>
      <w:bookmarkEnd w:id="1258"/>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59" w:name="_Toc1258"/>
      <w:r>
        <w:rPr>
          <w:b/>
          <w:bCs/>
          <w:color w:val="161B22"/>
        </w:rPr>
        <w:t xml:space="preserve">HEDIS Improvement Methodology — Vermont Context</w:t>
      </w:r>
      <w:bookmarkEnd w:id="1259"/>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60" w:name="_Toc1259"/>
      <w:r>
        <w:rPr>
          <w:b/>
          <w:bCs/>
          <w:color w:val="161B22"/>
        </w:rPr>
        <w:t xml:space="preserve">The Five-Step HEDIS Improvement Framework</w:t>
      </w:r>
      <w:bookmarkEnd w:id="1260"/>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61" w:name="_Toc1260"/>
      <w:r>
        <w:rPr>
          <w:b/>
          <w:bCs/>
          <w:color w:val="161B22"/>
        </w:rPr>
        <w:t xml:space="preserve">Vermont-Specific HEDIS Opportunity Areas</w:t>
      </w:r>
      <w:bookmarkEnd w:id="1261"/>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62" w:name="_Toc1261"/>
      <w:r>
        <w:rPr>
          <w:b/>
          <w:bCs/>
          <w:color w:val="161B22"/>
        </w:rPr>
        <w:t xml:space="preserve">The Clinical Data Infrastructure — Connecting Care to Population Health Management</w:t>
      </w:r>
      <w:bookmarkEnd w:id="1262"/>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63" w:name="_Toc1262"/>
      <w:r>
        <w:rPr>
          <w:b/>
          <w:bCs/>
          <w:color w:val="161B22"/>
        </w:rPr>
        <w:t xml:space="preserve">Vermont’s Three-Step Clinical Data Model</w:t>
      </w:r>
      <w:bookmarkEnd w:id="1263"/>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64" w:name="_Toc1263"/>
      <w:r>
        <w:rPr>
          <w:b/>
          <w:bCs/>
          <w:color w:val="161B22"/>
        </w:rPr>
        <w:t xml:space="preserve">HCC Coding Excellence — The Clinical Pillar’s Financial Foundation</w:t>
      </w:r>
      <w:bookmarkEnd w:id="1264"/>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65" w:name="_Toc1264"/>
      <w:r>
        <w:rPr>
          <w:b/>
          <w:bCs/>
          <w:color w:val="161B22"/>
        </w:rPr>
        <w:t xml:space="preserve">The Care Transition Protocol — Closing the Loop Between Hospital and Community</w:t>
      </w:r>
      <w:bookmarkEnd w:id="1265"/>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6" w:name="_Toc1265"/>
      <w:r>
        <w:rPr>
          <w:b/>
          <w:bCs/>
          <w:color w:val="161B22"/>
        </w:rPr>
        <w:t xml:space="preserve">Clinical Leadership in Transformation — The Under-Resourced Pillar</w:t>
      </w:r>
      <w:bookmarkEnd w:id="1266"/>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7" w:name="_Toc1266"/>
      <w:r>
        <w:rPr>
          <w:b/>
          <w:bCs/>
          <w:color w:val="161B22"/>
        </w:rPr>
        <w:t xml:space="preserve">Clinical Pillar Implementation Commitments for AHS’s Statewide Strategic Plan</w:t>
      </w:r>
      <w:bookmarkEnd w:id="1267"/>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880"/>
        <w:gridCol w:w="2880"/>
        <w:gridCol w:w="432"/>
        <w:gridCol w:w="2880"/>
      </w:tblGrid>
      <w:tr>
        <w:trPr>
          <w:tblHeader w:val="on"/>
          <w:cantSplit/>
        </w:trPr>
        <w:tc>
          <w:tcPr>
            <w:shd w:val="clear" w:color="auto" w:fill="1B3A6B"/>
            <w:tcW w:w="2880" w:type="dxa"/>
          </w:tcPr>
          <w:p>
            <w:pPr>
              <w:pStyle w:val="Compact"/>
              <w:jc w:val="left"/>
            </w:pPr>
            <w:r>
              <w:rPr>
                <w:b/>
                <w:color w:val="FFFFFF"/>
                <w:sz w:val="18"/>
              </w:rPr>
              <w:t xml:space="preserve">Commitment</w:t>
            </w:r>
          </w:p>
        </w:tc>
        <w:tc>
          <w:tcPr>
            <w:shd w:val="clear" w:color="auto" w:fill="1B3A6B"/>
            <w:tcW w:w="2880" w:type="dxa"/>
          </w:tcPr>
          <w:p>
            <w:pPr>
              <w:pStyle w:val="Compact"/>
              <w:jc w:val="left"/>
            </w:pPr>
            <w:r>
              <w:rPr>
                <w:b/>
                <w:color w:val="FFFFFF"/>
                <w:sz w:val="18"/>
              </w:rPr>
              <w:t xml:space="preserve">Operational Requirement</w:t>
            </w:r>
          </w:p>
        </w:tc>
        <w:tc>
          <w:tcPr>
            <w:shd w:val="clear" w:color="auto" w:fill="1B3A6B"/>
            <w:tcW w:w="432" w:type="dxa"/>
          </w:tcPr>
          <w:p>
            <w:pPr>
              <w:pStyle w:val="Compact"/>
              <w:jc w:val="left"/>
            </w:pPr>
            <w:r>
              <w:rPr>
                <w:b/>
                <w:color w:val="FFFFFF"/>
                <w:sz w:val="18"/>
              </w:rPr>
              <w:t xml:space="preserve">Timeline</w:t>
            </w:r>
          </w:p>
        </w:tc>
        <w:tc>
          <w:tcPr>
            <w:shd w:val="clear" w:color="auto" w:fill="1B3A6B"/>
            <w:tcW w:w="2880" w:type="dxa"/>
          </w:tcPr>
          <w:p>
            <w:pPr>
              <w:pStyle w:val="Compact"/>
              <w:jc w:val="left"/>
            </w:pPr>
            <w:r>
              <w:rPr>
                <w:b/>
                <w:color w:val="FFFFFF"/>
                <w:sz w:val="18"/>
              </w:rPr>
              <w:t xml:space="preserve">Primary Vehicle</w:t>
            </w:r>
          </w:p>
        </w:tc>
      </w:tr>
      <w:tr>
        <w:trPr>
          <w:cantSplit/>
        </w:trPr>
        <w:tc>
          <w:tcPr>
            <w:tcW w:w="2880" w:type="dxa"/>
          </w:tcPr>
          <w:p>
            <w:pPr>
              <w:pStyle w:val="Compact"/>
              <w:jc w:val="left"/>
            </w:pPr>
            <w:r>
              <w:rPr>
                <w:sz w:val="18"/>
              </w:rPr>
              <w:t xml:space="preserve">PCMH transformation support for all Vermont primary care practices</w:t>
            </w:r>
          </w:p>
        </w:tc>
        <w:tc>
          <w:tcPr>
            <w:tcW w:w="288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Blueprint program; DVHA; AHEAD implementation team</w:t>
            </w:r>
          </w:p>
        </w:tc>
      </w:tr>
      <w:tr>
        <w:trPr/>
        <w:tc>
          <w:tcPr>
            <w:tcW w:w="2880" w:type="dxa"/>
          </w:tcPr>
          <w:p>
            <w:pPr>
              <w:pStyle w:val="Compact"/>
              <w:jc w:val="left"/>
            </w:pPr>
            <w:r>
              <w:rPr>
                <w:sz w:val="18"/>
              </w:rPr>
              <w:t xml:space="preserve">CoCM deployment at every PCMH practice</w:t>
            </w:r>
          </w:p>
        </w:tc>
        <w:tc>
          <w:tcPr>
            <w:tcW w:w="2880" w:type="dxa"/>
          </w:tcPr>
          <w:p>
            <w:pPr>
              <w:pStyle w:val="Compact"/>
              <w:jc w:val="left"/>
            </w:pPr>
            <w:r>
              <w:rPr>
                <w:sz w:val="18"/>
              </w:rPr>
              <w:t xml:space="preserve">BHCM workforce training funded; telepsychiatry consultation network established; CoCM billing infrastructure in place at all Blueprint practices</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MHI permanent funding through AHEAD EAST Fund; RHT Program; CCBHC partnerships</w:t>
            </w:r>
          </w:p>
        </w:tc>
      </w:tr>
      <w:tr>
        <w:trPr/>
        <w:tc>
          <w:tcPr>
            <w:tcW w:w="2880" w:type="dxa"/>
          </w:tcPr>
          <w:p>
            <w:pPr>
              <w:pStyle w:val="Compact"/>
              <w:jc w:val="left"/>
            </w:pPr>
            <w:r>
              <w:rPr>
                <w:sz w:val="18"/>
              </w:rPr>
              <w:t xml:space="preserve">Structured data capture standards across all Vermont primary care</w:t>
            </w:r>
          </w:p>
        </w:tc>
        <w:tc>
          <w:tcPr>
            <w:tcW w:w="288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data infrastructure; GMCB analytics vendor; VITL</w:t>
            </w:r>
          </w:p>
        </w:tc>
      </w:tr>
      <w:tr>
        <w:trPr/>
        <w:tc>
          <w:tcPr>
            <w:tcW w:w="2880" w:type="dxa"/>
          </w:tcPr>
          <w:p>
            <w:pPr>
              <w:pStyle w:val="Compact"/>
              <w:jc w:val="left"/>
            </w:pPr>
            <w:r>
              <w:rPr>
                <w:sz w:val="18"/>
              </w:rPr>
              <w:t xml:space="preserve">Care transition protocols at all Vermont hospitals for Blueprint-attributed patients</w:t>
            </w:r>
          </w:p>
        </w:tc>
        <w:tc>
          <w:tcPr>
            <w:tcW w:w="288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CHT model; VITL infrastructure; DVHA quality targets</w:t>
            </w:r>
          </w:p>
        </w:tc>
      </w:tr>
      <w:tr>
        <w:trPr>
          <w:cantSplit/>
        </w:trPr>
        <w:tc>
          <w:tcPr>
            <w:tcW w:w="2880" w:type="dxa"/>
          </w:tcPr>
          <w:p>
            <w:pPr>
              <w:pStyle w:val="Compact"/>
              <w:jc w:val="left"/>
            </w:pPr>
            <w:r>
              <w:rPr>
                <w:sz w:val="18"/>
              </w:rPr>
              <w:t xml:space="preserve">Clinical leader engagement in AHEAD governance and Statewide Strategic Plan development</w:t>
            </w:r>
          </w:p>
        </w:tc>
        <w:tc>
          <w:tcPr>
            <w:tcW w:w="288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Act 68 Advisory Committee structure; AHS organizational design; GMCB quality reporting requirements</w:t>
            </w:r>
          </w:p>
        </w:tc>
      </w:tr>
    </w:tbl>
    <w:p>
      <w:pPr>
        <w:pStyle w:val="Caption"/>
        <w:spacing w:before="120"/>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68" w:name="_Toc1267"/>
      <w:r>
        <w:rPr>
          <w:b/>
          <w:bCs/>
          <w:color w:val="161B22"/>
        </w:rPr>
        <w:t xml:space="preserve">Clinical Pillar Implementation Matrix</w:t>
      </w:r>
      <w:bookmarkEnd w:id="1268"/>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spacing w:before="280"/>
      </w:pPr>
      <w:r>
        <w:rPr>
          <w:color w:val="161B22"/>
        </w:rPr>
        <w:t xml:space="preserve">9.10  </w:t>
      </w:r>
      <w:bookmarkStart w:id="1269" w:name="_Toc1268"/>
      <w:r>
        <w:rPr>
          <w:b/>
          <w:bCs/>
          <w:color w:val="161B22"/>
        </w:rPr>
        <w:t xml:space="preserve">Work This Chapter on the Platform</w:t>
      </w:r>
      <w:bookmarkEnd w:id="1269"/>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Optimize HEDIS, Star Ratings, and MIPS performance with payment-adjustment estimates</w:t>
            </w:r>
          </w:p>
        </w:tc>
        <w:tc>
          <w:tcPr>
            <w:tcW w:w="947"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4062" w:type="dxa"/>
          </w:tcPr>
          <w:p>
            <w:pPr>
              <w:pStyle w:val="Compact"/>
              <w:jc w:val="left"/>
            </w:pPr>
            <w:r>
              <w:rPr>
                <w:sz w:val="18"/>
              </w:rPr>
              <w:t xml:space="preserve">The payment consequence of each quality decision under value-based contracts.</w:t>
            </w:r>
          </w:p>
        </w:tc>
      </w:tr>
      <w:tr>
        <w:trPr/>
        <w:tc>
          <w:tcPr>
            <w:tcW w:w="4062" w:type="dxa"/>
          </w:tcPr>
          <w:p>
            <w:pPr>
              <w:pStyle w:val="Compact"/>
              <w:jc w:val="left"/>
            </w:pPr>
            <w:r>
              <w:rPr>
                <w:sz w:val="18"/>
              </w:rPr>
              <w:t xml:space="preserve">Separate high-value from low-value care across services</w:t>
            </w:r>
          </w:p>
        </w:tc>
        <w:tc>
          <w:tcPr>
            <w:tcW w:w="947"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4062" w:type="dxa"/>
          </w:tcPr>
          <w:p>
            <w:pPr>
              <w:pStyle w:val="Compact"/>
              <w:jc w:val="left"/>
            </w:pPr>
            <w:r>
              <w:rPr>
                <w:sz w:val="18"/>
              </w:rPr>
              <w:t xml:space="preserve">Where reducing volume improves both margin and outcomes.</w:t>
            </w:r>
          </w:p>
        </w:tc>
      </w:tr>
      <w:tr>
        <w:trPr>
          <w:cantSplit/>
        </w:trPr>
        <w:tc>
          <w:tcPr>
            <w:tcW w:w="4062" w:type="dxa"/>
          </w:tcPr>
          <w:p>
            <w:pPr>
              <w:pStyle w:val="Compact"/>
              <w:jc w:val="left"/>
            </w:pPr>
            <w:r>
              <w:rPr>
                <w:sz w:val="18"/>
              </w:rPr>
              <w:t xml:space="preserve">Run risk stratification against a panel and compare tiers to current care-management assignment</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Patients in a high tier who are receiving no care management — the gap quality measures do not surface.</w:t>
            </w:r>
          </w:p>
        </w:tc>
      </w:tr>
    </w:tbl>
    <w:p>
      <w:pPr>
        <w:pStyle w:val="Caption"/>
        <w:spacing w:before="120"/>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70" w:name="_Toc1269"/>
      <w:r>
        <w:rPr>
          <w:b/>
          <w:bCs/>
          <w:color w:val="161B22"/>
        </w:rPr>
        <w:t xml:space="preserve">Implications for You</w:t>
      </w:r>
      <w:bookmarkEnd w:id="1270"/>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71" w:name="_Toc1270"/>
      <w:r>
        <w:rPr>
          <w:b/>
          <w:bCs/>
          <w:color w:val="161B22"/>
        </w:rPr>
        <w:t xml:space="preserve">Key Concepts in This Chapter</w:t>
      </w:r>
      <w:bookmarkEnd w:id="1271"/>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72" w:name="_Toc1271"/>
      <w:r>
        <w:rPr>
          <w:b/>
          <w:bCs/>
          <w:color w:val="161B22"/>
        </w:rPr>
        <w:t xml:space="preserve">Chapter 10: The Equity Pillar — Closing Gaps, Not Just Averaging Them</w:t>
      </w:r>
      <w:bookmarkEnd w:id="127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73" w:name="_Toc1272"/>
      <w:r>
        <w:rPr>
          <w:b/>
          <w:bCs/>
          <w:color w:val="161B22"/>
        </w:rPr>
        <w:t xml:space="preserve">The Equity Pillar: Why Average Outcomes Are the Wrong Target</w:t>
      </w:r>
      <w:bookmarkEnd w:id="1273"/>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74" w:name="_Toc1273"/>
      <w:r>
        <w:rPr>
          <w:b/>
          <w:bCs/>
          <w:color w:val="161B22"/>
        </w:rPr>
        <w:t xml:space="preserve">Vermont’s Equity Landscape — What the Data Shows</w:t>
      </w:r>
      <w:bookmarkEnd w:id="1274"/>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75" w:name="_Toc1274"/>
      <w:r>
        <w:rPr>
          <w:b/>
          <w:bCs/>
          <w:color w:val="161B22"/>
        </w:rPr>
        <w:t xml:space="preserve">Geographic Equity: The Rural-Urban Divide</w:t>
      </w:r>
      <w:bookmarkEnd w:id="1275"/>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spacing w:before="120"/>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6" w:name="_Toc1275"/>
      <w:r>
        <w:rPr>
          <w:b/>
          <w:bCs/>
          <w:color w:val="161B22"/>
        </w:rPr>
        <w:t xml:space="preserve">Racial and Demographic Equity</w:t>
      </w:r>
      <w:bookmarkEnd w:id="1276"/>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7" w:name="_Toc1276"/>
      <w:r>
        <w:rPr>
          <w:b/>
          <w:bCs/>
          <w:color w:val="161B22"/>
        </w:rPr>
        <w:t xml:space="preserve">The SDOH Burden</w:t>
      </w:r>
      <w:bookmarkEnd w:id="1277"/>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spacing w:before="120"/>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8" w:name="_Toc1277"/>
      <w:r>
        <w:rPr>
          <w:b/>
          <w:bCs/>
          <w:color w:val="161B22"/>
        </w:rPr>
        <w:t xml:space="preserve">The Disparity Root Cause Taxonomy — Why Vermont’s Equity Gaps Exist</w:t>
      </w:r>
      <w:bookmarkEnd w:id="1278"/>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fixed"/>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spacing w:before="280"/>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9" w:name="_Toc1278"/>
      <w:r>
        <w:rPr>
          <w:b/>
          <w:bCs/>
          <w:color w:val="161B22"/>
        </w:rPr>
        <w:t xml:space="preserve">Rural Equity — Vermont’s Defining Challenge</w:t>
      </w:r>
      <w:bookmarkEnd w:id="1279"/>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80" w:name="_Toc1279"/>
      <w:r>
        <w:rPr>
          <w:b/>
          <w:bCs/>
          <w:color w:val="161B22"/>
        </w:rPr>
        <w:t xml:space="preserve">The Northeast Kingdom: Vermont’s Equity Priority</w:t>
      </w:r>
      <w:bookmarkEnd w:id="1280"/>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81" w:name="_Toc1280"/>
      <w:r>
        <w:rPr>
          <w:b/>
          <w:bCs/>
          <w:color w:val="161B22"/>
        </w:rPr>
        <w:t xml:space="preserve">The GLP-1 Access Crisis — The Most Important New Equity Issue</w:t>
      </w:r>
      <w:bookmarkEnd w:id="1281"/>
    </w:p>
    <w:p>
      <w:pPr>
        <w:pStyle w:val="Heading3"/>
      </w:pPr>
      <w:r>
        <w:rPr>
          <w:color w:val="161B22"/>
        </w:rPr>
        <w:t xml:space="preserve">10.5.1  </w:t>
      </w:r>
      <w:bookmarkStart w:id="1282" w:name="_Toc1281"/>
      <w:r>
        <w:rPr>
          <w:b/>
          <w:bCs/>
          <w:color w:val="161B22"/>
        </w:rPr>
        <w:t xml:space="preserve">The GLP-1 Access Crisis — The Most Important New Equity Issue</w:t>
      </w:r>
      <w:bookmarkEnd w:id="1282"/>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83" w:name="_Toc1282"/>
      <w:r>
        <w:rPr>
          <w:b/>
          <w:bCs/>
          <w:color w:val="161B22"/>
        </w:rPr>
        <w:t xml:space="preserve">The BALANCE Model: A Partial Solution</w:t>
      </w:r>
      <w:bookmarkEnd w:id="1283"/>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84" w:name="_Toc1283"/>
      <w:r>
        <w:rPr>
          <w:b/>
          <w:bCs/>
          <w:color w:val="161B22"/>
        </w:rPr>
        <w:t xml:space="preserve">The GLP-1 Equity Implication for Vermont’s Transformation</w:t>
      </w:r>
      <w:bookmarkEnd w:id="1284"/>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85" w:name="_Toc1284"/>
      <w:r>
        <w:rPr>
          <w:b/>
          <w:bCs/>
          <w:color w:val="161B22"/>
        </w:rPr>
        <w:t xml:space="preserve">Vermont’s Equity Architecture — What Is Already Built and What Remains</w:t>
      </w:r>
      <w:bookmarkEnd w:id="1285"/>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6" w:name="_Toc1285"/>
      <w:r>
        <w:rPr>
          <w:b/>
          <w:bCs/>
          <w:color w:val="161B22"/>
        </w:rPr>
        <w:t xml:space="preserve">What Is Already Operational</w:t>
      </w:r>
      <w:bookmarkEnd w:id="1286"/>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7" w:name="_Toc1286"/>
      <w:r>
        <w:rPr>
          <w:b/>
          <w:bCs/>
          <w:color w:val="161B22"/>
        </w:rPr>
        <w:t xml:space="preserve">What Must Be Built</w:t>
      </w:r>
      <w:bookmarkEnd w:id="1287"/>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spacing w:before="120"/>
      </w:pPr>
      <w:r>
        <w:rPr>
          <w:i/>
          <w:iCs/>
        </w:rPr>
        <w:t xml:space="preserve">Figure 10.3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88" w:name="_Toc1287"/>
      <w:r>
        <w:rPr>
          <w:b/>
          <w:bCs/>
          <w:color w:val="161B22"/>
        </w:rPr>
        <w:t xml:space="preserve">Equity and the Six-Pillar Framework — How Every Pillar Has an Equity Dimension</w:t>
      </w:r>
      <w:bookmarkEnd w:id="1288"/>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spacing w:before="120"/>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9" w:name="_Toc1288"/>
      <w:r>
        <w:rPr>
          <w:b/>
          <w:bCs/>
          <w:color w:val="161B22"/>
        </w:rPr>
        <w:t xml:space="preserve">Vermont’s Equity Accountability Framework</w:t>
      </w:r>
      <w:bookmarkEnd w:id="1289"/>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spacing w:before="120"/>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90" w:name="_Toc1289"/>
      <w:r>
        <w:rPr>
          <w:b/>
          <w:bCs/>
          <w:color w:val="161B22"/>
        </w:rPr>
        <w:t xml:space="preserve">Work This Chapter on the Platform</w:t>
      </w:r>
      <w:bookmarkEnd w:id="1290"/>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Compute the HEROI composite across access, quality, outcome, SDOH burden, and trust</w:t>
            </w:r>
          </w:p>
        </w:tc>
        <w:tc>
          <w:tcPr>
            <w:tcW w:w="947"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4062" w:type="dxa"/>
          </w:tcPr>
          <w:p>
            <w:pPr>
              <w:pStyle w:val="Compact"/>
              <w:jc w:val="left"/>
            </w:pPr>
            <w:r>
              <w:rPr>
                <w:sz w:val="18"/>
              </w:rPr>
              <w:t xml:space="preserve">Whether an intervention closes the gap or just raises the average while the gap persists.</w:t>
            </w:r>
          </w:p>
        </w:tc>
      </w:tr>
      <w:tr>
        <w:trPr/>
        <w:tc>
          <w:tcPr>
            <w:tcW w:w="4062" w:type="dxa"/>
          </w:tcPr>
          <w:p>
            <w:pPr>
              <w:pStyle w:val="Compact"/>
              <w:jc w:val="left"/>
            </w:pPr>
            <w:r>
              <w:rPr>
                <w:sz w:val="18"/>
              </w:rPr>
              <w:t xml:space="preserve">Model disease progression and intervention ROI for a defined cohort</w:t>
            </w:r>
          </w:p>
        </w:tc>
        <w:tc>
          <w:tcPr>
            <w:tcW w:w="947"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4062" w:type="dxa"/>
          </w:tcPr>
          <w:p>
            <w:pPr>
              <w:pStyle w:val="Compact"/>
              <w:jc w:val="left"/>
            </w:pPr>
            <w:r>
              <w:rPr>
                <w:sz w:val="18"/>
              </w:rPr>
              <w:t xml:space="preserve">How upstream SDOH investment changes 5–10 year outcomes for the highest-risk segment.</w:t>
            </w:r>
          </w:p>
        </w:tc>
      </w:tr>
    </w:tbl>
    <w:p>
      <w:pPr>
        <w:pStyle w:val="Caption"/>
        <w:spacing w:before="120"/>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91" w:name="_Toc1290"/>
      <w:r>
        <w:rPr>
          <w:b/>
          <w:bCs/>
          <w:color w:val="161B22"/>
        </w:rPr>
        <w:t xml:space="preserve">Implications for You</w:t>
      </w:r>
      <w:bookmarkEnd w:id="1291"/>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92" w:name="_Toc1291"/>
      <w:r>
        <w:rPr>
          <w:b/>
          <w:bCs/>
          <w:color w:val="161B22"/>
        </w:rPr>
        <w:t xml:space="preserve">Measuring Equity: HEROI, HEDIS Stratification, and VBC Safeguards</w:t>
      </w:r>
      <w:bookmarkEnd w:id="1292"/>
    </w:p>
    <w:p>
      <w:pPr>
        <w:pStyle w:val="Heading2"/>
        <w:pBdr>
          <w:top w:val="single" w:sz="6" w:space="10" w:color="C9D2DF"/>
        </w:pBdr>
      </w:pPr>
      <w:r>
        <w:rPr>
          <w:color w:val="161B22"/>
        </w:rPr>
        <w:t xml:space="preserve">10.12  </w:t>
      </w:r>
      <w:bookmarkStart w:id="1293" w:name="_Toc1292"/>
      <w:r>
        <w:rPr>
          <w:b/>
          <w:bCs/>
          <w:color w:val="161B22"/>
        </w:rPr>
        <w:t xml:space="preserve">From Identifying Disparities to Eliminating Them</w:t>
      </w:r>
      <w:bookmarkEnd w:id="1293"/>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94" w:name="_Toc1293"/>
      <w:r>
        <w:rPr>
          <w:b/>
          <w:bCs/>
          <w:color w:val="161B22"/>
        </w:rPr>
        <w:t xml:space="preserve">Stratified HEDIS Measurement — The Foundation of Equity Analytics</w:t>
      </w:r>
      <w:bookmarkEnd w:id="1294"/>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95" w:name="_Toc1294"/>
      <w:r>
        <w:rPr>
          <w:b/>
          <w:bCs/>
          <w:color w:val="161B22"/>
        </w:rPr>
        <w:t xml:space="preserve">The NCQA HEDIS Stratification Framework</w:t>
      </w:r>
      <w:bookmarkEnd w:id="1295"/>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spacing w:before="120"/>
      </w:pPr>
      <w:r>
        <w:rPr>
          <w:i/>
          <w:iCs/>
        </w:rPr>
        <w:t xml:space="preserve">Table 10.1 — HEDIS domains and Vermont equity stratification measures. Source: NCQA; Vermont Blueprint.</w:t>
      </w:r>
    </w:p>
    <w:p>
      <w:pPr>
        <w:pStyle w:val="Heading2"/>
        <w:pBdr>
          <w:top w:val="single" w:sz="6" w:space="10" w:color="C9D2DF"/>
        </w:pBdr>
        <w:keepNext w:val="false"/>
      </w:pPr>
      <w:r>
        <w:rPr>
          <w:color w:val="161B22"/>
        </w:rPr>
        <w:t xml:space="preserve">10.14  </w:t>
      </w:r>
      <w:bookmarkStart w:id="1296" w:name="_Toc1295"/>
      <w:r>
        <w:rPr>
          <w:b/>
          <w:bCs/>
          <w:color w:val="161B22"/>
        </w:rPr>
        <w:t xml:space="preserve">Equity Pillar Implementation Matrix</w:t>
      </w:r>
      <w:bookmarkEnd w:id="1296"/>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spacing w:before="120"/>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7" w:name="_Toc1296"/>
      <w:r>
        <w:rPr>
          <w:b/>
          <w:bCs/>
          <w:color w:val="161B22"/>
        </w:rPr>
        <w:t xml:space="preserve">The Data Collection Challenge — Getting Demographic Data Right</w:t>
      </w:r>
      <w:bookmarkEnd w:id="1297"/>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8" w:name="_Toc1297"/>
      <w:r>
        <w:rPr>
          <w:b/>
          <w:bCs/>
          <w:color w:val="161B22"/>
        </w:rPr>
        <w:t xml:space="preserve">The HEROI Framework — A Composite Equity Score</w:t>
      </w:r>
      <w:bookmarkEnd w:id="1298"/>
    </w:p>
    <w:p>
      <w:pPr>
        <w:pStyle w:val="Heading3"/>
      </w:pPr>
      <w:r>
        <w:rPr>
          <w:color w:val="161B22"/>
        </w:rPr>
        <w:t xml:space="preserve">10.15.1  </w:t>
      </w:r>
      <w:bookmarkStart w:id="1299" w:name="_Toc1298"/>
      <w:r>
        <w:rPr>
          <w:b/>
          <w:bCs/>
          <w:color w:val="161B22"/>
        </w:rPr>
        <w:t xml:space="preserve">HEROI Composite Score — Five Dimensions</w:t>
      </w:r>
      <w:bookmarkEnd w:id="1299"/>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300" w:name="_Toc1299"/>
      <w:r>
        <w:rPr>
          <w:b/>
          <w:bCs/>
          <w:color w:val="161B22"/>
        </w:rPr>
        <w:t xml:space="preserve">HEROI Components</w:t>
      </w:r>
      <w:bookmarkEnd w:id="1300"/>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301" w:name="_Toc1300"/>
      <w:r>
        <w:rPr>
          <w:b/>
          <w:bCs/>
          <w:color w:val="161B22"/>
        </w:rPr>
        <w:t xml:space="preserve">Root Cause Analytics — Matching Interventions to Causes</w:t>
      </w:r>
      <w:bookmarkEnd w:id="1301"/>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302" w:name="_Toc1301"/>
      <w:r>
        <w:rPr>
          <w:b/>
          <w:bCs/>
          <w:color w:val="161B22"/>
        </w:rPr>
        <w:t xml:space="preserve">The Disparity Decomposition Method</w:t>
      </w:r>
      <w:bookmarkEnd w:id="1302"/>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303" w:name="_Toc1302"/>
      <w:r>
        <w:rPr>
          <w:b/>
          <w:bCs/>
          <w:color w:val="161B22"/>
        </w:rPr>
        <w:t xml:space="preserve">The Five-Step Disparity Closure Process</w:t>
      </w:r>
      <w:bookmarkEnd w:id="1303"/>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spacing w:before="120"/>
      </w:pPr>
      <w:r>
        <w:rPr>
          <w:i/>
          <w:iCs/>
        </w:rPr>
        <w:t xml:space="preserve">Figure 10.8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304" w:name="_Toc1303"/>
      <w:r>
        <w:rPr>
          <w:b/>
          <w:bCs/>
          <w:color w:val="161B22"/>
        </w:rPr>
        <w:t xml:space="preserve">Equity in VBC Contracting — Protecting Against Unintended Consequences</w:t>
      </w:r>
      <w:bookmarkEnd w:id="1304"/>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305" w:name="_Toc1304"/>
      <w:r>
        <w:rPr>
          <w:b/>
          <w:bCs/>
          <w:color w:val="161B22"/>
        </w:rPr>
        <w:t xml:space="preserve">Social Risk Adjustment — The Equity Design Requirement for VBC Contracts</w:t>
      </w:r>
      <w:bookmarkEnd w:id="1305"/>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6" w:name="_Toc1305"/>
      <w:r>
        <w:rPr>
          <w:b/>
          <w:bCs/>
          <w:color w:val="161B22"/>
        </w:rPr>
        <w:t xml:space="preserve">The VBC Equity Audit</w:t>
      </w:r>
      <w:bookmarkEnd w:id="1306"/>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7" w:name="_Toc1306"/>
      <w:r>
        <w:rPr>
          <w:b/>
          <w:bCs/>
          <w:color w:val="161B22"/>
        </w:rPr>
        <w:t xml:space="preserve">Vermont’s Population Health Equity Analytics Architecture</w:t>
      </w:r>
      <w:bookmarkEnd w:id="1307"/>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spacing w:before="120"/>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8" w:name="_Toc1307"/>
      <w:r>
        <w:rPr>
          <w:b/>
          <w:bCs/>
          <w:color w:val="161B22"/>
        </w:rPr>
        <w:t xml:space="preserve">Implications for You</w:t>
      </w:r>
      <w:bookmarkEnd w:id="1308"/>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9" w:name="_Toc1308"/>
      <w:r>
        <w:rPr>
          <w:b/>
          <w:bCs/>
          <w:color w:val="161B22"/>
        </w:rPr>
        <w:t xml:space="preserve">Key Concepts in This Chapter</w:t>
      </w:r>
      <w:bookmarkEnd w:id="1309"/>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10" w:name="_Toc1309"/>
      <w:r>
        <w:rPr>
          <w:b/>
          <w:bCs/>
          <w:color w:val="161B22"/>
        </w:rPr>
        <w:t xml:space="preserve">Chapter 11: The Operations Pillar — Executing Hospital System Transformation</w:t>
      </w:r>
      <w:bookmarkEnd w:id="131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11" w:name="_Toc1310"/>
      <w:r>
        <w:rPr>
          <w:b/>
          <w:bCs/>
          <w:color w:val="161B22"/>
        </w:rPr>
        <w:t xml:space="preserve">The Operations Pillar: Where Strategy Meets Reality</w:t>
      </w:r>
      <w:bookmarkEnd w:id="1311"/>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12" w:name="_Toc1311"/>
      <w:r>
        <w:rPr>
          <w:b/>
          <w:bCs/>
          <w:color w:val="161B22"/>
        </w:rPr>
        <w:t xml:space="preserve">The Vermont Transformation Operating Model</w:t>
      </w:r>
      <w:bookmarkEnd w:id="1312"/>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13" w:name="_Toc1312"/>
      <w:r>
        <w:rPr>
          <w:b/>
          <w:bCs/>
          <w:color w:val="161B22"/>
        </w:rPr>
        <w:t xml:space="preserve">The Institutional Architecture</w:t>
      </w:r>
      <w:bookmarkEnd w:id="1313"/>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spacing w:before="120"/>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14" w:name="_Toc1313"/>
      <w:r>
        <w:rPr>
          <w:b/>
          <w:bCs/>
          <w:color w:val="161B22"/>
        </w:rPr>
        <w:t xml:space="preserve">The Transformation Planning Sequence</w:t>
      </w:r>
      <w:bookmarkEnd w:id="1314"/>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spacing w:before="120"/>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15" w:name="_Toc1314"/>
      <w:r>
        <w:rPr>
          <w:b/>
          <w:bCs/>
          <w:color w:val="161B22"/>
        </w:rPr>
        <w:t xml:space="preserve">The RHRC Methodology — Technical Assistance for Rural Hospital Transformation</w:t>
      </w:r>
      <w:bookmarkEnd w:id="1315"/>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6" w:name="_Toc1315"/>
      <w:r>
        <w:rPr>
          <w:b/>
          <w:bCs/>
          <w:color w:val="161B22"/>
        </w:rPr>
        <w:t xml:space="preserve">What RHRC Did</w:t>
      </w:r>
      <w:bookmarkEnd w:id="1316"/>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7" w:name="_Toc1316"/>
      <w:r>
        <w:rPr>
          <w:b/>
          <w:bCs/>
          <w:color w:val="161B22"/>
        </w:rPr>
        <w:t xml:space="preserve">RHRC’s Four Workstreams at Each Hospital</w:t>
      </w:r>
      <w:bookmarkEnd w:id="1317"/>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8" w:name="_Toc1317"/>
      <w:r>
        <w:rPr>
          <w:b/>
          <w:bCs/>
          <w:color w:val="161B22"/>
        </w:rPr>
        <w:t xml:space="preserve">The Analytics Gap and Its Resolution</w:t>
      </w:r>
      <w:bookmarkEnd w:id="1318"/>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19" w:name="_Toc1318"/>
      <w:r>
        <w:rPr>
          <w:b/>
          <w:bCs/>
          <w:color w:val="161B22"/>
        </w:rPr>
        <w:t xml:space="preserve">The Vermont Hospital Performance Dashboard — Where Each Hospital Stands</w:t>
      </w:r>
      <w:bookmarkEnd w:id="1319"/>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spacing w:before="120"/>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spacing w:before="120"/>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20" w:name="_Toc1319"/>
      <w:r>
        <w:rPr>
          <w:b/>
          <w:bCs/>
          <w:color w:val="161B22"/>
        </w:rPr>
        <w:t xml:space="preserve">Regionalization — The Operational Logic of Right-Sizing a 14-Hospital System</w:t>
      </w:r>
      <w:bookmarkEnd w:id="1320"/>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21" w:name="_Toc1320"/>
      <w:r>
        <w:rPr>
          <w:b/>
          <w:bCs/>
          <w:color w:val="161B22"/>
        </w:rPr>
        <w:t xml:space="preserve">The Regional Network Design Framework</w:t>
      </w:r>
      <w:bookmarkEnd w:id="1321"/>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spacing w:before="120"/>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22" w:name="_Toc1321"/>
      <w:r>
        <w:rPr>
          <w:b/>
          <w:bCs/>
          <w:color w:val="161B22"/>
        </w:rPr>
        <w:t xml:space="preserve">The Operational Mechanics of Regionalization</w:t>
      </w:r>
      <w:bookmarkEnd w:id="1322"/>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23" w:name="_Toc1322"/>
      <w:r>
        <w:rPr>
          <w:b/>
          <w:bCs/>
          <w:color w:val="161B22"/>
        </w:rPr>
        <w:t xml:space="preserve">The Workforce Crisis — Vermont’s Most Binding Operational Constraint</w:t>
      </w:r>
      <w:bookmarkEnd w:id="13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24" w:name="_Toc1323"/>
      <w:r>
        <w:rPr>
          <w:b/>
          <w:bCs/>
          <w:color w:val="161B22"/>
        </w:rPr>
        <w:t xml:space="preserve">The Dimensions of Vermont’s Workforce Crisis</w:t>
      </w:r>
      <w:bookmarkEnd w:id="1324"/>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spacing w:before="120"/>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25" w:name="_Toc1324"/>
      <w:r>
        <w:rPr>
          <w:b/>
          <w:bCs/>
          <w:color w:val="161B22"/>
        </w:rPr>
        <w:t xml:space="preserve">Vermont’s Workforce Strategy: The RHT Investment Framework</w:t>
      </w:r>
      <w:bookmarkEnd w:id="1325"/>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6" w:name="_Toc1325"/>
      <w:r>
        <w:rPr>
          <w:b/>
          <w:bCs/>
          <w:color w:val="161B22"/>
        </w:rPr>
        <w:t xml:space="preserve">RHT Workforce Investment Priorities</w:t>
      </w:r>
      <w:bookmarkEnd w:id="1326"/>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7" w:name="_Toc1326"/>
      <w:r>
        <w:rPr>
          <w:b/>
          <w:bCs/>
          <w:color w:val="161B22"/>
        </w:rPr>
        <w:t xml:space="preserve">The Operations Metrics Framework — What AHS Must Track</w:t>
      </w:r>
      <w:bookmarkEnd w:id="1327"/>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spacing w:before="120"/>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28" w:name="_Toc1327"/>
      <w:r>
        <w:rPr>
          <w:b/>
          <w:bCs/>
          <w:color w:val="161B22"/>
        </w:rPr>
        <w:t xml:space="preserve">AHS as System Operator — Organizational Design for the 2028 Mandate</w:t>
      </w:r>
      <w:bookmarkEnd w:id="1328"/>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9" w:name="_Toc1328"/>
      <w:r>
        <w:rPr>
          <w:b/>
          <w:bCs/>
          <w:color w:val="161B22"/>
        </w:rPr>
        <w:t xml:space="preserve">The Current Organizational Gaps</w:t>
      </w:r>
      <w:bookmarkEnd w:id="1329"/>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30" w:name="_Toc1329"/>
      <w:r>
        <w:rPr>
          <w:b/>
          <w:bCs/>
          <w:color w:val="161B22"/>
        </w:rPr>
        <w:t xml:space="preserve">The Emerging Solution: A Population Health Management Operating Model</w:t>
      </w:r>
      <w:bookmarkEnd w:id="1330"/>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31" w:name="_Toc1330"/>
      <w:r>
        <w:rPr>
          <w:b/>
          <w:bCs/>
          <w:color w:val="161B22"/>
        </w:rPr>
        <w:t xml:space="preserve">Work This Chapter on the Platform</w:t>
      </w:r>
      <w:bookmarkEnd w:id="1331"/>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six-pillar transformation status against baseline and target</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Whether operational capacity is keeping pace with the statutory execution timeline.</w:t>
            </w:r>
          </w:p>
        </w:tc>
      </w:tr>
      <w:tr>
        <w:trPr/>
        <w:tc>
          <w:tcPr>
            <w:tcW w:w="4062" w:type="dxa"/>
          </w:tcPr>
          <w:p>
            <w:pPr>
              <w:pStyle w:val="Compact"/>
              <w:jc w:val="left"/>
            </w:pPr>
            <w:r>
              <w:rPr>
                <w:sz w:val="18"/>
              </w:rPr>
              <w:t xml:space="preserve">Project physician and nurse supply/demand and the cost of turnover</w:t>
            </w:r>
          </w:p>
        </w:tc>
        <w:tc>
          <w:tcPr>
            <w:tcW w:w="947"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4062" w:type="dxa"/>
          </w:tcPr>
          <w:p>
            <w:pPr>
              <w:pStyle w:val="Compact"/>
              <w:jc w:val="left"/>
            </w:pPr>
            <w:r>
              <w:rPr>
                <w:sz w:val="18"/>
              </w:rPr>
              <w:t xml:space="preserve">The workforce gap that the $1,303 per-discharge administrative-cost gap must fund closing.</w:t>
            </w:r>
          </w:p>
        </w:tc>
      </w:tr>
      <w:tr>
        <w:trPr/>
        <w:tc>
          <w:tcPr>
            <w:tcW w:w="4062" w:type="dxa"/>
          </w:tcPr>
          <w:p>
            <w:pPr>
              <w:pStyle w:val="Compact"/>
              <w:jc w:val="left"/>
            </w:pPr>
            <w:r>
              <w:rPr>
                <w:sz w:val="18"/>
              </w:rPr>
              <w:t xml:space="preserve">Model the RHT-funded CIN’s shared services against the $1,303/discharge administrative premium</w:t>
            </w:r>
          </w:p>
        </w:tc>
        <w:tc>
          <w:tcPr>
            <w:tcW w:w="947"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4062" w:type="dxa"/>
          </w:tcPr>
          <w:p>
            <w:pPr>
              <w:pStyle w:val="Compact"/>
              <w:jc w:val="left"/>
            </w:pPr>
            <w:r>
              <w:rPr>
                <w:sz w:val="18"/>
              </w:rPr>
              <w:t xml:space="preserve">Where consolidating billing, coding, credentialing, HR, and IT across the 14 hospitals reaches the scale that pays for itself.</w:t>
            </w:r>
          </w:p>
        </w:tc>
      </w:tr>
      <w:tr>
        <w:trPr/>
        <w:tc>
          <w:tcPr>
            <w:tcW w:w="4062" w:type="dxa"/>
          </w:tcPr>
          <w:p>
            <w:pPr>
              <w:pStyle w:val="Compact"/>
              <w:jc w:val="left"/>
            </w:pPr>
            <w:r>
              <w:rPr>
                <w:sz w:val="18"/>
              </w:rPr>
              <w:t xml:space="preserve">Model regionalizing Vermont’s 31 EMS agencies and community-paramedicine ED diversion</w:t>
            </w:r>
          </w:p>
        </w:tc>
        <w:tc>
          <w:tcPr>
            <w:tcW w:w="947"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4062" w:type="dxa"/>
          </w:tcPr>
          <w:p>
            <w:pPr>
              <w:pStyle w:val="Compact"/>
              <w:jc w:val="left"/>
            </w:pPr>
            <w:r>
              <w:rPr>
                <w:sz w:val="18"/>
              </w:rPr>
              <w:t xml:space="preserve">How treat-and-refer and regionalization convert fragmentation into margin under global budgets.</w:t>
            </w:r>
          </w:p>
        </w:tc>
      </w:tr>
      <w:tr>
        <w:trPr>
          <w:cantSplit/>
        </w:trPr>
        <w:tc>
          <w:tcPr>
            <w:tcW w:w="4062" w:type="dxa"/>
          </w:tcPr>
          <w:p>
            <w:pPr>
              <w:pStyle w:val="Compact"/>
              <w:jc w:val="left"/>
            </w:pPr>
            <w:r>
              <w:rPr>
                <w:sz w:val="18"/>
              </w:rPr>
              <w:t xml:space="preserve">Stress-test a hospital’s finances through the transition years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Whether the operations plan survives the FY2027-28 window, which is where transformation plans usually break.</w:t>
            </w:r>
          </w:p>
        </w:tc>
      </w:tr>
    </w:tbl>
    <w:p>
      <w:pPr>
        <w:pStyle w:val="Caption"/>
        <w:spacing w:before="120"/>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32" w:name="_Toc1331"/>
      <w:r>
        <w:rPr>
          <w:b/>
          <w:bCs/>
          <w:color w:val="161B22"/>
        </w:rPr>
        <w:t xml:space="preserve">Implications for You</w:t>
      </w:r>
      <w:bookmarkEnd w:id="1332"/>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33" w:name="_Toc1332"/>
      <w:r>
        <w:rPr>
          <w:b/>
          <w:bCs/>
          <w:color w:val="161B22"/>
        </w:rPr>
        <w:t xml:space="preserve">Revenue Cycle, HCC Coding, Credentialing, and Administrative Simplification</w:t>
      </w:r>
      <w:bookmarkEnd w:id="1333"/>
    </w:p>
    <w:p>
      <w:pPr>
        <w:pStyle w:val="Heading2"/>
        <w:pBdr>
          <w:top w:val="single" w:sz="6" w:space="10" w:color="C9D2DF"/>
        </w:pBdr>
      </w:pPr>
      <w:r>
        <w:rPr>
          <w:color w:val="161B22"/>
        </w:rPr>
        <w:t xml:space="preserve">11.12  </w:t>
      </w:r>
      <w:bookmarkStart w:id="1334" w:name="_Toc1333"/>
      <w:r>
        <w:rPr>
          <w:b/>
          <w:bCs/>
          <w:color w:val="161B22"/>
        </w:rPr>
        <w:t xml:space="preserve">Operations Where Money Actually Lives</w:t>
      </w:r>
      <w:bookmarkEnd w:id="1334"/>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35" w:name="_Toc1334"/>
      <w:r>
        <w:rPr>
          <w:b/>
          <w:bCs/>
          <w:color w:val="161B22"/>
        </w:rPr>
        <w:t xml:space="preserve">Revenue Cycle Transformation — From FFS Optimization to VBC Management</w:t>
      </w:r>
      <w:bookmarkEnd w:id="1335"/>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6" w:name="_Toc1335"/>
      <w:r>
        <w:rPr>
          <w:b/>
          <w:bCs/>
          <w:color w:val="161B22"/>
        </w:rPr>
        <w:t xml:space="preserve">Attribution Management — The VBC-Specific Revenue Function</w:t>
      </w:r>
      <w:bookmarkEnd w:id="1336"/>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spacing w:before="120"/>
      </w:pPr>
      <w:r>
        <w:rPr>
          <w:i/>
          <w:iCs/>
        </w:rPr>
        <w:t xml:space="preserve">Figure 11.8 — Attribution error taxonomy and remediation. Source: HTR’s Operations pillar framework; ACO REACH and MSSP operational guidance.</w:t>
      </w:r>
    </w:p>
    <w:p>
      <w:pPr>
        <w:pStyle w:val="Heading3"/>
      </w:pPr>
      <w:r>
        <w:rPr>
          <w:color w:val="161B22"/>
        </w:rPr>
        <w:t xml:space="preserve">11.13.2  </w:t>
      </w:r>
      <w:bookmarkStart w:id="1337" w:name="_Toc1336"/>
      <w:r>
        <w:rPr>
          <w:b/>
          <w:bCs/>
          <w:color w:val="161B22"/>
        </w:rPr>
        <w:t xml:space="preserve">Total Cost of Care Monitoring — Seeing What You Cannot Bill</w:t>
      </w:r>
      <w:bookmarkEnd w:id="1337"/>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8" w:name="_Toc1337"/>
      <w:r>
        <w:rPr>
          <w:b/>
          <w:bCs/>
          <w:color w:val="161B22"/>
        </w:rPr>
        <w:t xml:space="preserve">HCC Coding Excellence — The Risk Adjustment Foundation</w:t>
      </w:r>
      <w:bookmarkEnd w:id="1338"/>
    </w:p>
    <w:p>
      <w:pPr>
        <w:pStyle w:val="Heading3"/>
      </w:pPr>
      <w:r>
        <w:rPr>
          <w:color w:val="161B22"/>
        </w:rPr>
        <w:t xml:space="preserve">11.14.1  </w:t>
      </w:r>
      <w:bookmarkStart w:id="1339" w:name="_Toc1338"/>
      <w:r>
        <w:rPr>
          <w:b/>
          <w:bCs/>
          <w:color w:val="161B22"/>
        </w:rPr>
        <w:t xml:space="preserve">HCC Gap Closure: High-ROI Pre-AHEAD Action for Every Vermont Hospital</w:t>
      </w:r>
      <w:bookmarkEnd w:id="1339"/>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40" w:name="_Toc1339"/>
      <w:r>
        <w:rPr>
          <w:b/>
          <w:bCs/>
          <w:color w:val="161B22"/>
        </w:rPr>
        <w:t xml:space="preserve">The HCC Model — How It Works</w:t>
      </w:r>
      <w:bookmarkEnd w:id="1340"/>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41" w:name="_Toc1340"/>
      <w:r>
        <w:rPr>
          <w:b/>
          <w:bCs/>
          <w:color w:val="161B22"/>
        </w:rPr>
        <w:t xml:space="preserve">The HCC Gap Closure Process</w:t>
      </w:r>
      <w:bookmarkEnd w:id="1341"/>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42" w:name="_Toc1341"/>
      <w:r>
        <w:rPr>
          <w:b/>
          <w:bCs/>
          <w:color w:val="161B22"/>
        </w:rPr>
        <w:t xml:space="preserve">Credentialing Efficiency — The Hidden Operations Bottleneck</w:t>
      </w:r>
      <w:bookmarkEnd w:id="1342"/>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43" w:name="_Toc1342"/>
      <w:r>
        <w:rPr>
          <w:b/>
          <w:bCs/>
          <w:color w:val="161B22"/>
        </w:rPr>
        <w:t xml:space="preserve">Credentialing as a Transformation Bottleneck</w:t>
      </w:r>
      <w:bookmarkEnd w:id="1343"/>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44" w:name="_Toc1343"/>
      <w:r>
        <w:rPr>
          <w:b/>
          <w:bCs/>
          <w:color w:val="161B22"/>
        </w:rPr>
        <w:t xml:space="preserve">The Credentialing Efficiency Framework</w:t>
      </w:r>
      <w:bookmarkEnd w:id="1344"/>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45" w:name="_Toc1344"/>
      <w:r>
        <w:rPr>
          <w:b/>
          <w:bCs/>
          <w:color w:val="161B22"/>
        </w:rPr>
        <w:t xml:space="preserve">Workforce Operations — Managing the Care Team in a Transformed System</w:t>
      </w:r>
      <w:bookmarkEnd w:id="1345"/>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6" w:name="_Toc1345"/>
      <w:r>
        <w:rPr>
          <w:b/>
          <w:bCs/>
          <w:color w:val="161B22"/>
        </w:rPr>
        <w:t xml:space="preserve">The Workforce Supply Challenge — What Can Actually Be Done</w:t>
      </w:r>
      <w:bookmarkEnd w:id="1346"/>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7" w:name="_Toc1346"/>
      <w:r>
        <w:rPr>
          <w:b/>
          <w:bCs/>
          <w:color w:val="161B22"/>
        </w:rPr>
        <w:t xml:space="preserve">Workforce Deployment — Team-Based Care at Scale</w:t>
      </w:r>
      <w:bookmarkEnd w:id="1347"/>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8" w:name="_Toc1347"/>
      <w:r>
        <w:rPr>
          <w:b/>
          <w:bCs/>
          <w:color w:val="161B22"/>
        </w:rPr>
        <w:t xml:space="preserve">Workforce Retention — The Math of Turnover</w:t>
      </w:r>
      <w:bookmarkEnd w:id="1348"/>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9" w:name="_Toc1348"/>
      <w:r>
        <w:rPr>
          <w:b/>
          <w:bCs/>
          <w:color w:val="161B22"/>
        </w:rPr>
        <w:t xml:space="preserve">Administrative Simplification — The Vermont Agenda</w:t>
      </w:r>
      <w:bookmarkEnd w:id="1349"/>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50" w:name="_Toc1349"/>
      <w:r>
        <w:rPr>
          <w:b/>
          <w:bCs/>
          <w:color w:val="161B22"/>
        </w:rPr>
        <w:t xml:space="preserve">The Vermont Administrative Simplification Priorities</w:t>
      </w:r>
      <w:bookmarkEnd w:id="1350"/>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51" w:name="_Toc1350"/>
      <w:r>
        <w:rPr>
          <w:b/>
          <w:bCs/>
          <w:color w:val="161B22"/>
        </w:rPr>
        <w:t xml:space="preserve">Operations Pillar Implementation Matrix</w:t>
      </w:r>
      <w:bookmarkEnd w:id="1351"/>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spacing w:before="280"/>
      </w:pPr>
      <w:r>
        <w:rPr>
          <w:color w:val="161B22"/>
        </w:rPr>
        <w:t xml:space="preserve">11.19  </w:t>
      </w:r>
      <w:bookmarkStart w:id="1352" w:name="_Toc1351"/>
      <w:r>
        <w:rPr>
          <w:b/>
          <w:bCs/>
          <w:color w:val="161B22"/>
        </w:rPr>
        <w:t xml:space="preserve">Implications for You</w:t>
      </w:r>
      <w:bookmarkEnd w:id="1352"/>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53" w:name="_Toc1352"/>
      <w:r>
        <w:rPr>
          <w:b/>
          <w:bCs/>
          <w:color w:val="161B22"/>
        </w:rPr>
        <w:t xml:space="preserve">Key Concepts in This Chapter</w:t>
      </w:r>
      <w:bookmarkEnd w:id="1353"/>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54" w:name="_Toc1353"/>
      <w:r>
        <w:rPr>
          <w:b/>
          <w:bCs/>
          <w:color w:val="161B22"/>
        </w:rPr>
        <w:t xml:space="preserve">Chapter 12: Infrastructure for Knowledge Transfer and Implementation</w:t>
      </w:r>
      <w:bookmarkEnd w:id="135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55" w:name="_Toc1354"/>
      <w:r>
        <w:rPr>
          <w:b/>
          <w:bCs/>
          <w:color w:val="161B22"/>
        </w:rPr>
        <w:t xml:space="preserve">The Gap Between Understanding and Doing</w:t>
      </w:r>
      <w:bookmarkEnd w:id="1355"/>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6" w:name="_Toc1355"/>
      <w:r>
        <w:rPr>
          <w:b/>
          <w:bCs/>
          <w:color w:val="161B22"/>
        </w:rPr>
        <w:t xml:space="preserve">The Knowledge and Implementation Infrastructure</w:t>
      </w:r>
      <w:bookmarkEnd w:id="1356"/>
    </w:p>
    <w:p>
      <w:pPr>
        <w:pStyle w:val="Heading3"/>
      </w:pPr>
      <w:r>
        <w:rPr>
          <w:color w:val="161B22"/>
        </w:rPr>
        <w:t xml:space="preserve">12.2.1  </w:t>
      </w:r>
      <w:bookmarkStart w:id="1357" w:name="_Toc1356"/>
      <w:r>
        <w:rPr>
          <w:b/>
          <w:bCs/>
          <w:color w:val="161B22"/>
        </w:rPr>
        <w:t xml:space="preserve">The HTR Platform — Four Components</w:t>
      </w:r>
      <w:bookmarkEnd w:id="1357"/>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58" w:name="_Toc1357"/>
      <w:r>
        <w:rPr>
          <w:b/>
          <w:bCs/>
          <w:color w:val="161B22"/>
        </w:rPr>
        <w:t xml:space="preserve">Four Components of the HTR Platform</w:t>
      </w:r>
      <w:bookmarkEnd w:id="1358"/>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spacing w:before="120"/>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9" w:name="_Toc1358"/>
      <w:r>
        <w:rPr>
          <w:b/>
          <w:bCs/>
          <w:color w:val="161B22"/>
        </w:rPr>
        <w:t xml:space="preserve">The Transformation Advisory Domains — Structured for the Six Pillars</w:t>
      </w:r>
      <w:bookmarkEnd w:id="1359"/>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60" w:name="_Toc1359"/>
      <w:r>
        <w:rPr>
          <w:b/>
          <w:bCs/>
          <w:color w:val="161B22"/>
        </w:rPr>
        <w:t xml:space="preserve">Policy Strategy</w:t>
      </w:r>
      <w:bookmarkEnd w:id="1360"/>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61" w:name="_Toc1360"/>
      <w:r>
        <w:rPr>
          <w:b/>
          <w:bCs/>
          <w:color w:val="161B22"/>
        </w:rPr>
        <w:t xml:space="preserve">VBC Economics</w:t>
      </w:r>
      <w:bookmarkEnd w:id="1361"/>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62" w:name="_Toc1361"/>
      <w:r>
        <w:rPr>
          <w:b/>
          <w:bCs/>
          <w:color w:val="161B22"/>
        </w:rPr>
        <w:t xml:space="preserve">Health Equity Practice</w:t>
      </w:r>
      <w:bookmarkEnd w:id="1362"/>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63" w:name="_Toc1362"/>
      <w:r>
        <w:rPr>
          <w:b/>
          <w:bCs/>
          <w:color w:val="161B22"/>
        </w:rPr>
        <w:t xml:space="preserve">Technology Strategy</w:t>
      </w:r>
      <w:bookmarkEnd w:id="1363"/>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64" w:name="_Toc1363"/>
      <w:r>
        <w:rPr>
          <w:b/>
          <w:bCs/>
          <w:color w:val="161B22"/>
        </w:rPr>
        <w:t xml:space="preserve">Transformation Management</w:t>
      </w:r>
      <w:bookmarkEnd w:id="1364"/>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65" w:name="_Toc1364"/>
      <w:r>
        <w:rPr>
          <w:b/>
          <w:bCs/>
          <w:color w:val="161B22"/>
        </w:rPr>
        <w:t xml:space="preserve">The Change Management Science Behind Healthcare Transformation</w:t>
      </w:r>
      <w:bookmarkEnd w:id="1365"/>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6" w:name="_Toc1365"/>
      <w:r>
        <w:rPr>
          <w:b/>
          <w:bCs/>
          <w:color w:val="161B22"/>
        </w:rPr>
        <w:t xml:space="preserve">Kotter’s Framework Applied to Healthcare Transformation</w:t>
      </w:r>
      <w:bookmarkEnd w:id="1366"/>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spacing w:before="120"/>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7" w:name="_Toc1366"/>
      <w:r>
        <w:rPr>
          <w:b/>
          <w:bCs/>
          <w:color w:val="161B22"/>
        </w:rPr>
        <w:t xml:space="preserve">The Transformation Pace Problem</w:t>
      </w:r>
      <w:bookmarkEnd w:id="1367"/>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68" w:name="_Toc1367"/>
      <w:r>
        <w:rPr>
          <w:b/>
          <w:bCs/>
          <w:color w:val="161B22"/>
        </w:rPr>
        <w:t xml:space="preserve">The HTR Implementation Toolkit</w:t>
      </w:r>
      <w:bookmarkEnd w:id="1368"/>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spacing w:before="120"/>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9" w:name="_Toc1368"/>
      <w:r>
        <w:rPr>
          <w:b/>
          <w:bCs/>
          <w:color w:val="161B22"/>
        </w:rPr>
        <w:t xml:space="preserve">A Framework for Selecting Advisory Support</w:t>
      </w:r>
      <w:bookmarkEnd w:id="1369"/>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70" w:name="_Toc1369"/>
      <w:r>
        <w:rPr>
          <w:b/>
          <w:bCs/>
          <w:color w:val="161B22"/>
        </w:rPr>
        <w:t xml:space="preserve">The Role of External Technical Assistance in State-Level Transformation</w:t>
      </w:r>
      <w:bookmarkEnd w:id="1370"/>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71" w:name="_Toc1370"/>
      <w:r>
        <w:rPr>
          <w:b/>
          <w:bCs/>
          <w:color w:val="161B22"/>
        </w:rPr>
        <w:t xml:space="preserve">Work This Chapter on the Platform</w:t>
      </w:r>
      <w:bookmarkEnd w:id="1371"/>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Search the evidence base behind a claim before you cite it in your own work</w:t>
            </w:r>
          </w:p>
        </w:tc>
        <w:tc>
          <w:tcPr>
            <w:tcW w:w="947" w:type="dxa"/>
          </w:tcPr>
          <w:p>
            <w:pPr>
              <w:pStyle w:val="Compact"/>
              <w:jc w:val="left"/>
            </w:pPr>
            <w:hyperlink r:id="rId405">
              <w:r>
                <w:rPr>
                  <w:rStyle w:val="Hyperlink"/>
                  <w:b/>
                  <w:bCs/>
                </w:rPr>
                <w:t xml:space="preserve">Evidence Library</w:t>
              </w:r>
            </w:hyperlink>
          </w:p>
        </w:tc>
        <w:tc>
          <w:tcPr>
            <w:tcW w:w="4062"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4062" w:type="dxa"/>
          </w:tcPr>
          <w:p>
            <w:pPr>
              <w:pStyle w:val="Compact"/>
              <w:jc w:val="left"/>
            </w:pPr>
            <w:r>
              <w:rPr>
                <w:sz w:val="18"/>
              </w:rPr>
              <w:t xml:space="preserve">Assemble your own analysis using the book’s frameworks rather than reading someone else’s</w:t>
            </w:r>
          </w:p>
        </w:tc>
        <w:tc>
          <w:tcPr>
            <w:tcW w:w="947" w:type="dxa"/>
          </w:tcPr>
          <w:p>
            <w:pPr>
              <w:pStyle w:val="Compact"/>
              <w:jc w:val="left"/>
            </w:pPr>
            <w:hyperlink r:id="rId406">
              <w:r>
                <w:rPr>
                  <w:rStyle w:val="Hyperlink"/>
                  <w:b/>
                  <w:bCs/>
                </w:rPr>
                <w:t xml:space="preserve">Research Workspace</w:t>
              </w:r>
            </w:hyperlink>
          </w:p>
        </w:tc>
        <w:tc>
          <w:tcPr>
            <w:tcW w:w="4062" w:type="dxa"/>
          </w:tcPr>
          <w:p>
            <w:pPr>
              <w:pStyle w:val="Compact"/>
              <w:jc w:val="left"/>
            </w:pPr>
            <w:r>
              <w:rPr>
                <w:sz w:val="18"/>
              </w:rPr>
              <w:t xml:space="preserve">How quickly a framework you understood abstractly becomes concrete once you supply your own organization’s numbers.</w:t>
            </w:r>
          </w:p>
        </w:tc>
      </w:tr>
      <w:tr>
        <w:trPr>
          <w:cantSplit/>
        </w:trPr>
        <w:tc>
          <w:tcPr>
            <w:tcW w:w="4062" w:type="dxa"/>
          </w:tcPr>
          <w:p>
            <w:pPr>
              <w:pStyle w:val="Compact"/>
              <w:jc w:val="left"/>
            </w:pPr>
            <w:r>
              <w:rPr>
                <w:sz w:val="18"/>
              </w:rPr>
              <w:t xml:space="preserve">Ask a question in plain language and get routed to the framework, chapter, and tool that answer it</w:t>
            </w:r>
          </w:p>
        </w:tc>
        <w:tc>
          <w:tcPr>
            <w:tcW w:w="947" w:type="dxa"/>
          </w:tcPr>
          <w:p>
            <w:pPr>
              <w:pStyle w:val="Compact"/>
              <w:jc w:val="left"/>
            </w:pPr>
            <w:hyperlink r:id="rId24">
              <w:r>
                <w:rPr>
                  <w:rStyle w:val="Hyperlink"/>
                  <w:b/>
                  <w:bCs/>
                </w:rPr>
                <w:t xml:space="preserve">AI Analyst</w:t>
              </w:r>
            </w:hyperlink>
          </w:p>
        </w:tc>
        <w:tc>
          <w:tcPr>
            <w:tcW w:w="4062"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spacing w:before="120"/>
      </w:pPr>
      <w:r>
        <w:rPr>
          <w:i/>
          <w:iCs/>
        </w:rPr>
        <w:t xml:space="preserve">Figure 12.H — Hands-on platform tools for Chapter 12: turning knowledge into implementation.</w:t>
      </w:r>
    </w:p>
    <w:p>
      <w:pPr>
        <w:pStyle w:val="Heading2"/>
        <w:pBdr>
          <w:top w:val="single" w:sz="6" w:space="10" w:color="C9D2DF"/>
        </w:pBdr>
      </w:pPr>
      <w:r>
        <w:rPr>
          <w:color w:val="161B22"/>
        </w:rPr>
        <w:t xml:space="preserve">12.9  </w:t>
      </w:r>
      <w:bookmarkStart w:id="1372" w:name="_Toc1371"/>
      <w:r>
        <w:rPr>
          <w:b/>
          <w:bCs/>
          <w:color w:val="161B22"/>
        </w:rPr>
        <w:t xml:space="preserve">Implications for You</w:t>
      </w:r>
      <w:bookmarkEnd w:id="1372"/>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73" w:name="_Toc1372"/>
      <w:r>
        <w:rPr>
          <w:b/>
          <w:bCs/>
          <w:color w:val="161B22"/>
        </w:rPr>
        <w:t xml:space="preserve">Key Concepts in This Chapter</w:t>
      </w:r>
      <w:bookmarkEnd w:id="1373"/>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74" w:name="_Toc1373"/>
      <w:r>
        <w:rPr>
          <w:b/>
          <w:bCs/>
          <w:color w:val="161B22"/>
        </w:rPr>
        <w:t xml:space="preserve">Chapter 13 — The Future of Healthcare Transformation: 2026, What Vermont Proves, and What Remains</w:t>
      </w:r>
      <w:bookmarkEnd w:id="137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75" w:name="_Toc1374"/>
      <w:r>
        <w:rPr>
          <w:b/>
          <w:bCs/>
          <w:color w:val="161B22"/>
        </w:rPr>
        <w:t xml:space="preserve">Vermont Transformation Scorecard: Six-Pillar Status, April 2026</w:t>
      </w:r>
      <w:bookmarkEnd w:id="1375"/>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spacing w:before="120"/>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6" w:name="_Toc1375"/>
      <w:r>
        <w:rPr>
          <w:b/>
          <w:bCs/>
          <w:color w:val="161B22"/>
        </w:rPr>
        <w:t xml:space="preserve">Where the System Stands in April 2026 — A Necessary Update</w:t>
      </w:r>
      <w:bookmarkEnd w:id="1376"/>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spacing w:before="120"/>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7" w:name="_Toc1376"/>
      <w:r>
        <w:rPr>
          <w:b/>
          <w:bCs/>
          <w:color w:val="161B22"/>
        </w:rPr>
        <w:t xml:space="preserve">Five Forces Shaping the Next Decade</w:t>
      </w:r>
      <w:bookmarkEnd w:id="1377"/>
    </w:p>
    <w:p>
      <w:pPr>
        <w:pStyle w:val="Heading3"/>
      </w:pPr>
      <w:r>
        <w:rPr>
          <w:color w:val="161B22"/>
        </w:rPr>
        <w:t xml:space="preserve">13.3.1  </w:t>
      </w:r>
      <w:bookmarkStart w:id="1378" w:name="_Toc1377"/>
      <w:r>
        <w:rPr>
          <w:b/>
          <w:bCs/>
          <w:color w:val="161B22"/>
        </w:rPr>
        <w:t xml:space="preserve">Force 1: The Medicaid–RHT Tension — the Defining Policy Dynamic</w:t>
      </w:r>
      <w:bookmarkEnd w:id="1378"/>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9" w:name="_Toc1378"/>
      <w:r>
        <w:rPr>
          <w:b/>
          <w:bCs/>
          <w:color w:val="161B22"/>
        </w:rPr>
        <w:t xml:space="preserve">Force 2: AI Clinical Transformation — Accelerating Faster Than Governance</w:t>
      </w:r>
      <w:bookmarkEnd w:id="1379"/>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80" w:name="_Toc1379"/>
      <w:r>
        <w:rPr>
          <w:b/>
          <w:bCs/>
          <w:color w:val="161B22"/>
        </w:rPr>
        <w:t xml:space="preserve">Force 3: The Demographic Reckoning — No Longer a Future Problem</w:t>
      </w:r>
      <w:bookmarkEnd w:id="1380"/>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81" w:name="_Toc1380"/>
      <w:r>
        <w:rPr>
          <w:b/>
          <w:bCs/>
          <w:color w:val="161B22"/>
        </w:rPr>
        <w:t xml:space="preserve">Force 4: The Drug-Pricing Reckoning — Complexity Compounding</w:t>
      </w:r>
      <w:bookmarkEnd w:id="1381"/>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82" w:name="_Toc1381"/>
      <w:r>
        <w:rPr>
          <w:b/>
          <w:bCs/>
          <w:color w:val="161B22"/>
        </w:rPr>
        <w:t xml:space="preserve">Force 5: The Value-Based-Care Tipping Point — Still Approaching</w:t>
      </w:r>
      <w:bookmarkEnd w:id="1382"/>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83" w:name="_Toc1382"/>
      <w:r>
        <w:rPr>
          <w:b/>
          <w:bCs/>
          <w:color w:val="161B22"/>
        </w:rPr>
        <w:t xml:space="preserve">The Six-Pillar Forecast: 2026–2035</w:t>
      </w:r>
      <w:bookmarkEnd w:id="1383"/>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spacing w:before="120"/>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84" w:name="_Toc1383"/>
      <w:r>
        <w:rPr>
          <w:b/>
          <w:bCs/>
          <w:color w:val="161B22"/>
        </w:rPr>
        <w:t xml:space="preserve">Vermont’s Ten-Year Trajectory: Two Scenarios</w:t>
      </w:r>
      <w:bookmarkEnd w:id="1384"/>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85" w:name="_Toc1384"/>
      <w:r>
        <w:rPr>
          <w:b/>
          <w:bCs/>
          <w:color w:val="161B22"/>
        </w:rPr>
        <w:t xml:space="preserve">The Transformation-Success Scenario</w:t>
      </w:r>
      <w:bookmarkEnd w:id="1385"/>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6" w:name="_Toc1385"/>
      <w:r>
        <w:rPr>
          <w:b/>
          <w:bCs/>
          <w:color w:val="161B22"/>
        </w:rPr>
        <w:t xml:space="preserve">The Partial-Transformation Scenario</w:t>
      </w:r>
      <w:bookmarkEnd w:id="1386"/>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7" w:name="_Toc1386"/>
      <w:r>
        <w:rPr>
          <w:b/>
          <w:bCs/>
          <w:color w:val="161B22"/>
        </w:rPr>
        <w:t xml:space="preserve">Vermont as National Template — The Decisions That Will Determine Outcomes</w:t>
      </w:r>
      <w:bookmarkEnd w:id="1387"/>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spacing w:before="120"/>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88" w:name="_Toc1387"/>
      <w:r>
        <w:rPr>
          <w:b/>
          <w:bCs/>
          <w:color w:val="161B22"/>
        </w:rPr>
        <w:t xml:space="preserve">Work This Chapter on the Platform</w:t>
      </w:r>
      <w:bookmarkEnd w:id="1388"/>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Vermont’s six-pillar status as it moves, rather than at the single April 2026 snapshot this chapter reports</w:t>
            </w:r>
          </w:p>
        </w:tc>
        <w:tc>
          <w:tcPr>
            <w:tcW w:w="947" w:type="dxa"/>
          </w:tcPr>
          <w:p>
            <w:pPr>
              <w:pStyle w:val="Compact"/>
              <w:jc w:val="left"/>
            </w:pPr>
            <w:hyperlink r:id="rId424">
              <w:r>
                <w:rPr>
                  <w:rStyle w:val="Hyperlink"/>
                  <w:b/>
                  <w:bCs/>
                </w:rPr>
                <w:t xml:space="preserve">HTI Dashboard</w:t>
              </w:r>
            </w:hyperlink>
          </w:p>
        </w:tc>
        <w:tc>
          <w:tcPr>
            <w:tcW w:w="4062"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4062" w:type="dxa"/>
          </w:tcPr>
          <w:p>
            <w:pPr>
              <w:pStyle w:val="Compact"/>
              <w:jc w:val="left"/>
            </w:pPr>
            <w:r>
              <w:rPr>
                <w:sz w:val="18"/>
              </w:rPr>
              <w:t xml:space="preserve">Compare Vermont against the other states pursuing structural reform</w:t>
            </w:r>
          </w:p>
        </w:tc>
        <w:tc>
          <w:tcPr>
            <w:tcW w:w="947" w:type="dxa"/>
          </w:tcPr>
          <w:p>
            <w:pPr>
              <w:pStyle w:val="Compact"/>
              <w:jc w:val="left"/>
            </w:pPr>
            <w:hyperlink r:id="rId425">
              <w:r>
                <w:rPr>
                  <w:rStyle w:val="Hyperlink"/>
                  <w:b/>
                  <w:bCs/>
                </w:rPr>
                <w:t xml:space="preserve">Innovation Leaderboard</w:t>
              </w:r>
            </w:hyperlink>
          </w:p>
        </w:tc>
        <w:tc>
          <w:tcPr>
            <w:tcW w:w="4062"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4062" w:type="dxa"/>
          </w:tcPr>
          <w:p>
            <w:pPr>
              <w:pStyle w:val="Compact"/>
              <w:jc w:val="left"/>
            </w:pPr>
            <w:r>
              <w:rPr>
                <w:sz w:val="18"/>
              </w:rPr>
              <w:t xml:space="preserve">Follow the policy and regulatory record as it is made</w:t>
            </w:r>
          </w:p>
        </w:tc>
        <w:tc>
          <w:tcPr>
            <w:tcW w:w="947" w:type="dxa"/>
          </w:tcPr>
          <w:p>
            <w:pPr>
              <w:pStyle w:val="Compact"/>
              <w:jc w:val="left"/>
            </w:pPr>
            <w:hyperlink r:id="rId426">
              <w:r>
                <w:rPr>
                  <w:rStyle w:val="Hyperlink"/>
                  <w:b/>
                  <w:bCs/>
                </w:rPr>
                <w:t xml:space="preserve">The Wire</w:t>
              </w:r>
            </w:hyperlink>
          </w:p>
        </w:tc>
        <w:tc>
          <w:tcPr>
            <w:tcW w:w="4062"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4062" w:type="dxa"/>
          </w:tcPr>
          <w:p>
            <w:pPr>
              <w:pStyle w:val="Compact"/>
              <w:jc w:val="left"/>
            </w:pPr>
            <w:r>
              <w:rPr>
                <w:sz w:val="18"/>
              </w:rPr>
              <w:t xml:space="preserve">Score a state’s readiness on the six pillars and test the chapter’s scenarios yourself</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What has to be true, pillar by pillar, for the optimistic scenario rather than the pessimistic one to hold.</w:t>
            </w:r>
          </w:p>
        </w:tc>
      </w:tr>
    </w:tbl>
    <w:p>
      <w:pPr>
        <w:pStyle w:val="Caption"/>
        <w:spacing w:before="120"/>
      </w:pPr>
      <w:r>
        <w:rPr>
          <w:i/>
          <w:iCs/>
        </w:rPr>
        <w:t xml:space="preserve">Figure 13.H — Hands-on platform tools for Chapter 13: tracking the forecast against the record.</w:t>
      </w:r>
    </w:p>
    <w:p>
      <w:pPr>
        <w:pStyle w:val="Heading2"/>
        <w:pBdr>
          <w:top w:val="single" w:sz="6" w:space="10" w:color="C9D2DF"/>
        </w:pBdr>
      </w:pPr>
      <w:r>
        <w:rPr>
          <w:color w:val="161B22"/>
        </w:rPr>
        <w:t xml:space="preserve">13.8  </w:t>
      </w:r>
      <w:bookmarkStart w:id="1389" w:name="_Toc1388"/>
      <w:r>
        <w:rPr>
          <w:b/>
          <w:bCs/>
          <w:color w:val="161B22"/>
        </w:rPr>
        <w:t xml:space="preserve">Implications for You</w:t>
      </w:r>
      <w:bookmarkEnd w:id="1389"/>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90" w:name="_Toc1389"/>
      <w:r>
        <w:rPr>
          <w:b/>
          <w:bCs/>
          <w:color w:val="161B22"/>
        </w:rPr>
        <w:t xml:space="preserve">Key Concepts in This Chapter</w:t>
      </w:r>
      <w:bookmarkEnd w:id="1390"/>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91" w:name="_Toc1390"/>
      <w:r>
        <w:rPr>
          <w:b/>
          <w:bCs/>
          <w:color w:val="161B22"/>
        </w:rPr>
        <w:t xml:space="preserve">A Closing Note: What This Book Is Betting On</w:t>
      </w:r>
      <w:bookmarkEnd w:id="1391"/>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92" w:name="_Toc1391"/>
      <w:r>
        <w:rPr>
          <w:b/>
          <w:bCs/>
          <w:color w:val="161B22"/>
        </w:rPr>
        <w:t xml:space="preserve">Chapter 14 — Political Sustainability: Protecting Transformation Across Election Cycles</w:t>
      </w:r>
      <w:bookmarkEnd w:id="139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93" w:name="_Toc1392"/>
      <w:r>
        <w:rPr>
          <w:b/>
          <w:bCs/>
          <w:color w:val="161B22"/>
        </w:rPr>
        <w:t xml:space="preserve">Why Political Sustainability Is an Analytical Problem, Not Only a Political One</w:t>
      </w:r>
      <w:bookmarkEnd w:id="1393"/>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94" w:name="_Toc1393"/>
      <w:r>
        <w:rPr>
          <w:b/>
          <w:bCs/>
          <w:color w:val="161B22"/>
        </w:rPr>
        <w:t xml:space="preserve">The Structural Durability of Vermont’s Reform Architecture</w:t>
      </w:r>
      <w:bookmarkEnd w:id="1394"/>
    </w:p>
    <w:p>
      <w:pPr>
        <w:pStyle w:val="Heading3"/>
      </w:pPr>
      <w:r>
        <w:rPr>
          <w:color w:val="161B22"/>
        </w:rPr>
        <w:t xml:space="preserve">14.2.1  </w:t>
      </w:r>
      <w:bookmarkStart w:id="1395" w:name="_Toc1394"/>
      <w:r>
        <w:rPr>
          <w:b/>
          <w:bCs/>
          <w:color w:val="161B22"/>
        </w:rPr>
        <w:t xml:space="preserve">What Is Hard to Reverse</w:t>
      </w:r>
      <w:bookmarkEnd w:id="1395"/>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6" w:name="_Toc1395"/>
      <w:r>
        <w:rPr>
          <w:b/>
          <w:bCs/>
          <w:color w:val="161B22"/>
        </w:rPr>
        <w:t xml:space="preserve">What Is Politically Exposed</w:t>
      </w:r>
      <w:bookmarkEnd w:id="1396"/>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7" w:name="_Toc1396"/>
      <w:r>
        <w:rPr>
          <w:b/>
          <w:bCs/>
          <w:color w:val="161B22"/>
        </w:rPr>
        <w:t xml:space="preserve">Early-Warning Signals of Political Risk</w:t>
      </w:r>
      <w:bookmarkEnd w:id="1397"/>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spacing w:before="120"/>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98" w:name="_Toc1397"/>
      <w:r>
        <w:rPr>
          <w:b/>
          <w:bCs/>
          <w:color w:val="161B22"/>
        </w:rPr>
        <w:t xml:space="preserve">Organizational Strategies for Political Risk Management</w:t>
      </w:r>
      <w:bookmarkEnd w:id="1398"/>
    </w:p>
    <w:p>
      <w:pPr>
        <w:pStyle w:val="Heading3"/>
      </w:pPr>
      <w:r>
        <w:rPr>
          <w:color w:val="161B22"/>
        </w:rPr>
        <w:t xml:space="preserve">14.4.1  </w:t>
      </w:r>
      <w:bookmarkStart w:id="1399" w:name="_Toc1398"/>
      <w:r>
        <w:rPr>
          <w:b/>
          <w:bCs/>
          <w:color w:val="161B22"/>
        </w:rPr>
        <w:t xml:space="preserve">Strategy 1 — Build investments that are hard to reverse</w:t>
      </w:r>
      <w:bookmarkEnd w:id="1399"/>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400" w:name="_Toc1399"/>
      <w:r>
        <w:rPr>
          <w:b/>
          <w:bCs/>
          <w:color w:val="161B22"/>
        </w:rPr>
        <w:t xml:space="preserve">Strategy 2 — Engage the regulatory process early and substantively</w:t>
      </w:r>
      <w:bookmarkEnd w:id="1400"/>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401" w:name="_Toc1400"/>
      <w:r>
        <w:rPr>
          <w:b/>
          <w:bCs/>
          <w:color w:val="161B22"/>
        </w:rPr>
        <w:t xml:space="preserve">Strategy 3 — Maintain scenario plans for policy disruption</w:t>
      </w:r>
      <w:bookmarkEnd w:id="1401"/>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spacing w:before="120"/>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402" w:name="_Toc1401"/>
      <w:r>
        <w:rPr>
          <w:b/>
          <w:bCs/>
          <w:color w:val="161B22"/>
        </w:rPr>
        <w:t xml:space="preserve">Strategy 4 — Document and communicate transformation progress</w:t>
      </w:r>
      <w:bookmarkEnd w:id="1402"/>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403" w:name="_Toc1402"/>
      <w:r>
        <w:rPr>
          <w:b/>
          <w:bCs/>
          <w:color w:val="161B22"/>
        </w:rPr>
        <w:t xml:space="preserve">Vermont’s Reform Cascade as Political-Sustainability Architecture</w:t>
      </w:r>
      <w:bookmarkEnd w:id="1403"/>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404" w:name="_Toc1403"/>
      <w:r>
        <w:rPr>
          <w:b/>
          <w:bCs/>
          <w:color w:val="161B22"/>
        </w:rPr>
        <w:t xml:space="preserve">Work This Chapter on the Platform</w:t>
      </w:r>
      <w:bookmarkEnd w:id="1404"/>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Watch the statutory and regulatory record for the early-warning signals this chapter names</w:t>
            </w:r>
          </w:p>
        </w:tc>
        <w:tc>
          <w:tcPr>
            <w:tcW w:w="947" w:type="dxa"/>
          </w:tcPr>
          <w:p>
            <w:pPr>
              <w:pStyle w:val="Compact"/>
              <w:jc w:val="left"/>
            </w:pPr>
            <w:hyperlink r:id="rId426">
              <w:r>
                <w:rPr>
                  <w:rStyle w:val="Hyperlink"/>
                  <w:b/>
                  <w:bCs/>
                </w:rPr>
                <w:t xml:space="preserve">The Wire</w:t>
              </w:r>
            </w:hyperlink>
          </w:p>
        </w:tc>
        <w:tc>
          <w:tcPr>
            <w:tcW w:w="4062"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4062" w:type="dxa"/>
          </w:tcPr>
          <w:p>
            <w:pPr>
              <w:pStyle w:val="Compact"/>
              <w:jc w:val="left"/>
            </w:pPr>
            <w:r>
              <w:rPr>
                <w:sz w:val="18"/>
              </w:rPr>
              <w:t xml:space="preserve">Model what happens to the transformation if one pillar’s political support is withdrawn</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4062" w:type="dxa"/>
          </w:tcPr>
          <w:p>
            <w:pPr>
              <w:pStyle w:val="Compact"/>
              <w:jc w:val="left"/>
            </w:pPr>
            <w:r>
              <w:rPr>
                <w:sz w:val="18"/>
              </w:rPr>
              <w:t xml:space="preserve">Quantify where reform is losing momentum before it becomes a political story</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Rising friction in a pillar is usually visible in the operating data a year before it becomes a legislative problem.</w:t>
            </w:r>
          </w:p>
        </w:tc>
      </w:tr>
    </w:tbl>
    <w:p>
      <w:pPr>
        <w:pStyle w:val="Caption"/>
        <w:spacing w:before="120"/>
      </w:pPr>
      <w:r>
        <w:rPr>
          <w:i/>
          <w:iCs/>
        </w:rPr>
        <w:t xml:space="preserve">Figure 14.H — Hands-on platform tools for Chapter 14: monitoring political risk.</w:t>
      </w:r>
    </w:p>
    <w:p>
      <w:pPr>
        <w:pStyle w:val="Heading2"/>
        <w:pBdr>
          <w:top w:val="single" w:sz="6" w:space="10" w:color="C9D2DF"/>
        </w:pBdr>
      </w:pPr>
      <w:r>
        <w:rPr>
          <w:color w:val="161B22"/>
        </w:rPr>
        <w:t xml:space="preserve">14.7  </w:t>
      </w:r>
      <w:bookmarkStart w:id="1405" w:name="_Toc1404"/>
      <w:r>
        <w:rPr>
          <w:b/>
          <w:bCs/>
          <w:color w:val="161B22"/>
        </w:rPr>
        <w:t xml:space="preserve">Implications for You</w:t>
      </w:r>
      <w:bookmarkEnd w:id="1405"/>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6" w:name="_Toc1405"/>
      <w:r>
        <w:rPr>
          <w:b/>
          <w:bCs/>
          <w:color w:val="161B22"/>
        </w:rPr>
        <w:t xml:space="preserve">Key Concepts in This Chapter</w:t>
      </w:r>
      <w:bookmarkEnd w:id="1406"/>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7" w:name="_Toc1406"/>
      <w:r>
        <w:rPr>
          <w:b/>
          <w:bCs/>
          <w:color w:val="161B22"/>
        </w:rPr>
        <w:t xml:space="preserve">Chapter 15 — Healthcare Transformation as Portfolio Management: Applying PMI Standards to Six-Pillar Reform</w:t>
      </w:r>
      <w:bookmarkEnd w:id="1407"/>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keepNext w:val="false"/>
      </w:pPr>
      <w:r>
        <w:rPr>
          <w:color w:val="161B22"/>
        </w:rPr>
        <w:t xml:space="preserve">15.1  </w:t>
      </w:r>
      <w:bookmarkStart w:id="1408" w:name="_Toc1407"/>
      <w:r>
        <w:rPr>
          <w:b/>
          <w:bCs/>
          <w:color w:val="161B22"/>
        </w:rPr>
        <w:t xml:space="preserve">The Project-Management Gap in Healthcare Transformation</w:t>
      </w:r>
      <w:bookmarkEnd w:id="1408"/>
    </w:p>
    <w:p>
      <w:pPr>
        <w:pStyle w:val="FirstParagraph"/>
        <w:keepNext w:val="false"/>
      </w:pPr>
      <w: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architecture — and Vermont’s transformation is failing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spacing w:before="120"/>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09" w:name="_Toc1408"/>
      <w:r>
        <w:rPr>
          <w:b/>
          <w:bCs/>
          <w:color w:val="161B22"/>
        </w:rPr>
        <w:t xml:space="preserve">Project, Program, and Portfolio: Getting the Levels Right</w:t>
      </w:r>
      <w:bookmarkEnd w:id="1409"/>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960"/>
        <w:gridCol w:w="1620"/>
        <w:gridCol w:w="2220"/>
        <w:gridCol w:w="2070"/>
        <w:gridCol w:w="2220"/>
      </w:tblGrid>
      <w:tr>
        <w:trPr>
          <w:tblHeader w:val="on"/>
          <w:cantSplit/>
        </w:trPr>
        <w:tc>
          <w:tcPr>
            <w:shd w:val="clear" w:color="auto" w:fill="1B3A6B"/>
            <w:tcW w:w="960" w:type="dxa"/>
          </w:tcPr>
          <w:p>
            <w:pPr>
              <w:pStyle w:val="Compact"/>
              <w:jc w:val="left"/>
            </w:pPr>
            <w:r>
              <w:rPr>
                <w:b/>
                <w:color w:val="FFFFFF"/>
                <w:sz w:val="18"/>
              </w:rPr>
              <w:t xml:space="preserve">Level</w:t>
            </w:r>
          </w:p>
        </w:tc>
        <w:tc>
          <w:tcPr>
            <w:shd w:val="clear" w:color="auto" w:fill="1B3A6B"/>
            <w:tcW w:w="1620" w:type="dxa"/>
          </w:tcPr>
          <w:p>
            <w:pPr>
              <w:pStyle w:val="Compact"/>
              <w:jc w:val="left"/>
            </w:pPr>
            <w:r>
              <w:rPr>
                <w:b/>
                <w:color w:val="FFFFFF"/>
                <w:sz w:val="18"/>
              </w:rPr>
              <w:t xml:space="preserve">PMI definition</w:t>
            </w:r>
          </w:p>
        </w:tc>
        <w:tc>
          <w:tcPr>
            <w:shd w:val="clear" w:color="auto" w:fill="1B3A6B"/>
            <w:tcW w:w="2220" w:type="dxa"/>
          </w:tcPr>
          <w:p>
            <w:pPr>
              <w:pStyle w:val="Compact"/>
              <w:jc w:val="left"/>
            </w:pPr>
            <w:r>
              <w:rPr>
                <w:b/>
                <w:color w:val="FFFFFF"/>
                <w:sz w:val="18"/>
              </w:rPr>
              <w:t xml:space="preserve">Vermont example</w:t>
            </w:r>
          </w:p>
        </w:tc>
        <w:tc>
          <w:tcPr>
            <w:shd w:val="clear" w:color="auto" w:fill="1B3A6B"/>
            <w:tcW w:w="2070" w:type="dxa"/>
          </w:tcPr>
          <w:p>
            <w:pPr>
              <w:pStyle w:val="Compact"/>
              <w:jc w:val="left"/>
            </w:pPr>
            <w:r>
              <w:rPr>
                <w:b/>
                <w:color w:val="FFFFFF"/>
                <w:sz w:val="18"/>
              </w:rPr>
              <w:t xml:space="preserve">Who manages it</w:t>
            </w:r>
          </w:p>
        </w:tc>
        <w:tc>
          <w:tcPr>
            <w:shd w:val="clear" w:color="auto" w:fill="1B3A6B"/>
            <w:tcW w:w="2220" w:type="dxa"/>
          </w:tcPr>
          <w:p>
            <w:pPr>
              <w:pStyle w:val="Compact"/>
              <w:jc w:val="left"/>
            </w:pPr>
            <w:r>
              <w:rPr>
                <w:b/>
                <w:color w:val="FFFFFF"/>
                <w:sz w:val="18"/>
              </w:rPr>
              <w:t xml:space="preserve">Success measure</w:t>
            </w:r>
          </w:p>
        </w:tc>
      </w:tr>
      <w:tr>
        <w:trPr>
          <w:cantSplit/>
        </w:trPr>
        <w:tc>
          <w:tcPr>
            <w:tcW w:w="960" w:type="dxa"/>
          </w:tcPr>
          <w:p>
            <w:pPr>
              <w:pStyle w:val="Compact"/>
              <w:jc w:val="left"/>
            </w:pPr>
            <w:r>
              <w:rPr>
                <w:sz w:val="18"/>
              </w:rPr>
              <w:t xml:space="preserve">Project</w:t>
            </w:r>
          </w:p>
        </w:tc>
        <w:tc>
          <w:tcPr>
            <w:tcW w:w="1620" w:type="dxa"/>
          </w:tcPr>
          <w:p>
            <w:pPr>
              <w:pStyle w:val="Compact"/>
              <w:jc w:val="left"/>
            </w:pPr>
            <w:r>
              <w:rPr>
                <w:sz w:val="18"/>
              </w:rPr>
              <w:t xml:space="preserve">Temporary endeavor creating a unique result; defined scope, schedule, budget.</w:t>
            </w:r>
          </w:p>
        </w:tc>
        <w:tc>
          <w:tcPr>
            <w:tcW w:w="2220" w:type="dxa"/>
          </w:tcPr>
          <w:p>
            <w:pPr>
              <w:pStyle w:val="Compact"/>
              <w:jc w:val="left"/>
            </w:pPr>
            <w:r>
              <w:rPr>
                <w:sz w:val="18"/>
              </w:rPr>
              <w:t xml:space="preserve">VHCURES analytics-vendor deployment; HCC gap closure at Springfield; CoCM deployment at a Blueprint practice; RBP rulemaking.</w:t>
            </w:r>
          </w:p>
        </w:tc>
        <w:tc>
          <w:tcPr>
            <w:tcW w:w="2070" w:type="dxa"/>
          </w:tcPr>
          <w:p>
            <w:pPr>
              <w:pStyle w:val="Compact"/>
              <w:jc w:val="left"/>
            </w:pPr>
            <w:r>
              <w:rPr>
                <w:sz w:val="18"/>
              </w:rPr>
              <w:t xml:space="preserve">Project Manager (pillar-, hospital-, or program-level)</w:t>
            </w:r>
          </w:p>
        </w:tc>
        <w:tc>
          <w:tcPr>
            <w:tcW w:w="2220" w:type="dxa"/>
          </w:tcPr>
          <w:p>
            <w:pPr>
              <w:pStyle w:val="Compact"/>
              <w:jc w:val="left"/>
            </w:pPr>
            <w:r>
              <w:rPr>
                <w:sz w:val="18"/>
              </w:rPr>
              <w:t xml:space="preserve">On scope, schedule, budget; deliverable accepted.</w:t>
            </w:r>
          </w:p>
        </w:tc>
      </w:tr>
      <w:tr>
        <w:trPr/>
        <w:tc>
          <w:tcPr>
            <w:tcW w:w="960" w:type="dxa"/>
          </w:tcPr>
          <w:p>
            <w:pPr>
              <w:pStyle w:val="Compact"/>
              <w:jc w:val="left"/>
            </w:pPr>
            <w:r>
              <w:rPr>
                <w:sz w:val="18"/>
              </w:rPr>
              <w:t xml:space="preserve">Program</w:t>
            </w:r>
          </w:p>
        </w:tc>
        <w:tc>
          <w:tcPr>
            <w:tcW w:w="1620" w:type="dxa"/>
          </w:tcPr>
          <w:p>
            <w:pPr>
              <w:pStyle w:val="Compact"/>
              <w:jc w:val="left"/>
            </w:pPr>
            <w:r>
              <w:rPr>
                <w:sz w:val="18"/>
              </w:rPr>
              <w:t xml:space="preserve">Related projects managed together for benefits not achievable individually.</w:t>
            </w:r>
          </w:p>
        </w:tc>
        <w:tc>
          <w:tcPr>
            <w:tcW w:w="2220" w:type="dxa"/>
          </w:tcPr>
          <w:p>
            <w:pPr>
              <w:pStyle w:val="Compact"/>
              <w:jc w:val="left"/>
            </w:pPr>
            <w:r>
              <w:rPr>
                <w:sz w:val="18"/>
              </w:rPr>
              <w:t xml:space="preserve">Technology Pillar program (VHCURES + VITL + CIN + AI governance); Blueprint PCMH expansion (14 HSA projects); AHEAD Implementation Program.</w:t>
            </w:r>
          </w:p>
        </w:tc>
        <w:tc>
          <w:tcPr>
            <w:tcW w:w="2070" w:type="dxa"/>
          </w:tcPr>
          <w:p>
            <w:pPr>
              <w:pStyle w:val="Compact"/>
              <w:jc w:val="left"/>
            </w:pPr>
            <w:r>
              <w:rPr>
                <w:sz w:val="18"/>
              </w:rPr>
              <w:t xml:space="preserve">Program Manager (pillar-level)</w:t>
            </w:r>
          </w:p>
        </w:tc>
        <w:tc>
          <w:tcPr>
            <w:tcW w:w="2220" w:type="dxa"/>
          </w:tcPr>
          <w:p>
            <w:pPr>
              <w:pStyle w:val="Compact"/>
              <w:jc w:val="left"/>
            </w:pPr>
            <w:r>
              <w:rPr>
                <w:sz w:val="18"/>
              </w:rPr>
              <w:t xml:space="preserve">Benefits realized; interdependencies managed.</w:t>
            </w:r>
          </w:p>
        </w:tc>
      </w:tr>
      <w:tr>
        <w:trPr>
          <w:cantSplit/>
        </w:trPr>
        <w:tc>
          <w:tcPr>
            <w:tcW w:w="960" w:type="dxa"/>
          </w:tcPr>
          <w:p>
            <w:pPr>
              <w:pStyle w:val="Compact"/>
              <w:jc w:val="left"/>
            </w:pPr>
            <w:r>
              <w:rPr>
                <w:sz w:val="18"/>
              </w:rPr>
              <w:t xml:space="preserve">Portfolio</w:t>
            </w:r>
          </w:p>
        </w:tc>
        <w:tc>
          <w:tcPr>
            <w:tcW w:w="1620" w:type="dxa"/>
          </w:tcPr>
          <w:p>
            <w:pPr>
              <w:pStyle w:val="Compact"/>
              <w:jc w:val="left"/>
            </w:pPr>
            <w:r>
              <w:rPr>
                <w:sz w:val="18"/>
              </w:rPr>
              <w:t xml:space="preserve">A collection of programs/projects/operations managed as a group to achieve strategy.</w:t>
            </w:r>
          </w:p>
        </w:tc>
        <w:tc>
          <w:tcPr>
            <w:tcW w:w="2220" w:type="dxa"/>
          </w:tcPr>
          <w:p>
            <w:pPr>
              <w:pStyle w:val="Compact"/>
              <w:jc w:val="left"/>
            </w:pPr>
            <w:r>
              <w:rPr>
                <w:sz w:val="18"/>
              </w:rPr>
              <w:t xml:space="preserve">Vermont’s full six-pillar transformation: all 19 components across the pillars, aligned to Act 167’s five goals and the December 2028 plan.</w:t>
            </w:r>
          </w:p>
        </w:tc>
        <w:tc>
          <w:tcPr>
            <w:tcW w:w="2070" w:type="dxa"/>
          </w:tcPr>
          <w:p>
            <w:pPr>
              <w:pStyle w:val="Compact"/>
              <w:jc w:val="left"/>
            </w:pPr>
            <w:r>
              <w:rPr>
                <w:sz w:val="18"/>
              </w:rPr>
              <w:t xml:space="preserve">Portfolio Manager (AHS Secretary-level or dedicated CPO)</w:t>
            </w:r>
          </w:p>
        </w:tc>
        <w:tc>
          <w:tcPr>
            <w:tcW w:w="2220" w:type="dxa"/>
          </w:tcPr>
          <w:p>
            <w:pPr>
              <w:pStyle w:val="Compact"/>
              <w:jc w:val="left"/>
            </w:pPr>
            <w:r>
              <w:rPr>
                <w:sz w:val="18"/>
              </w:rPr>
              <w:t xml:space="preserve">Strategic objectives achieved; resources optimally allocated.</w:t>
            </w:r>
          </w:p>
        </w:tc>
      </w:tr>
    </w:tbl>
    <w:p>
      <w:pPr>
        <w:pStyle w:val="Caption"/>
        <w:spacing w:before="120"/>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10" w:name="_Toc1409"/>
      <w:r>
        <w:rPr>
          <w:b/>
          <w:bCs/>
          <w:color w:val="161B22"/>
        </w:rPr>
        <w:t xml:space="preserve">Vermont’s Transformation Portfolio: 19 Components</w:t>
      </w:r>
      <w:bookmarkEnd w:id="1410"/>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1050"/>
        <w:gridCol w:w="2025"/>
        <w:gridCol w:w="1335"/>
        <w:gridCol w:w="1050"/>
        <w:gridCol w:w="1350"/>
        <w:gridCol w:w="2280"/>
      </w:tblGrid>
      <w:tr>
        <w:trPr>
          <w:tblHeader w:val="on"/>
          <w:cantSplit/>
        </w:trPr>
        <w:tc>
          <w:tcPr>
            <w:shd w:val="clear" w:color="auto" w:fill="1B3A6B"/>
            <w:tcW w:w="1050" w:type="dxa"/>
          </w:tcPr>
          <w:p>
            <w:pPr>
              <w:pStyle w:val="Compact"/>
              <w:jc w:val="left"/>
            </w:pPr>
            <w:r>
              <w:rPr>
                <w:b/>
                <w:color w:val="FFFFFF"/>
                <w:sz w:val="18"/>
              </w:rPr>
              <w:t xml:space="preserve">Pillar</w:t>
            </w:r>
          </w:p>
        </w:tc>
        <w:tc>
          <w:tcPr>
            <w:shd w:val="clear" w:color="auto" w:fill="1B3A6B"/>
            <w:tcW w:w="2025" w:type="dxa"/>
          </w:tcPr>
          <w:p>
            <w:pPr>
              <w:pStyle w:val="Compact"/>
              <w:jc w:val="left"/>
            </w:pPr>
            <w:r>
              <w:rPr>
                <w:b/>
                <w:color w:val="FFFFFF"/>
                <w:sz w:val="18"/>
              </w:rPr>
              <w:t xml:space="preserve">Portfolio component</w:t>
            </w:r>
          </w:p>
        </w:tc>
        <w:tc>
          <w:tcPr>
            <w:shd w:val="clear" w:color="auto" w:fill="1B3A6B"/>
            <w:tcW w:w="1335" w:type="dxa"/>
          </w:tcPr>
          <w:p>
            <w:pPr>
              <w:pStyle w:val="Compact"/>
              <w:jc w:val="left"/>
            </w:pPr>
            <w:r>
              <w:rPr>
                <w:b/>
                <w:color w:val="FFFFFF"/>
                <w:sz w:val="18"/>
              </w:rPr>
              <w:t xml:space="preserve">Type</w:t>
            </w:r>
          </w:p>
        </w:tc>
        <w:tc>
          <w:tcPr>
            <w:shd w:val="clear" w:color="auto" w:fill="1B3A6B"/>
            <w:tcW w:w="1050" w:type="dxa"/>
          </w:tcPr>
          <w:p>
            <w:pPr>
              <w:pStyle w:val="Compact"/>
              <w:jc w:val="left"/>
            </w:pPr>
            <w:r>
              <w:rPr>
                <w:b/>
                <w:color w:val="FFFFFF"/>
                <w:sz w:val="18"/>
              </w:rPr>
              <w:t xml:space="preserve">Priority</w:t>
            </w:r>
          </w:p>
        </w:tc>
        <w:tc>
          <w:tcPr>
            <w:shd w:val="clear" w:color="auto" w:fill="1B3A6B"/>
            <w:tcW w:w="1350" w:type="dxa"/>
          </w:tcPr>
          <w:p>
            <w:pPr>
              <w:pStyle w:val="Compact"/>
              <w:jc w:val="left"/>
            </w:pPr>
            <w:r>
              <w:rPr>
                <w:b/>
                <w:color w:val="FFFFFF"/>
                <w:sz w:val="18"/>
              </w:rPr>
              <w:t xml:space="preserve">Lead</w:t>
            </w:r>
          </w:p>
        </w:tc>
        <w:tc>
          <w:tcPr>
            <w:shd w:val="clear" w:color="auto" w:fill="1B3A6B"/>
            <w:tcW w:w="2280" w:type="dxa"/>
          </w:tcPr>
          <w:p>
            <w:pPr>
              <w:pStyle w:val="Compact"/>
              <w:jc w:val="left"/>
            </w:pPr>
            <w:r>
              <w:rPr>
                <w:b/>
                <w:color w:val="FFFFFF"/>
                <w:sz w:val="18"/>
              </w:rPr>
              <w:t xml:space="preserve">2026 status → stage gate</w:t>
            </w:r>
          </w:p>
        </w:tc>
      </w:tr>
      <w:tr>
        <w:trPr>
          <w:cantSplit/>
        </w:trPr>
        <w:tc>
          <w:tcPr>
            <w:tcW w:w="1050" w:type="dxa"/>
          </w:tcPr>
          <w:p>
            <w:pPr>
              <w:pStyle w:val="Compact"/>
              <w:jc w:val="left"/>
            </w:pPr>
            <w:r>
              <w:rPr>
                <w:sz w:val="18"/>
              </w:rPr>
              <w:t xml:space="preserve">Policy</w:t>
            </w:r>
          </w:p>
        </w:tc>
        <w:tc>
          <w:tcPr>
            <w:tcW w:w="2025" w:type="dxa"/>
          </w:tcPr>
          <w:p>
            <w:pPr>
              <w:pStyle w:val="Compact"/>
              <w:jc w:val="left"/>
            </w:pPr>
            <w:r>
              <w:rPr>
                <w:sz w:val="18"/>
              </w:rPr>
              <w:t xml:space="preserve">Act 68 RBP-methodology rulemaking</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In progress → FY2027</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AHEAD State Agreement management</w:t>
            </w:r>
          </w:p>
        </w:tc>
        <w:tc>
          <w:tcPr>
            <w:tcW w:w="1335" w:type="dxa"/>
          </w:tcPr>
          <w:p>
            <w:pPr>
              <w:pStyle w:val="Compact"/>
              <w:jc w:val="left"/>
            </w:pPr>
            <w:r>
              <w:rPr>
                <w:sz w:val="18"/>
              </w:rPr>
              <w:t xml:space="preserve">Ongoing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Active → annual CMS review</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RHT Program contract management</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Health Reform</w:t>
            </w:r>
          </w:p>
        </w:tc>
        <w:tc>
          <w:tcPr>
            <w:tcW w:w="2280" w:type="dxa"/>
          </w:tcPr>
          <w:p>
            <w:pPr>
              <w:pStyle w:val="Compact"/>
              <w:jc w:val="left"/>
            </w:pPr>
            <w:r>
              <w:rPr>
                <w:sz w:val="18"/>
              </w:rPr>
              <w:t xml:space="preserve">Active → annual federal reporting</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Statewide Strategic Plan development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HCAC</w:t>
            </w:r>
          </w:p>
        </w:tc>
        <w:tc>
          <w:tcPr>
            <w:tcW w:w="2280" w:type="dxa"/>
          </w:tcPr>
          <w:p>
            <w:pPr>
              <w:pStyle w:val="Compact"/>
              <w:jc w:val="left"/>
            </w:pPr>
            <w:r>
              <w:rPr>
                <w:sz w:val="18"/>
              </w:rPr>
              <w:t xml:space="preserve">In progress → Dec 2028</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AHS-GMCB analytics-vendor deployment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Procurement → Jan 2027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Vermont CIN build-out</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RHT</w:t>
            </w:r>
          </w:p>
        </w:tc>
        <w:tc>
          <w:tcPr>
            <w:tcW w:w="2280" w:type="dxa"/>
          </w:tcPr>
          <w:p>
            <w:pPr>
              <w:pStyle w:val="Compact"/>
              <w:jc w:val="left"/>
            </w:pPr>
            <w:r>
              <w:rPr>
                <w:sz w:val="18"/>
              </w:rPr>
              <w:t xml:space="preserve">Design → FY2028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VITL HIE expansion / FHIR compliance</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VITL + AHS</w:t>
            </w:r>
          </w:p>
        </w:tc>
        <w:tc>
          <w:tcPr>
            <w:tcW w:w="2280" w:type="dxa"/>
          </w:tcPr>
          <w:p>
            <w:pPr>
              <w:pStyle w:val="Compact"/>
              <w:jc w:val="left"/>
            </w:pPr>
            <w:r>
              <w:rPr>
                <w:sz w:val="18"/>
              </w:rPr>
              <w:t xml:space="preserve">In progress → FY2027 mandatory</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Statewide AI-governance framework</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Medium</w:t>
            </w:r>
          </w:p>
        </w:tc>
        <w:tc>
          <w:tcPr>
            <w:tcW w:w="1350" w:type="dxa"/>
          </w:tcPr>
          <w:p>
            <w:pPr>
              <w:pStyle w:val="Compact"/>
              <w:jc w:val="left"/>
            </w:pPr>
            <w:r>
              <w:rPr>
                <w:sz w:val="18"/>
              </w:rPr>
              <w:t xml:space="preserve">AHS + CIN</w:t>
            </w:r>
          </w:p>
        </w:tc>
        <w:tc>
          <w:tcPr>
            <w:tcW w:w="2280" w:type="dxa"/>
          </w:tcPr>
          <w:p>
            <w:pPr>
              <w:pStyle w:val="Compact"/>
              <w:jc w:val="left"/>
            </w:pPr>
            <w:r>
              <w:rPr>
                <w:sz w:val="18"/>
              </w:rPr>
              <w:t xml:space="preserve">Not started → FY2028 adoption</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RBP implementation (all hospitals)</w:t>
            </w:r>
          </w:p>
        </w:tc>
        <w:tc>
          <w:tcPr>
            <w:tcW w:w="1335" w:type="dxa"/>
          </w:tcPr>
          <w:p>
            <w:pPr>
              <w:pStyle w:val="Compact"/>
              <w:jc w:val="left"/>
            </w:pPr>
            <w:r>
              <w:rPr>
                <w:sz w:val="18"/>
              </w:rPr>
              <w:t xml:space="preserve">Compliance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Methodology design → FY2027</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Global-budget design &amp; implementation</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w:t>
            </w:r>
          </w:p>
        </w:tc>
        <w:tc>
          <w:tcPr>
            <w:tcW w:w="2280" w:type="dxa"/>
          </w:tcPr>
          <w:p>
            <w:pPr>
              <w:pStyle w:val="Compact"/>
              <w:jc w:val="left"/>
            </w:pPr>
            <w:r>
              <w:rPr>
                <w:sz w:val="18"/>
              </w:rPr>
              <w:t xml:space="preserve">Design → FY2028 non-CAH</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AHEAD EAST Fund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DVHA + AHS</w:t>
            </w:r>
          </w:p>
        </w:tc>
        <w:tc>
          <w:tcPr>
            <w:tcW w:w="2280" w:type="dxa"/>
          </w:tcPr>
          <w:p>
            <w:pPr>
              <w:pStyle w:val="Compact"/>
              <w:jc w:val="left"/>
            </w:pPr>
            <w:r>
              <w:rPr>
                <w:sz w:val="18"/>
              </w:rPr>
              <w:t xml:space="preserve">Active → annual targets</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Blueprint PCMH + AHEAD transition</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Blueprint + DVHA</w:t>
            </w:r>
          </w:p>
        </w:tc>
        <w:tc>
          <w:tcPr>
            <w:tcW w:w="2280" w:type="dxa"/>
          </w:tcPr>
          <w:p>
            <w:pPr>
              <w:pStyle w:val="Compact"/>
              <w:jc w:val="left"/>
            </w:pPr>
            <w:r>
              <w:rPr>
                <w:sz w:val="18"/>
              </w:rPr>
              <w:t xml:space="preserve">Active → 100% PCMH by FY2028</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CCBHC certification (5 entities)</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providers</w:t>
            </w:r>
          </w:p>
        </w:tc>
        <w:tc>
          <w:tcPr>
            <w:tcW w:w="2280" w:type="dxa"/>
          </w:tcPr>
          <w:p>
            <w:pPr>
              <w:pStyle w:val="Compact"/>
              <w:jc w:val="left"/>
            </w:pPr>
            <w:r>
              <w:rPr>
                <w:sz w:val="18"/>
              </w:rPr>
              <w:t xml:space="preserve">In progress → FY2026</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CoCM statewide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MHI + Blueprint</w:t>
            </w:r>
          </w:p>
        </w:tc>
        <w:tc>
          <w:tcPr>
            <w:tcW w:w="2280" w:type="dxa"/>
          </w:tcPr>
          <w:p>
            <w:pPr>
              <w:pStyle w:val="Compact"/>
              <w:jc w:val="left"/>
            </w:pPr>
            <w:r>
              <w:rPr>
                <w:sz w:val="18"/>
              </w:rPr>
              <w:t xml:space="preserve">Pilot → 80%+ practices FY2028</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Social-risk-adjustment methodology</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 Equity</w:t>
            </w:r>
          </w:p>
        </w:tc>
        <w:tc>
          <w:tcPr>
            <w:tcW w:w="2280" w:type="dxa"/>
          </w:tcPr>
          <w:p>
            <w:pPr>
              <w:pStyle w:val="Compact"/>
              <w:jc w:val="left"/>
            </w:pPr>
            <w:r>
              <w:rPr>
                <w:sz w:val="18"/>
              </w:rPr>
              <w:t xml:space="preserve">Design → FY2028 budgets</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HEROI scoring framework</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Development → FY2027 baseline</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14-hospital transformation planning</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RHRC successor</w:t>
            </w:r>
          </w:p>
        </w:tc>
        <w:tc>
          <w:tcPr>
            <w:tcW w:w="2280" w:type="dxa"/>
          </w:tcPr>
          <w:p>
            <w:pPr>
              <w:pStyle w:val="Compact"/>
              <w:jc w:val="left"/>
            </w:pPr>
            <w:r>
              <w:rPr>
                <w:sz w:val="18"/>
              </w:rPr>
              <w:t xml:space="preserve">Plan submission → FY2026 approved</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restructuring (HSA-coordinator model)</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Secretary</w:t>
            </w:r>
          </w:p>
        </w:tc>
        <w:tc>
          <w:tcPr>
            <w:tcW w:w="2280" w:type="dxa"/>
          </w:tcPr>
          <w:p>
            <w:pPr>
              <w:pStyle w:val="Compact"/>
              <w:jc w:val="left"/>
            </w:pPr>
            <w:r>
              <w:rPr>
                <w:sz w:val="18"/>
              </w:rPr>
              <w:t xml:space="preserve">In progress → FY2027 staffed</w:t>
            </w:r>
          </w:p>
        </w:tc>
      </w:tr>
      <w:tr>
        <w:trPr>
          <w:cantSplit/>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PMO establishment</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Not started → Q1 2027 operational</w:t>
            </w:r>
          </w:p>
        </w:tc>
      </w:tr>
    </w:tbl>
    <w:p>
      <w:pPr>
        <w:pStyle w:val="Caption"/>
        <w:keepNext/>
        <w:spacing w:before="120"/>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411" w:name="_Toc1410"/>
      <w:r>
        <w:rPr>
          <w:b/>
          <w:bCs/>
          <w:color w:val="161B22"/>
        </w:rPr>
        <w:t xml:space="preserve">The Case for a Portfolio Manager</w:t>
      </w:r>
      <w:bookmarkEnd w:id="1411"/>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12" w:name="_Toc1411"/>
      <w:r>
        <w:rPr>
          <w:b/>
          <w:bCs/>
          <w:color w:val="161B22"/>
        </w:rPr>
        <w:t xml:space="preserve">Pillar-Level Project Managers: Six Roles, One Framework</w:t>
      </w:r>
      <w:bookmarkEnd w:id="1412"/>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1140"/>
        <w:gridCol w:w="1545"/>
        <w:gridCol w:w="2145"/>
        <w:gridCol w:w="2295"/>
        <w:gridCol w:w="192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145" w:type="dxa"/>
          </w:tcPr>
          <w:p>
            <w:pPr>
              <w:pStyle w:val="Compact"/>
              <w:jc w:val="left"/>
            </w:pPr>
            <w:r>
              <w:rPr>
                <w:b/>
                <w:color w:val="FFFFFF"/>
                <w:sz w:val="18"/>
              </w:rPr>
              <w:t xml:space="preserve">Recommended credential</w:t>
            </w:r>
          </w:p>
        </w:tc>
        <w:tc>
          <w:tcPr>
            <w:shd w:val="clear" w:color="auto" w:fill="1B3A6B"/>
            <w:tcW w:w="2295" w:type="dxa"/>
          </w:tcPr>
          <w:p>
            <w:pPr>
              <w:pStyle w:val="Compact"/>
              <w:jc w:val="left"/>
            </w:pPr>
            <w:r>
              <w:rPr>
                <w:b/>
                <w:color w:val="FFFFFF"/>
                <w:sz w:val="18"/>
              </w:rPr>
              <w:t xml:space="preserve">Key deliverables</w:t>
            </w:r>
          </w:p>
        </w:tc>
        <w:tc>
          <w:tcPr>
            <w:shd w:val="clear" w:color="auto" w:fill="1B3A6B"/>
            <w:tcW w:w="1920" w:type="dxa"/>
          </w:tcPr>
          <w:p>
            <w:pPr>
              <w:pStyle w:val="Compact"/>
              <w:jc w:val="left"/>
            </w:pPr>
            <w:r>
              <w:rPr>
                <w:b/>
                <w:color w:val="FFFFFF"/>
                <w:sz w:val="18"/>
              </w:rPr>
              <w:t xml:space="preserve">Reports to</w:t>
            </w:r>
          </w:p>
        </w:tc>
      </w:tr>
      <w:tr>
        <w:trPr>
          <w:cantSplit/>
        </w:trPr>
        <w:tc>
          <w:tcPr>
            <w:tcW w:w="1140"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145" w:type="dxa"/>
          </w:tcPr>
          <w:p>
            <w:pPr>
              <w:pStyle w:val="Compact"/>
              <w:jc w:val="left"/>
            </w:pPr>
            <w:r>
              <w:rPr>
                <w:sz w:val="18"/>
              </w:rPr>
              <w:t xml:space="preserve">PMP + health-policy experience; PMI-ACP for agile rulemaking</w:t>
            </w:r>
          </w:p>
        </w:tc>
        <w:tc>
          <w:tcPr>
            <w:tcW w:w="2295" w:type="dxa"/>
          </w:tcPr>
          <w:p>
            <w:pPr>
              <w:pStyle w:val="Compact"/>
              <w:jc w:val="left"/>
            </w:pPr>
            <w:r>
              <w:rPr>
                <w:sz w:val="18"/>
              </w:rPr>
              <w:t xml:space="preserve">RBP methodology (FY2026); Strategic Plan (Dec 2028); monthly Act 68 compliance</w:t>
            </w:r>
          </w:p>
        </w:tc>
        <w:tc>
          <w:tcPr>
            <w:tcW w:w="1920" w:type="dxa"/>
          </w:tcPr>
          <w:p>
            <w:pPr>
              <w:pStyle w:val="Compact"/>
              <w:jc w:val="left"/>
            </w:pPr>
            <w:r>
              <w:rPr>
                <w:sz w:val="18"/>
              </w:rPr>
              <w:t xml:space="preserve">Portfolio Manager + AHS Secretary</w:t>
            </w:r>
          </w:p>
        </w:tc>
      </w:tr>
      <w:tr>
        <w:trPr/>
        <w:tc>
          <w:tcPr>
            <w:tcW w:w="1140"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145" w:type="dxa"/>
          </w:tcPr>
          <w:p>
            <w:pPr>
              <w:pStyle w:val="Compact"/>
              <w:jc w:val="left"/>
            </w:pPr>
            <w:r>
              <w:rPr>
                <w:sz w:val="18"/>
              </w:rPr>
              <w:t xml:space="preserve">PMP + health informatics; PMI-ACP</w:t>
            </w:r>
          </w:p>
        </w:tc>
        <w:tc>
          <w:tcPr>
            <w:tcW w:w="2295" w:type="dxa"/>
          </w:tcPr>
          <w:p>
            <w:pPr>
              <w:pStyle w:val="Compact"/>
              <w:jc w:val="left"/>
            </w:pPr>
            <w:r>
              <w:rPr>
                <w:sz w:val="18"/>
              </w:rPr>
              <w:t xml:space="preserve">Analytics vendor operational (Jan 2027); CIN Phase 1 (FY2028); FHIR certified</w:t>
            </w:r>
          </w:p>
        </w:tc>
        <w:tc>
          <w:tcPr>
            <w:tcW w:w="1920" w:type="dxa"/>
          </w:tcPr>
          <w:p>
            <w:pPr>
              <w:pStyle w:val="Compact"/>
              <w:jc w:val="left"/>
            </w:pPr>
            <w:r>
              <w:rPr>
                <w:sz w:val="18"/>
              </w:rPr>
              <w:t xml:space="preserve">Portfolio Manager + AHS technology lead</w:t>
            </w:r>
          </w:p>
        </w:tc>
      </w:tr>
      <w:tr>
        <w:trPr/>
        <w:tc>
          <w:tcPr>
            <w:tcW w:w="1140"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145" w:type="dxa"/>
          </w:tcPr>
          <w:p>
            <w:pPr>
              <w:pStyle w:val="Compact"/>
              <w:jc w:val="left"/>
            </w:pPr>
            <w:r>
              <w:rPr>
                <w:sz w:val="18"/>
              </w:rPr>
              <w:t xml:space="preserve">PMP + healthcare finance; actuarial/financial-modeling skills</w:t>
            </w:r>
          </w:p>
        </w:tc>
        <w:tc>
          <w:tcPr>
            <w:tcW w:w="2295" w:type="dxa"/>
          </w:tcPr>
          <w:p>
            <w:pPr>
              <w:pStyle w:val="Compact"/>
              <w:jc w:val="left"/>
            </w:pPr>
            <w:r>
              <w:rPr>
                <w:sz w:val="18"/>
              </w:rPr>
              <w:t xml:space="preserve">RBP rates in effect (FY2027); non-CAH global budgets (FY2028); EAST Fund targets</w:t>
            </w:r>
          </w:p>
        </w:tc>
        <w:tc>
          <w:tcPr>
            <w:tcW w:w="1920" w:type="dxa"/>
          </w:tcPr>
          <w:p>
            <w:pPr>
              <w:pStyle w:val="Compact"/>
              <w:jc w:val="left"/>
            </w:pPr>
            <w:r>
              <w:rPr>
                <w:sz w:val="18"/>
              </w:rPr>
              <w:t xml:space="preserve">Portfolio Manager + GMCB Executive Director</w:t>
            </w:r>
          </w:p>
        </w:tc>
      </w:tr>
      <w:tr>
        <w:trPr/>
        <w:tc>
          <w:tcPr>
            <w:tcW w:w="1140"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145" w:type="dxa"/>
          </w:tcPr>
          <w:p>
            <w:pPr>
              <w:pStyle w:val="Compact"/>
              <w:jc w:val="left"/>
            </w:pPr>
            <w:r>
              <w:rPr>
                <w:sz w:val="18"/>
              </w:rPr>
              <w:t xml:space="preserve">PMP + clinical background (RN/LCSW); CoCM preferred</w:t>
            </w:r>
          </w:p>
        </w:tc>
        <w:tc>
          <w:tcPr>
            <w:tcW w:w="2295" w:type="dxa"/>
          </w:tcPr>
          <w:p>
            <w:pPr>
              <w:pStyle w:val="Compact"/>
              <w:jc w:val="left"/>
            </w:pPr>
            <w:r>
              <w:rPr>
                <w:sz w:val="18"/>
              </w:rPr>
              <w:t xml:space="preserve">100% PCMH (FY2028); 5 CCBHCs (FY2026); CoCM 80%+ (FY2028)</w:t>
            </w:r>
          </w:p>
        </w:tc>
        <w:tc>
          <w:tcPr>
            <w:tcW w:w="1920" w:type="dxa"/>
          </w:tcPr>
          <w:p>
            <w:pPr>
              <w:pStyle w:val="Compact"/>
              <w:jc w:val="left"/>
            </w:pPr>
            <w:r>
              <w:rPr>
                <w:sz w:val="18"/>
              </w:rPr>
              <w:t xml:space="preserve">Portfolio Manager + Blueprint Director + DVHA Medical Director</w:t>
            </w:r>
          </w:p>
        </w:tc>
      </w:tr>
      <w:tr>
        <w:trPr/>
        <w:tc>
          <w:tcPr>
            <w:tcW w:w="1140"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145" w:type="dxa"/>
          </w:tcPr>
          <w:p>
            <w:pPr>
              <w:pStyle w:val="Compact"/>
              <w:jc w:val="left"/>
            </w:pPr>
            <w:r>
              <w:rPr>
                <w:sz w:val="18"/>
              </w:rPr>
              <w:t xml:space="preserve">PMP + public-health/equity background; HEROI</w:t>
            </w:r>
          </w:p>
        </w:tc>
        <w:tc>
          <w:tcPr>
            <w:tcW w:w="2295" w:type="dxa"/>
          </w:tcPr>
          <w:p>
            <w:pPr>
              <w:pStyle w:val="Compact"/>
              <w:jc w:val="left"/>
            </w:pPr>
            <w:r>
              <w:rPr>
                <w:sz w:val="18"/>
              </w:rPr>
              <w:t xml:space="preserve">SRA methodology (FY2028); HEROI baseline (FY2027); SDOH data in VHCURES</w:t>
            </w:r>
          </w:p>
        </w:tc>
        <w:tc>
          <w:tcPr>
            <w:tcW w:w="1920" w:type="dxa"/>
          </w:tcPr>
          <w:p>
            <w:pPr>
              <w:pStyle w:val="Compact"/>
              <w:jc w:val="left"/>
            </w:pPr>
            <w:r>
              <w:rPr>
                <w:sz w:val="18"/>
              </w:rPr>
              <w:t xml:space="preserve">Portfolio Manager + Office of Health Equity</w:t>
            </w:r>
          </w:p>
        </w:tc>
      </w:tr>
      <w:tr>
        <w:trPr>
          <w:cantSplit/>
        </w:trPr>
        <w:tc>
          <w:tcPr>
            <w:tcW w:w="1140"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145" w:type="dxa"/>
          </w:tcPr>
          <w:p>
            <w:pPr>
              <w:pStyle w:val="Compact"/>
              <w:jc w:val="left"/>
            </w:pPr>
            <w:r>
              <w:rPr>
                <w:sz w:val="18"/>
              </w:rPr>
              <w:t xml:space="preserve">PMP + hospital-operations/turnaround experience</w:t>
            </w:r>
          </w:p>
        </w:tc>
        <w:tc>
          <w:tcPr>
            <w:tcW w:w="2295" w:type="dxa"/>
          </w:tcPr>
          <w:p>
            <w:pPr>
              <w:pStyle w:val="Compact"/>
              <w:jc w:val="left"/>
            </w:pPr>
            <w:r>
              <w:rPr>
                <w:sz w:val="18"/>
              </w:rPr>
              <w:t xml:space="preserve">14 plans approved (FY2026); HSA coordinators staffed (FY2027); PMO operational (Q1 2027)</w:t>
            </w:r>
          </w:p>
        </w:tc>
        <w:tc>
          <w:tcPr>
            <w:tcW w:w="1920" w:type="dxa"/>
          </w:tcPr>
          <w:p>
            <w:pPr>
              <w:pStyle w:val="Compact"/>
              <w:jc w:val="left"/>
            </w:pPr>
            <w:r>
              <w:rPr>
                <w:sz w:val="18"/>
              </w:rPr>
              <w:t xml:space="preserve">Portfolio Manager + AHS Secretary</w:t>
            </w:r>
          </w:p>
        </w:tc>
      </w:tr>
    </w:tbl>
    <w:p>
      <w:pPr>
        <w:pStyle w:val="Caption"/>
        <w:spacing w:before="120"/>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13" w:name="_Toc1412"/>
      <w:r>
        <w:rPr>
          <w:b/>
          <w:bCs/>
          <w:color w:val="161B22"/>
        </w:rPr>
        <w:t xml:space="preserve">Governance Architecture and the Ten Knowledge Areas</w:t>
      </w:r>
      <w:bookmarkEnd w:id="1413"/>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14" w:name="_Toc1413"/>
      <w:r>
        <w:rPr>
          <w:b/>
          <w:bCs/>
          <w:color w:val="161B22"/>
        </w:rPr>
        <w:t xml:space="preserve">Portfolio Sequence Is Dependency Sequence</w:t>
      </w:r>
      <w:bookmarkEnd w:id="1414"/>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pPr>
    </w:p>
    <w:p>
      <w:pPr>
        <w:pStyle w:val="Heading2"/>
        <w:pBdr>
          <w:top w:val="single" w:sz="6" w:space="10" w:color="C9D2DF"/>
        </w:pBdr>
      </w:pPr>
      <w:r>
        <w:rPr>
          <w:color w:val="161B22"/>
        </w:rPr>
        <w:t xml:space="preserve">15.8  </w:t>
      </w:r>
      <w:bookmarkStart w:id="1415" w:name="_Toc1414"/>
      <w:r>
        <w:rPr>
          <w:b/>
          <w:bCs/>
          <w:color w:val="161B22"/>
        </w:rPr>
        <w:t xml:space="preserve">Predictive vs. Adaptive Approaches</w:t>
      </w:r>
      <w:bookmarkEnd w:id="1415"/>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6" w:name="_Toc1415"/>
      <w:r>
        <w:rPr>
          <w:b/>
          <w:bCs/>
          <w:color w:val="161B22"/>
        </w:rPr>
        <w:t xml:space="preserve">The Portfolio Risk Register</w:t>
      </w:r>
      <w:bookmarkEnd w:id="1416"/>
    </w:p>
    <w:tbl>
      <w:tblPr>
        <w:tblStyle w:val="HTRTable"/>
        <w:tblLook w:firstRow="1" w:lastRow="0" w:firstColumn="0" w:lastColumn="0" w:noHBand="0" w:noVBand="1" w:val="0020"/>
        <w:tblW w:w="9072" w:type="dxa"/>
        <w:tblLayout w:type="fixed"/>
      </w:tblPr>
      <w:tblGrid>
        <w:gridCol w:w="585"/>
        <w:gridCol w:w="1905"/>
        <w:gridCol w:w="870"/>
        <w:gridCol w:w="975"/>
        <w:gridCol w:w="810"/>
        <w:gridCol w:w="675"/>
        <w:gridCol w:w="2190"/>
        <w:gridCol w:w="1035"/>
      </w:tblGrid>
      <w:tr>
        <w:trPr>
          <w:tblHeader w:val="on"/>
          <w:cantSplit/>
        </w:trPr>
        <w:tc>
          <w:tcPr>
            <w:shd w:val="clear" w:color="auto" w:fill="1B3A6B"/>
            <w:tcW w:w="585" w:type="dxa"/>
          </w:tcPr>
          <w:p>
            <w:pPr>
              <w:pStyle w:val="Compact"/>
              <w:spacing w:before="0" w:after="0" w:line="240" w:lineRule="auto"/>
              <w:jc w:val="left"/>
            </w:pPr>
            <w:r>
              <w:rPr>
                <w:b/>
                <w:color w:val="FFFFFF"/>
                <w:sz w:val="17"/>
              </w:rPr>
              <w:t xml:space="preserve">ID</w:t>
            </w:r>
          </w:p>
        </w:tc>
        <w:tc>
          <w:tcPr>
            <w:shd w:val="clear" w:color="auto" w:fill="1B3A6B"/>
            <w:tcW w:w="1905" w:type="dxa"/>
          </w:tcPr>
          <w:p>
            <w:pPr>
              <w:pStyle w:val="Compact"/>
              <w:spacing w:before="0" w:after="0" w:line="240" w:lineRule="auto"/>
              <w:jc w:val="left"/>
            </w:pPr>
            <w:r>
              <w:rPr>
                <w:b/>
                <w:color w:val="FFFFFF"/>
                <w:sz w:val="17"/>
              </w:rPr>
              <w:t xml:space="preserve">Risk</w:t>
            </w:r>
          </w:p>
        </w:tc>
        <w:tc>
          <w:tcPr>
            <w:shd w:val="clear" w:color="auto" w:fill="1B3A6B"/>
            <w:tcW w:w="870" w:type="dxa"/>
          </w:tcPr>
          <w:p>
            <w:pPr>
              <w:pStyle w:val="Compact"/>
              <w:spacing w:before="0" w:after="0" w:line="240" w:lineRule="auto"/>
              <w:jc w:val="left"/>
            </w:pPr>
            <w:r>
              <w:rPr>
                <w:b/>
                <w:color w:val="FFFFFF"/>
                <w:sz w:val="17"/>
              </w:rPr>
              <w:t xml:space="preserve">Pillars</w:t>
            </w:r>
          </w:p>
        </w:tc>
        <w:tc>
          <w:tcPr>
            <w:shd w:val="clear" w:color="auto" w:fill="1B3A6B"/>
            <w:tcW w:w="975" w:type="dxa"/>
          </w:tcPr>
          <w:p>
            <w:pPr>
              <w:pStyle w:val="Compact"/>
              <w:spacing w:before="0" w:after="0" w:line="240" w:lineRule="auto"/>
              <w:jc w:val="left"/>
            </w:pPr>
            <w:r>
              <w:rPr>
                <w:b/>
                <w:color w:val="FFFFFF"/>
                <w:sz w:val="17"/>
              </w:rPr>
              <w:t xml:space="preserve">Prob.</w:t>
            </w:r>
          </w:p>
        </w:tc>
        <w:tc>
          <w:tcPr>
            <w:shd w:val="clear" w:color="auto" w:fill="1B3A6B"/>
            <w:tcW w:w="810" w:type="dxa"/>
          </w:tcPr>
          <w:p>
            <w:pPr>
              <w:pStyle w:val="Compact"/>
              <w:spacing w:before="0" w:after="0" w:line="240" w:lineRule="auto"/>
              <w:jc w:val="left"/>
            </w:pPr>
            <w:r>
              <w:rPr>
                <w:b/>
                <w:color w:val="FFFFFF"/>
                <w:sz w:val="17"/>
              </w:rPr>
              <w:t xml:space="preserve">Impact</w:t>
            </w:r>
          </w:p>
        </w:tc>
        <w:tc>
          <w:tcPr>
            <w:shd w:val="clear" w:color="auto" w:fill="1B3A6B"/>
            <w:tcW w:w="675" w:type="dxa"/>
          </w:tcPr>
          <w:p>
            <w:pPr>
              <w:pStyle w:val="Compact"/>
              <w:spacing w:before="0" w:after="0" w:line="240" w:lineRule="auto"/>
              <w:jc w:val="left"/>
            </w:pPr>
            <w:r>
              <w:rPr>
                <w:b/>
                <w:color w:val="FFFFFF"/>
                <w:sz w:val="17"/>
              </w:rPr>
              <w:t xml:space="preserve">Score</w:t>
            </w:r>
          </w:p>
        </w:tc>
        <w:tc>
          <w:tcPr>
            <w:shd w:val="clear" w:color="auto" w:fill="1B3A6B"/>
            <w:tcW w:w="2190" w:type="dxa"/>
          </w:tcPr>
          <w:p>
            <w:pPr>
              <w:pStyle w:val="Compact"/>
              <w:spacing w:before="0" w:after="0" w:line="240" w:lineRule="auto"/>
              <w:jc w:val="left"/>
            </w:pPr>
            <w:r>
              <w:rPr>
                <w:b/>
                <w:color w:val="FFFFFF"/>
                <w:sz w:val="17"/>
              </w:rPr>
              <w:t xml:space="preserve">Response</w:t>
            </w:r>
          </w:p>
        </w:tc>
        <w:tc>
          <w:tcPr>
            <w:shd w:val="clear" w:color="auto" w:fill="1B3A6B"/>
            <w:tcW w:w="1035" w:type="dxa"/>
          </w:tcPr>
          <w:p>
            <w:pPr>
              <w:pStyle w:val="Compact"/>
              <w:spacing w:before="0" w:after="0" w:line="240" w:lineRule="auto"/>
              <w:jc w:val="left"/>
            </w:pPr>
            <w:r>
              <w:rPr>
                <w:b/>
                <w:color w:val="FFFFFF"/>
                <w:sz w:val="17"/>
              </w:rPr>
              <w:t xml:space="preserve">Owner</w:t>
            </w:r>
          </w:p>
        </w:tc>
      </w:tr>
      <w:tr>
        <w:trPr>
          <w:cantSplit/>
        </w:trPr>
        <w:tc>
          <w:tcPr>
            <w:tcW w:w="585" w:type="dxa"/>
          </w:tcPr>
          <w:p>
            <w:pPr>
              <w:pStyle w:val="Compact"/>
              <w:spacing w:before="0" w:after="0" w:line="240" w:lineRule="auto"/>
              <w:jc w:val="left"/>
            </w:pPr>
            <w:r>
              <w:rPr>
                <w:sz w:val="17"/>
              </w:rPr>
              <w:t xml:space="preserve">R-01</w:t>
            </w:r>
          </w:p>
        </w:tc>
        <w:tc>
          <w:tcPr>
            <w:tcW w:w="1905" w:type="dxa"/>
          </w:tcPr>
          <w:p>
            <w:pPr>
              <w:pStyle w:val="Compact"/>
              <w:spacing w:before="0" w:after="0" w:line="240" w:lineRule="auto"/>
              <w:jc w:val="left"/>
            </w:pPr>
            <w:r>
              <w:rPr>
                <w:sz w:val="17"/>
              </w:rPr>
              <w:t xml:space="preserve">Analytics vendor not operational by Jan 2027; hospitals enter AHEAD without financial-management capability</w:t>
            </w:r>
          </w:p>
        </w:tc>
        <w:tc>
          <w:tcPr>
            <w:tcW w:w="870" w:type="dxa"/>
          </w:tcPr>
          <w:p>
            <w:pPr>
              <w:pStyle w:val="Compact"/>
              <w:spacing w:before="0" w:after="0" w:line="240" w:lineRule="auto"/>
              <w:jc w:val="left"/>
            </w:pPr>
            <w:r>
              <w:rPr>
                <w:sz w:val="17"/>
              </w:rPr>
              <w:t xml:space="preserve">Tech, Econ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Accelerate: parallel VHCURES direct-access; HCC gap closure as compensating investment</w:t>
            </w:r>
          </w:p>
        </w:tc>
        <w:tc>
          <w:tcPr>
            <w:tcW w:w="1035" w:type="dxa"/>
          </w:tcPr>
          <w:p>
            <w:pPr>
              <w:pStyle w:val="Compact"/>
              <w:spacing w:before="0" w:after="0" w:line="240" w:lineRule="auto"/>
              <w:jc w:val="left"/>
            </w:pPr>
            <w:r>
              <w:rPr>
                <w:sz w:val="17"/>
              </w:rPr>
              <w:t xml:space="preserve">Tech PM + Portfolio Mgr</w:t>
            </w:r>
          </w:p>
        </w:tc>
      </w:tr>
      <w:tr>
        <w:trPr/>
        <w:tc>
          <w:tcPr>
            <w:tcW w:w="585" w:type="dxa"/>
          </w:tcPr>
          <w:p>
            <w:pPr>
              <w:pStyle w:val="Compact"/>
              <w:spacing w:before="0" w:after="0" w:line="240" w:lineRule="auto"/>
              <w:jc w:val="left"/>
            </w:pPr>
            <w:r>
              <w:rPr>
                <w:sz w:val="17"/>
              </w:rPr>
              <w:t xml:space="preserve">R-02</w:t>
            </w:r>
          </w:p>
        </w:tc>
        <w:tc>
          <w:tcPr>
            <w:tcW w:w="1905" w:type="dxa"/>
          </w:tcPr>
          <w:p>
            <w:pPr>
              <w:pStyle w:val="Compact"/>
              <w:spacing w:before="0" w:after="0" w:line="240" w:lineRule="auto"/>
              <w:jc w:val="left"/>
            </w:pPr>
            <w:r>
              <w:rPr>
                <w:sz w:val="17"/>
              </w:rPr>
              <w:t xml:space="preserve">RBP methodology hollowed by regulatory process; no meaningful repricing</w:t>
            </w:r>
          </w:p>
        </w:tc>
        <w:tc>
          <w:tcPr>
            <w:tcW w:w="870" w:type="dxa"/>
          </w:tcPr>
          <w:p>
            <w:pPr>
              <w:pStyle w:val="Compact"/>
              <w:spacing w:before="0" w:after="0" w:line="240" w:lineRule="auto"/>
              <w:jc w:val="left"/>
            </w:pPr>
            <w:r>
              <w:rPr>
                <w:sz w:val="17"/>
              </w:rPr>
              <w:t xml:space="preserve">Policy,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hospital data submission; equity review embedded; HCAC oversight</w:t>
            </w:r>
          </w:p>
        </w:tc>
        <w:tc>
          <w:tcPr>
            <w:tcW w:w="1035" w:type="dxa"/>
          </w:tcPr>
          <w:p>
            <w:pPr>
              <w:pStyle w:val="Compact"/>
              <w:spacing w:before="0" w:after="0" w:line="240" w:lineRule="auto"/>
              <w:jc w:val="left"/>
            </w:pPr>
            <w:r>
              <w:rPr>
                <w:sz w:val="17"/>
              </w:rPr>
              <w:t xml:space="preserve">Policy PM + GMCB</w:t>
            </w:r>
          </w:p>
        </w:tc>
      </w:tr>
      <w:tr>
        <w:trPr/>
        <w:tc>
          <w:tcPr>
            <w:tcW w:w="585" w:type="dxa"/>
          </w:tcPr>
          <w:p>
            <w:pPr>
              <w:pStyle w:val="Compact"/>
              <w:spacing w:before="0" w:after="0" w:line="240" w:lineRule="auto"/>
              <w:jc w:val="left"/>
            </w:pPr>
            <w:r>
              <w:rPr>
                <w:sz w:val="17"/>
              </w:rPr>
              <w:t xml:space="preserve">R-03</w:t>
            </w:r>
          </w:p>
        </w:tc>
        <w:tc>
          <w:tcPr>
            <w:tcW w:w="1905" w:type="dxa"/>
          </w:tcPr>
          <w:p>
            <w:pPr>
              <w:pStyle w:val="Compact"/>
              <w:spacing w:before="0" w:after="0" w:line="240" w:lineRule="auto"/>
              <w:jc w:val="left"/>
            </w:pPr>
            <w:r>
              <w:rPr>
                <w:sz w:val="17"/>
              </w:rPr>
              <w:t xml:space="preserve">AHS overcommitment produces a descriptive (non-binding) Dec 2028 Strategic Plan</w:t>
            </w:r>
          </w:p>
        </w:tc>
        <w:tc>
          <w:tcPr>
            <w:tcW w:w="870" w:type="dxa"/>
          </w:tcPr>
          <w:p>
            <w:pPr>
              <w:pStyle w:val="Compact"/>
              <w:spacing w:before="0" w:after="0" w:line="240" w:lineRule="auto"/>
              <w:jc w:val="left"/>
            </w:pPr>
            <w:r>
              <w:rPr>
                <w:sz w:val="17"/>
              </w:rPr>
              <w:t xml:space="preserve">Ops, Policy</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PMO by Q1 2027; resource-conflict authority; external plan support</w:t>
            </w:r>
          </w:p>
        </w:tc>
        <w:tc>
          <w:tcPr>
            <w:tcW w:w="1035" w:type="dxa"/>
          </w:tcPr>
          <w:p>
            <w:pPr>
              <w:pStyle w:val="Compact"/>
              <w:spacing w:before="0" w:after="0" w:line="240" w:lineRule="auto"/>
              <w:jc w:val="left"/>
            </w:pPr>
            <w:r>
              <w:rPr>
                <w:sz w:val="17"/>
              </w:rPr>
              <w:t xml:space="preserve">Ops PM + Portfolio Mgr</w:t>
            </w:r>
          </w:p>
        </w:tc>
      </w:tr>
      <w:tr>
        <w:trPr/>
        <w:tc>
          <w:tcPr>
            <w:tcW w:w="585" w:type="dxa"/>
          </w:tcPr>
          <w:p>
            <w:pPr>
              <w:pStyle w:val="Compact"/>
              <w:spacing w:before="0" w:after="0" w:line="240" w:lineRule="auto"/>
              <w:jc w:val="left"/>
            </w:pPr>
            <w:r>
              <w:rPr>
                <w:sz w:val="17"/>
              </w:rPr>
              <w:t xml:space="preserve">R-04</w:t>
            </w:r>
          </w:p>
        </w:tc>
        <w:tc>
          <w:tcPr>
            <w:tcW w:w="1905" w:type="dxa"/>
          </w:tcPr>
          <w:p>
            <w:pPr>
              <w:pStyle w:val="Compact"/>
              <w:spacing w:before="0" w:after="0" w:line="240" w:lineRule="auto"/>
              <w:jc w:val="left"/>
            </w:pPr>
            <w:r>
              <w:rPr>
                <w:sz w:val="17"/>
              </w:rPr>
              <w:t xml:space="preserve">2026 governor committed to Act 68 modification; mandatory architecture at risk</w:t>
            </w:r>
          </w:p>
        </w:tc>
        <w:tc>
          <w:tcPr>
            <w:tcW w:w="870" w:type="dxa"/>
          </w:tcPr>
          <w:p>
            <w:pPr>
              <w:pStyle w:val="Compact"/>
              <w:spacing w:before="0" w:after="0" w:line="240" w:lineRule="auto"/>
              <w:jc w:val="left"/>
            </w:pPr>
            <w:r>
              <w:rPr>
                <w:sz w:val="17"/>
              </w:rPr>
              <w:t xml:space="preserve">Policy</w:t>
            </w:r>
          </w:p>
        </w:tc>
        <w:tc>
          <w:tcPr>
            <w:tcW w:w="975" w:type="dxa"/>
          </w:tcPr>
          <w:p>
            <w:pPr>
              <w:pStyle w:val="Compact"/>
              <w:spacing w:before="0" w:after="0" w:line="240" w:lineRule="auto"/>
              <w:jc w:val="left"/>
            </w:pPr>
            <w:r>
              <w:rPr>
                <w:sz w:val="17"/>
              </w:rPr>
              <w:t xml:space="preserve">Low–Med</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Accept + monitor: build irreversibility; document progress; legislative relationships</w:t>
            </w:r>
          </w:p>
        </w:tc>
        <w:tc>
          <w:tcPr>
            <w:tcW w:w="1035" w:type="dxa"/>
          </w:tcPr>
          <w:p>
            <w:pPr>
              <w:pStyle w:val="Compact"/>
              <w:spacing w:before="0" w:after="0" w:line="240" w:lineRule="auto"/>
              <w:jc w:val="left"/>
            </w:pPr>
            <w:r>
              <w:rPr>
                <w:sz w:val="17"/>
              </w:rPr>
              <w:t xml:space="preserve">Portfolio Mgr + AHS Secretary</w:t>
            </w:r>
          </w:p>
        </w:tc>
      </w:tr>
      <w:tr>
        <w:trPr/>
        <w:tc>
          <w:tcPr>
            <w:tcW w:w="585" w:type="dxa"/>
          </w:tcPr>
          <w:p>
            <w:pPr>
              <w:pStyle w:val="Compact"/>
              <w:spacing w:before="0" w:after="0" w:line="240" w:lineRule="auto"/>
              <w:jc w:val="left"/>
            </w:pPr>
            <w:r>
              <w:rPr>
                <w:sz w:val="17"/>
              </w:rPr>
              <w:t xml:space="preserve">R-05</w:t>
            </w:r>
          </w:p>
        </w:tc>
        <w:tc>
          <w:tcPr>
            <w:tcW w:w="1905" w:type="dxa"/>
          </w:tcPr>
          <w:p>
            <w:pPr>
              <w:pStyle w:val="Compact"/>
              <w:spacing w:before="0" w:after="0" w:line="240" w:lineRule="auto"/>
              <w:jc w:val="left"/>
            </w:pPr>
            <w:r>
              <w:rPr>
                <w:sz w:val="17"/>
              </w:rPr>
              <w:t xml:space="preserve">H.R. 1 Medicaid cuts reduce EAST Fund capacity; Clinical/Equity investments constrained</w:t>
            </w:r>
          </w:p>
        </w:tc>
        <w:tc>
          <w:tcPr>
            <w:tcW w:w="870" w:type="dxa"/>
          </w:tcPr>
          <w:p>
            <w:pPr>
              <w:pStyle w:val="Compact"/>
              <w:spacing w:before="0" w:after="0" w:line="240" w:lineRule="auto"/>
              <w:jc w:val="left"/>
            </w:pPr>
            <w:r>
              <w:rPr>
                <w:sz w:val="17"/>
              </w:rPr>
              <w:t xml:space="preserve">Clin, Equity, Econ</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scenario plan for 30% reduction; alternative financing; prioritize ROI</w:t>
            </w:r>
          </w:p>
        </w:tc>
        <w:tc>
          <w:tcPr>
            <w:tcW w:w="1035" w:type="dxa"/>
          </w:tcPr>
          <w:p>
            <w:pPr>
              <w:pStyle w:val="Compact"/>
              <w:spacing w:before="0" w:after="0" w:line="240" w:lineRule="auto"/>
              <w:jc w:val="left"/>
            </w:pPr>
            <w:r>
              <w:rPr>
                <w:sz w:val="17"/>
              </w:rPr>
              <w:t xml:space="preserve">Econ PM + DVHA</w:t>
            </w:r>
          </w:p>
        </w:tc>
      </w:tr>
      <w:tr>
        <w:trPr/>
        <w:tc>
          <w:tcPr>
            <w:tcW w:w="585" w:type="dxa"/>
          </w:tcPr>
          <w:p>
            <w:pPr>
              <w:pStyle w:val="Compact"/>
              <w:spacing w:before="0" w:after="0" w:line="240" w:lineRule="auto"/>
              <w:jc w:val="left"/>
            </w:pPr>
            <w:r>
              <w:rPr>
                <w:sz w:val="17"/>
              </w:rPr>
              <w:t xml:space="preserve">R-06</w:t>
            </w:r>
          </w:p>
        </w:tc>
        <w:tc>
          <w:tcPr>
            <w:tcW w:w="1905" w:type="dxa"/>
          </w:tcPr>
          <w:p>
            <w:pPr>
              <w:pStyle w:val="Compact"/>
              <w:spacing w:before="0" w:after="0" w:line="240" w:lineRule="auto"/>
              <w:jc w:val="left"/>
            </w:pPr>
            <w:r>
              <w:rPr>
                <w:sz w:val="17"/>
              </w:rPr>
              <w:t xml:space="preserve">VITL connectivity gaps persist; AHEAD population-health management incomplete</w:t>
            </w:r>
          </w:p>
        </w:tc>
        <w:tc>
          <w:tcPr>
            <w:tcW w:w="870" w:type="dxa"/>
          </w:tcPr>
          <w:p>
            <w:pPr>
              <w:pStyle w:val="Compact"/>
              <w:spacing w:before="0" w:after="0" w:line="240" w:lineRule="auto"/>
              <w:jc w:val="left"/>
            </w:pPr>
            <w:r>
              <w:rPr>
                <w:sz w:val="17"/>
              </w:rPr>
              <w:t xml:space="preserve">Tech, Clin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CIN shared services for small providers; VITL as Blueprint condition</w:t>
            </w:r>
          </w:p>
        </w:tc>
        <w:tc>
          <w:tcPr>
            <w:tcW w:w="1035" w:type="dxa"/>
          </w:tcPr>
          <w:p>
            <w:pPr>
              <w:pStyle w:val="Compact"/>
              <w:spacing w:before="0" w:after="0" w:line="240" w:lineRule="auto"/>
              <w:jc w:val="left"/>
            </w:pPr>
            <w:r>
              <w:rPr>
                <w:sz w:val="17"/>
              </w:rPr>
              <w:t xml:space="preserve">Tech PM</w:t>
            </w:r>
          </w:p>
        </w:tc>
      </w:tr>
      <w:tr>
        <w:trPr/>
        <w:tc>
          <w:tcPr>
            <w:tcW w:w="585" w:type="dxa"/>
          </w:tcPr>
          <w:p>
            <w:pPr>
              <w:pStyle w:val="Compact"/>
              <w:spacing w:before="0" w:after="0" w:line="240" w:lineRule="auto"/>
              <w:jc w:val="left"/>
            </w:pPr>
            <w:r>
              <w:rPr>
                <w:sz w:val="17"/>
              </w:rPr>
              <w:t xml:space="preserve">R-07</w:t>
            </w:r>
          </w:p>
        </w:tc>
        <w:tc>
          <w:tcPr>
            <w:tcW w:w="1905" w:type="dxa"/>
          </w:tcPr>
          <w:p>
            <w:pPr>
              <w:pStyle w:val="Compact"/>
              <w:spacing w:before="0" w:after="0" w:line="240" w:lineRule="auto"/>
              <w:jc w:val="left"/>
            </w:pPr>
            <w:r>
              <w:rPr>
                <w:sz w:val="17"/>
              </w:rPr>
              <w:t xml:space="preserve">RHRC engagement not replaced by adequate successor; planning loses momentum</w:t>
            </w:r>
          </w:p>
        </w:tc>
        <w:tc>
          <w:tcPr>
            <w:tcW w:w="870" w:type="dxa"/>
          </w:tcPr>
          <w:p>
            <w:pPr>
              <w:pStyle w:val="Compact"/>
              <w:spacing w:before="0" w:after="0" w:line="240" w:lineRule="auto"/>
              <w:jc w:val="left"/>
            </w:pPr>
            <w:r>
              <w:rPr>
                <w:sz w:val="17"/>
              </w:rPr>
              <w:t xml:space="preserve">Ops</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PMO includes hospital-transformation PM; document RHRC lessons; CIN continuation</w:t>
            </w:r>
          </w:p>
        </w:tc>
        <w:tc>
          <w:tcPr>
            <w:tcW w:w="1035" w:type="dxa"/>
          </w:tcPr>
          <w:p>
            <w:pPr>
              <w:pStyle w:val="Compact"/>
              <w:spacing w:before="0" w:after="0" w:line="240" w:lineRule="auto"/>
              <w:jc w:val="left"/>
            </w:pPr>
            <w:r>
              <w:rPr>
                <w:sz w:val="17"/>
              </w:rPr>
              <w:t xml:space="preserve">Ops PM</w:t>
            </w:r>
          </w:p>
        </w:tc>
      </w:tr>
      <w:tr>
        <w:trPr/>
        <w:tc>
          <w:tcPr>
            <w:tcW w:w="585" w:type="dxa"/>
          </w:tcPr>
          <w:p>
            <w:pPr>
              <w:pStyle w:val="Compact"/>
              <w:spacing w:before="0" w:after="0" w:line="240" w:lineRule="auto"/>
              <w:jc w:val="left"/>
            </w:pPr>
            <w:r>
              <w:rPr>
                <w:sz w:val="17"/>
              </w:rPr>
              <w:t xml:space="preserve">R-08</w:t>
            </w:r>
          </w:p>
        </w:tc>
        <w:tc>
          <w:tcPr>
            <w:tcW w:w="1905" w:type="dxa"/>
          </w:tcPr>
          <w:p>
            <w:pPr>
              <w:pStyle w:val="Compact"/>
              <w:spacing w:before="0" w:after="0" w:line="240" w:lineRule="auto"/>
              <w:jc w:val="left"/>
            </w:pPr>
            <w:r>
              <w:rPr>
                <w:sz w:val="17"/>
              </w:rPr>
              <w:t xml:space="preserve">Social-risk adjustment not adopted before FY2028 budgets; safety-net hospitals penalized</w:t>
            </w:r>
          </w:p>
        </w:tc>
        <w:tc>
          <w:tcPr>
            <w:tcW w:w="870" w:type="dxa"/>
          </w:tcPr>
          <w:p>
            <w:pPr>
              <w:pStyle w:val="Compact"/>
              <w:spacing w:before="0" w:after="0" w:line="240" w:lineRule="auto"/>
              <w:jc w:val="left"/>
            </w:pPr>
            <w:r>
              <w:rPr>
                <w:sz w:val="17"/>
              </w:rPr>
              <w:t xml:space="preserve">Equity,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Accelerate: Equity PM leads SRA as co-equal to budget design; HCAC equity review required</w:t>
            </w:r>
          </w:p>
        </w:tc>
        <w:tc>
          <w:tcPr>
            <w:tcW w:w="1035" w:type="dxa"/>
          </w:tcPr>
          <w:p>
            <w:pPr>
              <w:pStyle w:val="Compact"/>
              <w:spacing w:before="0" w:after="0" w:line="240" w:lineRule="auto"/>
              <w:jc w:val="left"/>
            </w:pPr>
            <w:r>
              <w:rPr>
                <w:sz w:val="17"/>
              </w:rPr>
              <w:t xml:space="preserve">Equity PM + GMCB</w:t>
            </w:r>
          </w:p>
        </w:tc>
      </w:tr>
      <w:tr>
        <w:trPr/>
        <w:tc>
          <w:tcPr>
            <w:tcW w:w="585" w:type="dxa"/>
          </w:tcPr>
          <w:p>
            <w:pPr>
              <w:pStyle w:val="Compact"/>
              <w:spacing w:before="0" w:after="0" w:line="240" w:lineRule="auto"/>
              <w:jc w:val="left"/>
            </w:pPr>
            <w:r>
              <w:rPr>
                <w:sz w:val="17"/>
              </w:rPr>
              <w:t xml:space="preserve">R-09</w:t>
            </w:r>
          </w:p>
        </w:tc>
        <w:tc>
          <w:tcPr>
            <w:tcW w:w="1905" w:type="dxa"/>
          </w:tcPr>
          <w:p>
            <w:pPr>
              <w:pStyle w:val="Compact"/>
              <w:spacing w:before="0" w:after="0" w:line="240" w:lineRule="auto"/>
              <w:jc w:val="left"/>
            </w:pPr>
            <w:r>
              <w:rPr>
                <w:sz w:val="17"/>
              </w:rPr>
              <w:t xml:space="preserve">Insufficient clinical-leader engagement; AHEAD driven by administrators without clinical ownership</w:t>
            </w:r>
          </w:p>
        </w:tc>
        <w:tc>
          <w:tcPr>
            <w:tcW w:w="870" w:type="dxa"/>
          </w:tcPr>
          <w:p>
            <w:pPr>
              <w:pStyle w:val="Compact"/>
              <w:spacing w:before="0" w:after="0" w:line="240" w:lineRule="auto"/>
              <w:jc w:val="left"/>
            </w:pPr>
            <w:r>
              <w:rPr>
                <w:sz w:val="17"/>
              </w:rPr>
              <w:t xml:space="preserve">Clinical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Medium</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Mitigate: clinical advisory structure in HCAC; physician/nursing co-chairs; clinical KPIs in monthly reports</w:t>
            </w:r>
          </w:p>
        </w:tc>
        <w:tc>
          <w:tcPr>
            <w:tcW w:w="1035" w:type="dxa"/>
          </w:tcPr>
          <w:p>
            <w:pPr>
              <w:pStyle w:val="Compact"/>
              <w:spacing w:before="0" w:after="0" w:line="240" w:lineRule="auto"/>
              <w:jc w:val="left"/>
            </w:pPr>
            <w:r>
              <w:rPr>
                <w:sz w:val="17"/>
              </w:rPr>
              <w:t xml:space="preserve">Clinical PM + HCAC</w:t>
            </w:r>
          </w:p>
        </w:tc>
      </w:tr>
      <w:tr>
        <w:trPr>
          <w:cantSplit/>
        </w:trPr>
        <w:tc>
          <w:tcPr>
            <w:tcW w:w="585" w:type="dxa"/>
          </w:tcPr>
          <w:p>
            <w:pPr>
              <w:pStyle w:val="Compact"/>
              <w:spacing w:before="0" w:after="0" w:line="240" w:lineRule="auto"/>
              <w:jc w:val="left"/>
            </w:pPr>
            <w:r>
              <w:rPr>
                <w:sz w:val="17"/>
              </w:rPr>
              <w:t xml:space="preserve">R-10</w:t>
            </w:r>
          </w:p>
        </w:tc>
        <w:tc>
          <w:tcPr>
            <w:tcW w:w="1905" w:type="dxa"/>
          </w:tcPr>
          <w:p>
            <w:pPr>
              <w:pStyle w:val="Compact"/>
              <w:spacing w:before="0" w:after="0" w:line="240" w:lineRule="auto"/>
              <w:jc w:val="left"/>
            </w:pPr>
            <w:r>
              <w:rPr>
                <w:sz w:val="17"/>
              </w:rPr>
              <w:t xml:space="preserve">Portfolio-management infrastructure not established before 2027 deadlines; managed as a collection of projects</w:t>
            </w:r>
          </w:p>
        </w:tc>
        <w:tc>
          <w:tcPr>
            <w:tcW w:w="870" w:type="dxa"/>
          </w:tcPr>
          <w:p>
            <w:pPr>
              <w:pStyle w:val="Compact"/>
              <w:spacing w:before="0" w:after="0" w:line="240" w:lineRule="auto"/>
              <w:jc w:val="left"/>
            </w:pPr>
            <w:r>
              <w:rPr>
                <w:sz w:val="17"/>
              </w:rPr>
              <w:t xml:space="preserve">All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Avoid: hire Portfolio Manager by Q3 2026; PMO by Q1 2027 (the primary motivation for this chapter)</w:t>
            </w:r>
          </w:p>
        </w:tc>
        <w:tc>
          <w:tcPr>
            <w:tcW w:w="1035" w:type="dxa"/>
          </w:tcPr>
          <w:p>
            <w:pPr>
              <w:pStyle w:val="Compact"/>
              <w:spacing w:before="0" w:after="0" w:line="240" w:lineRule="auto"/>
              <w:jc w:val="left"/>
            </w:pPr>
            <w:r>
              <w:rPr>
                <w:sz w:val="17"/>
              </w:rPr>
              <w:t xml:space="preserve">AHS Secretary</w:t>
            </w:r>
          </w:p>
        </w:tc>
      </w:tr>
    </w:tbl>
    <w:p>
      <w:pPr>
        <w:pStyle w:val="Caption"/>
        <w:spacing w:before="120"/>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7" w:name="_Toc1416"/>
      <w:r>
        <w:rPr>
          <w:b/>
          <w:bCs/>
          <w:color w:val="161B22"/>
        </w:rPr>
        <w:t xml:space="preserve">Benefits Realization: Connecting the PMO to Act 167’s Five Goals</w:t>
      </w:r>
      <w:bookmarkEnd w:id="1417"/>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spacing w:before="120"/>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18" w:name="_Toc1417"/>
      <w:r>
        <w:rPr>
          <w:b/>
          <w:bCs/>
          <w:color w:val="161B22"/>
        </w:rPr>
        <w:t xml:space="preserve">The Business Case</w:t>
      </w:r>
      <w:bookmarkEnd w:id="1418"/>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040"/>
        <w:gridCol w:w="1290"/>
        <w:gridCol w:w="1545"/>
        <w:gridCol w:w="4185"/>
      </w:tblGrid>
      <w:tr>
        <w:trPr>
          <w:tblHeader w:val="on"/>
          <w:cantSplit/>
        </w:trPr>
        <w:tc>
          <w:tcPr>
            <w:shd w:val="clear" w:color="auto" w:fill="1B3A6B"/>
            <w:tcW w:w="2040" w:type="dxa"/>
          </w:tcPr>
          <w:p>
            <w:pPr>
              <w:pStyle w:val="Compact"/>
              <w:jc w:val="left"/>
            </w:pPr>
            <w:r>
              <w:rPr>
                <w:b/>
                <w:color w:val="FFFFFF"/>
                <w:sz w:val="18"/>
              </w:rPr>
              <w:t xml:space="preserve">Investment</w:t>
            </w:r>
          </w:p>
        </w:tc>
        <w:tc>
          <w:tcPr>
            <w:shd w:val="clear" w:color="auto" w:fill="1B3A6B"/>
            <w:tcW w:w="1290" w:type="dxa"/>
          </w:tcPr>
          <w:p>
            <w:pPr>
              <w:pStyle w:val="Compact"/>
              <w:jc w:val="left"/>
            </w:pPr>
            <w:r>
              <w:rPr>
                <w:b/>
                <w:color w:val="FFFFFF"/>
                <w:sz w:val="18"/>
              </w:rPr>
              <w:t xml:space="preserve">Annual cost</w:t>
            </w:r>
          </w:p>
        </w:tc>
        <w:tc>
          <w:tcPr>
            <w:shd w:val="clear" w:color="auto" w:fill="1B3A6B"/>
            <w:tcW w:w="1545" w:type="dxa"/>
          </w:tcPr>
          <w:p>
            <w:pPr>
              <w:pStyle w:val="Compact"/>
              <w:jc w:val="left"/>
            </w:pPr>
            <w:r>
              <w:rPr>
                <w:b/>
                <w:color w:val="FFFFFF"/>
                <w:sz w:val="18"/>
              </w:rPr>
              <w:t xml:space="preserve">Total (4–5 yr)</w:t>
            </w:r>
          </w:p>
        </w:tc>
        <w:tc>
          <w:tcPr>
            <w:shd w:val="clear" w:color="auto" w:fill="1B3A6B"/>
            <w:tcW w:w="4185" w:type="dxa"/>
          </w:tcPr>
          <w:p>
            <w:pPr>
              <w:pStyle w:val="Compact"/>
              <w:jc w:val="left"/>
            </w:pPr>
            <w:r>
              <w:rPr>
                <w:b/>
                <w:color w:val="FFFFFF"/>
                <w:sz w:val="18"/>
              </w:rPr>
              <w:t xml:space="preserve">Benefit</w:t>
            </w:r>
          </w:p>
        </w:tc>
      </w:tr>
      <w:tr>
        <w:trPr>
          <w:cantSplit/>
        </w:trPr>
        <w:tc>
          <w:tcPr>
            <w:tcW w:w="2040" w:type="dxa"/>
          </w:tcPr>
          <w:p>
            <w:pPr>
              <w:pStyle w:val="Compact"/>
              <w:jc w:val="left"/>
            </w:pPr>
            <w:r>
              <w:rPr>
                <w:sz w:val="18"/>
              </w:rPr>
              <w:t xml:space="preserve">Portfolio Manager (PfMP, senior)</w:t>
            </w:r>
          </w:p>
        </w:tc>
        <w:tc>
          <w:tcPr>
            <w:tcW w:w="1290" w:type="dxa"/>
          </w:tcPr>
          <w:p>
            <w:pPr>
              <w:pStyle w:val="Compact"/>
              <w:jc w:val="left"/>
            </w:pPr>
            <w:r>
              <w:rPr>
                <w:sz w:val="18"/>
              </w:rPr>
              <w:t xml:space="preserve">$180K–$220K</w:t>
            </w:r>
          </w:p>
        </w:tc>
        <w:tc>
          <w:tcPr>
            <w:tcW w:w="1545" w:type="dxa"/>
          </w:tcPr>
          <w:p>
            <w:pPr>
              <w:pStyle w:val="Compact"/>
              <w:jc w:val="left"/>
            </w:pPr>
            <w:r>
              <w:rPr>
                <w:sz w:val="18"/>
              </w:rPr>
              <w:t xml:space="preserve">~$900K–$1.1M</w:t>
            </w:r>
          </w:p>
        </w:tc>
        <w:tc>
          <w:tcPr>
            <w:tcW w:w="4185" w:type="dxa"/>
          </w:tcPr>
          <w:p>
            <w:pPr>
              <w:pStyle w:val="Compact"/>
              <w:jc w:val="left"/>
            </w:pPr>
            <w:r>
              <w:rPr>
                <w:sz w:val="18"/>
              </w:rPr>
              <w:t xml:space="preserve">R-10 avoided; coordinates $195M RHT + ~$150M/yr EAST Fund; single accountability for Dec 2028</w:t>
            </w:r>
          </w:p>
        </w:tc>
      </w:tr>
      <w:tr>
        <w:trPr/>
        <w:tc>
          <w:tcPr>
            <w:tcW w:w="2040" w:type="dxa"/>
          </w:tcPr>
          <w:p>
            <w:pPr>
              <w:pStyle w:val="Compact"/>
              <w:jc w:val="left"/>
            </w:pPr>
            <w:r>
              <w:rPr>
                <w:sz w:val="18"/>
              </w:rPr>
              <w:t xml:space="preserve">2 PMO Analysts</w:t>
            </w:r>
          </w:p>
        </w:tc>
        <w:tc>
          <w:tcPr>
            <w:tcW w:w="1290" w:type="dxa"/>
          </w:tcPr>
          <w:p>
            <w:pPr>
              <w:pStyle w:val="Compact"/>
              <w:jc w:val="left"/>
            </w:pPr>
            <w:r>
              <w:rPr>
                <w:sz w:val="18"/>
              </w:rPr>
              <w:t xml:space="preserve">$120K–$160K</w:t>
            </w:r>
          </w:p>
        </w:tc>
        <w:tc>
          <w:tcPr>
            <w:tcW w:w="1545" w:type="dxa"/>
          </w:tcPr>
          <w:p>
            <w:pPr>
              <w:pStyle w:val="Compact"/>
              <w:jc w:val="left"/>
            </w:pPr>
            <w:r>
              <w:rPr>
                <w:sz w:val="18"/>
              </w:rPr>
              <w:t xml:space="preserve">~$480K–$640K</w:t>
            </w:r>
          </w:p>
        </w:tc>
        <w:tc>
          <w:tcPr>
            <w:tcW w:w="4185" w:type="dxa"/>
          </w:tcPr>
          <w:p>
            <w:pPr>
              <w:pStyle w:val="Compact"/>
              <w:jc w:val="left"/>
            </w:pPr>
            <w:r>
              <w:rPr>
                <w:sz w:val="18"/>
              </w:rPr>
              <w:t xml:space="preserve">Master schedule; risk register; stakeholder comms; dashboard</w:t>
            </w:r>
          </w:p>
        </w:tc>
      </w:tr>
      <w:tr>
        <w:trPr/>
        <w:tc>
          <w:tcPr>
            <w:tcW w:w="2040" w:type="dxa"/>
          </w:tcPr>
          <w:p>
            <w:pPr>
              <w:pStyle w:val="Compact"/>
              <w:jc w:val="left"/>
            </w:pPr>
            <w:r>
              <w:rPr>
                <w:sz w:val="18"/>
              </w:rPr>
              <w:t xml:space="preserve">PPM software</w:t>
            </w:r>
          </w:p>
        </w:tc>
        <w:tc>
          <w:tcPr>
            <w:tcW w:w="1290" w:type="dxa"/>
          </w:tcPr>
          <w:p>
            <w:pPr>
              <w:pStyle w:val="Compact"/>
              <w:jc w:val="left"/>
            </w:pPr>
            <w:r>
              <w:rPr>
                <w:sz w:val="18"/>
              </w:rPr>
              <w:t xml:space="preserve">$50K–$100K</w:t>
            </w:r>
          </w:p>
        </w:tc>
        <w:tc>
          <w:tcPr>
            <w:tcW w:w="1545" w:type="dxa"/>
          </w:tcPr>
          <w:p>
            <w:pPr>
              <w:pStyle w:val="Compact"/>
              <w:jc w:val="left"/>
            </w:pPr>
            <w:r>
              <w:rPr>
                <w:sz w:val="18"/>
              </w:rPr>
              <w:t xml:space="preserve">~$250K–$500K</w:t>
            </w:r>
          </w:p>
        </w:tc>
        <w:tc>
          <w:tcPr>
            <w:tcW w:w="4185" w:type="dxa"/>
          </w:tcPr>
          <w:p>
            <w:pPr>
              <w:pStyle w:val="Compact"/>
              <w:jc w:val="left"/>
            </w:pPr>
            <w:r>
              <w:rPr>
                <w:sz w:val="18"/>
              </w:rPr>
              <w:t xml:space="preserve">Real-time visibility; resource optimization; audit trail for Act 68</w:t>
            </w:r>
          </w:p>
        </w:tc>
      </w:tr>
      <w:tr>
        <w:trPr/>
        <w:tc>
          <w:tcPr>
            <w:tcW w:w="2040" w:type="dxa"/>
          </w:tcPr>
          <w:p>
            <w:pPr>
              <w:pStyle w:val="Compact"/>
              <w:jc w:val="left"/>
            </w:pPr>
            <w:r>
              <w:rPr>
                <w:sz w:val="18"/>
              </w:rPr>
              <w:t xml:space="preserve">Six pillar PMs (shared)</w:t>
            </w:r>
          </w:p>
        </w:tc>
        <w:tc>
          <w:tcPr>
            <w:tcW w:w="1290" w:type="dxa"/>
          </w:tcPr>
          <w:p>
            <w:pPr>
              <w:pStyle w:val="Compact"/>
              <w:jc w:val="left"/>
            </w:pPr>
            <w:r>
              <w:rPr>
                <w:sz w:val="18"/>
              </w:rPr>
              <w:t xml:space="preserve">$600K–$1M</w:t>
            </w:r>
          </w:p>
        </w:tc>
        <w:tc>
          <w:tcPr>
            <w:tcW w:w="1545" w:type="dxa"/>
          </w:tcPr>
          <w:p>
            <w:pPr>
              <w:pStyle w:val="Compact"/>
              <w:jc w:val="left"/>
            </w:pPr>
            <w:r>
              <w:rPr>
                <w:sz w:val="18"/>
              </w:rPr>
              <w:t xml:space="preserve">~$3M–$5M</w:t>
            </w:r>
          </w:p>
        </w:tc>
        <w:tc>
          <w:tcPr>
            <w:tcW w:w="4185" w:type="dxa"/>
          </w:tcPr>
          <w:p>
            <w:pPr>
              <w:pStyle w:val="Compact"/>
              <w:jc w:val="left"/>
            </w:pPr>
            <w:r>
              <w:rPr>
                <w:sz w:val="18"/>
              </w:rPr>
              <w:t xml:space="preserve">Pillar-level delivery accountability; critical-path management</w:t>
            </w:r>
          </w:p>
        </w:tc>
      </w:tr>
      <w:tr>
        <w:trPr>
          <w:cantSplit/>
        </w:trPr>
        <w:tc>
          <w:tcPr>
            <w:tcW w:w="2040" w:type="dxa"/>
          </w:tcPr>
          <w:p>
            <w:pPr>
              <w:pStyle w:val="Compact"/>
              <w:jc w:val="left"/>
            </w:pPr>
            <w:r>
              <w:rPr>
                <w:sz w:val="18"/>
              </w:rPr>
              <w:t xml:space="preserve">Total</w:t>
            </w:r>
          </w:p>
        </w:tc>
        <w:tc>
          <w:tcPr>
            <w:tcW w:w="1290" w:type="dxa"/>
          </w:tcPr>
          <w:p>
            <w:pPr>
              <w:pStyle w:val="Compact"/>
              <w:jc w:val="left"/>
            </w:pPr>
            <w:r>
              <w:rPr>
                <w:sz w:val="18"/>
              </w:rPr>
              <w:t xml:space="preserve">~$1M–$1.5M</w:t>
            </w:r>
          </w:p>
        </w:tc>
        <w:tc>
          <w:tcPr>
            <w:tcW w:w="1545" w:type="dxa"/>
          </w:tcPr>
          <w:p>
            <w:pPr>
              <w:pStyle w:val="Compact"/>
              <w:jc w:val="left"/>
            </w:pPr>
            <w:r>
              <w:rPr>
                <w:sz w:val="18"/>
              </w:rPr>
              <w:t xml:space="preserve">~$4.5M–$7.5M</w:t>
            </w:r>
          </w:p>
        </w:tc>
        <w:tc>
          <w:tcPr>
            <w:tcW w:w="4185" w:type="dxa"/>
          </w:tcPr>
          <w:p>
            <w:pPr>
              <w:pStyle w:val="Compact"/>
              <w:jc w:val="left"/>
            </w:pPr>
            <w:r>
              <w:rPr>
                <w:sz w:val="18"/>
              </w:rPr>
              <w:t xml:space="preserve">&lt;2% of the portfolio value managed vs. $195M RHT + ~$150M/yr EAST Fund + $300M+ RBP savings</w:t>
            </w:r>
          </w:p>
        </w:tc>
      </w:tr>
    </w:tbl>
    <w:p>
      <w:pPr>
        <w:pStyle w:val="Caption"/>
        <w:spacing w:before="120"/>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19" w:name="_Toc1418"/>
      <w:r>
        <w:rPr>
          <w:b/>
          <w:bCs/>
          <w:color w:val="161B22"/>
        </w:rPr>
        <w:t xml:space="preserve">Implementation Roadmap</w:t>
      </w:r>
      <w:bookmarkEnd w:id="1419"/>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20" w:name="_Toc1419"/>
      <w:r>
        <w:rPr>
          <w:b/>
          <w:bCs/>
          <w:color w:val="161B22"/>
        </w:rPr>
        <w:t xml:space="preserve">Answering the Four Objections</w:t>
      </w:r>
      <w:bookmarkEnd w:id="1420"/>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21" w:name="_Toc1420"/>
      <w:r>
        <w:rPr>
          <w:b/>
          <w:bCs/>
          <w:color w:val="161B22"/>
        </w:rPr>
        <w:t xml:space="preserve">Work This Chapter on the Platform</w:t>
      </w:r>
      <w:bookmarkEnd w:id="1421"/>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Identify which pillar is the binding constraint on the whole portfolio right now</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4062" w:type="dxa"/>
          </w:tcPr>
          <w:p>
            <w:pPr>
              <w:pStyle w:val="Compact"/>
              <w:jc w:val="left"/>
            </w:pPr>
            <w:r>
              <w:rPr>
                <w:sz w:val="18"/>
              </w:rPr>
              <w:t xml:space="preserve">Track the capital committed against each pillar and see where funding and dependency order disagree</w:t>
            </w:r>
          </w:p>
        </w:tc>
        <w:tc>
          <w:tcPr>
            <w:tcW w:w="947" w:type="dxa"/>
          </w:tcPr>
          <w:p>
            <w:pPr>
              <w:pStyle w:val="Compact"/>
              <w:jc w:val="left"/>
            </w:pPr>
            <w:hyperlink r:id="rId460">
              <w:r>
                <w:rPr>
                  <w:rStyle w:val="Hyperlink"/>
                  <w:b/>
                  <w:bCs/>
                </w:rPr>
                <w:t xml:space="preserve">Investment Tracker</w:t>
              </w:r>
            </w:hyperlink>
          </w:p>
        </w:tc>
        <w:tc>
          <w:tcPr>
            <w:tcW w:w="4062"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4062" w:type="dxa"/>
          </w:tcPr>
          <w:p>
            <w:pPr>
              <w:pStyle w:val="Compact"/>
              <w:jc w:val="left"/>
            </w:pPr>
            <w:r>
              <w:rPr>
                <w:sz w:val="18"/>
              </w:rPr>
              <w:t xml:space="preserve">Watch the six-pillar status of a transformation move over time rather than at a single reporting date</w:t>
            </w:r>
          </w:p>
        </w:tc>
        <w:tc>
          <w:tcPr>
            <w:tcW w:w="947" w:type="dxa"/>
          </w:tcPr>
          <w:p>
            <w:pPr>
              <w:pStyle w:val="Compact"/>
              <w:jc w:val="left"/>
            </w:pPr>
            <w:hyperlink r:id="rId424">
              <w:r>
                <w:rPr>
                  <w:rStyle w:val="Hyperlink"/>
                  <w:b/>
                  <w:bCs/>
                </w:rPr>
                <w:t xml:space="preserve">HTI Dashboard</w:t>
              </w:r>
            </w:hyperlink>
          </w:p>
        </w:tc>
        <w:tc>
          <w:tcPr>
            <w:tcW w:w="4062" w:type="dxa"/>
          </w:tcPr>
          <w:p>
            <w:pPr>
              <w:pStyle w:val="Compact"/>
              <w:jc w:val="left"/>
            </w:pPr>
            <w:r>
              <w:rPr>
                <w:sz w:val="18"/>
              </w:rPr>
              <w:t xml:space="preserve">Whether a pillar’s status is improving, flat, or decaying between reporting intervals — the trend a monthly report cannot show.</w:t>
            </w:r>
          </w:p>
        </w:tc>
      </w:tr>
      <w:tr>
        <w:trPr/>
        <w:tc>
          <w:tcPr>
            <w:tcW w:w="4062" w:type="dxa"/>
          </w:tcPr>
          <w:p>
            <w:pPr>
              <w:pStyle w:val="Compact"/>
              <w:jc w:val="left"/>
            </w:pPr>
            <w:r>
              <w:rPr>
                <w:sz w:val="18"/>
              </w:rPr>
              <w:t xml:space="preserve">Test what happens to composite readiness when one component slips</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Technology score and watch Economics and Clinical fall with it. This is the risk register’s R-01 in visual form.</w:t>
            </w:r>
          </w:p>
        </w:tc>
      </w:tr>
      <w:tr>
        <w:trPr/>
        <w:tc>
          <w:tcPr>
            <w:tcW w:w="4062" w:type="dxa"/>
          </w:tcPr>
          <w:p>
            <w:pPr>
              <w:pStyle w:val="Compact"/>
              <w:jc w:val="left"/>
            </w:pPr>
            <w:r>
              <w:rPr>
                <w:sz w:val="18"/>
              </w:rPr>
              <w:t xml:space="preserve">Score the portfolio’s six-pillar status the way an outside reviewer would</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Divergence between the PMO’s status reporting and the scorecard is itself a governance finding.</w:t>
            </w:r>
          </w:p>
        </w:tc>
      </w:tr>
      <w:tr>
        <w:trPr>
          <w:cantSplit/>
        </w:trPr>
        <w:tc>
          <w:tcPr>
            <w:tcW w:w="4062" w:type="dxa"/>
          </w:tcPr>
          <w:p>
            <w:pPr>
              <w:pStyle w:val="Compact"/>
              <w:jc w:val="left"/>
            </w:pPr>
            <w:r>
              <w:rPr>
                <w:sz w:val="18"/>
              </w:rPr>
              <w:t xml:space="preserve">Model what a single component slipping does to the rest of the portfolio</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Which components have no slack: the ones whose slip moves other pillars’ outcomes.</w:t>
            </w:r>
          </w:p>
        </w:tc>
      </w:tr>
    </w:tbl>
    <w:p>
      <w:pPr>
        <w:pStyle w:val="Caption"/>
        <w:keepNext/>
        <w:spacing w:before="120"/>
      </w:pPr>
      <w:r>
        <w:rPr>
          <w:i/>
          <w:iCs/>
        </w:rPr>
        <w:t xml:space="preserve">Figure 15.H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pPr>
    </w:p>
    <w:p>
      <w:pPr>
        <w:pStyle w:val="Heading2"/>
        <w:pBdr>
          <w:top w:val="single" w:sz="6" w:space="10" w:color="C9D2DF"/>
        </w:pBdr>
      </w:pPr>
      <w:r>
        <w:rPr>
          <w:color w:val="161B22"/>
        </w:rPr>
        <w:t xml:space="preserve">15.15  </w:t>
      </w:r>
      <w:bookmarkStart w:id="1422" w:name="_Toc1421"/>
      <w:r>
        <w:rPr>
          <w:b/>
          <w:bCs/>
          <w:color w:val="161B22"/>
        </w:rPr>
        <w:t xml:space="preserve">Implications for You</w:t>
      </w:r>
      <w:bookmarkEnd w:id="1422"/>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23" w:name="_Toc1422"/>
      <w:r>
        <w:rPr>
          <w:b/>
          <w:bCs/>
          <w:color w:val="161B22"/>
        </w:rPr>
        <w:t xml:space="preserve">Key Concepts in This Chapter</w:t>
      </w:r>
      <w:bookmarkEnd w:id="1423"/>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24" w:name="_Toc1423"/>
      <w:r>
        <w:rPr>
          <w:b/>
          <w:bCs/>
          <w:color w:val="161B22"/>
        </w:rPr>
        <w:t xml:space="preserve">Chapter 16 — The AHS Restructuring Roadmap: A Six-Pillar Framework for System Architects</w:t>
      </w:r>
      <w:bookmarkEnd w:id="14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25" w:name="_Toc1424"/>
      <w:r>
        <w:rPr>
          <w:b/>
          <w:bCs/>
          <w:color w:val="161B22"/>
        </w:rPr>
        <w:t xml:space="preserve">The Statutory Mandate — What Act 68 Actually Requires AHS to Do</w:t>
      </w:r>
      <w:bookmarkEnd w:id="1425"/>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spacing w:before="120"/>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6" w:name="_Toc1425"/>
      <w:r>
        <w:rPr>
          <w:b/>
          <w:bCs/>
          <w:color w:val="161B22"/>
        </w:rPr>
        <w:t xml:space="preserve">The Organizational Diagnosis — Why AHS Must Restructure, Not Just Plan</w:t>
      </w:r>
      <w:bookmarkEnd w:id="1426"/>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7" w:name="_Toc1426"/>
      <w:r>
        <w:rPr>
          <w:b/>
          <w:bCs/>
          <w:color w:val="161B22"/>
        </w:rPr>
        <w:t xml:space="preserve">The Four Structural Gaps</w:t>
      </w:r>
      <w:bookmarkEnd w:id="1427"/>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spacing w:before="120"/>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28" w:name="_Toc1427"/>
      <w:r>
        <w:rPr>
          <w:b/>
          <w:bCs/>
          <w:color w:val="161B22"/>
        </w:rPr>
        <w:t xml:space="preserve">The Redesigned AHS Operating Model — A Population Health System Operator</w:t>
      </w:r>
      <w:bookmarkEnd w:id="1428"/>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29" w:name="_Toc1428"/>
      <w:r>
        <w:rPr>
          <w:b/>
          <w:bCs/>
          <w:color w:val="161B22"/>
        </w:rPr>
        <w:t xml:space="preserve">Level 1 — Statewide System Architect</w:t>
      </w:r>
      <w:bookmarkEnd w:id="1429"/>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30" w:name="_Toc1429"/>
      <w:r>
        <w:rPr>
          <w:b/>
          <w:bCs/>
          <w:color w:val="161B22"/>
        </w:rPr>
        <w:t xml:space="preserve">Level 2 — Regional Network Convener (HSA Level)</w:t>
      </w:r>
      <w:bookmarkEnd w:id="1430"/>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spacing w:before="120"/>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31" w:name="_Toc1430"/>
      <w:r>
        <w:rPr>
          <w:b/>
          <w:bCs/>
          <w:color w:val="161B22"/>
        </w:rPr>
        <w:t xml:space="preserve">Level 3 — Program Delivery Operator</w:t>
      </w:r>
      <w:bookmarkEnd w:id="1431"/>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32" w:name="_Toc1431"/>
      <w:r>
        <w:rPr>
          <w:b/>
          <w:bCs/>
          <w:color w:val="161B22"/>
        </w:rPr>
        <w:t xml:space="preserve">The Six-Pillar Framework Applied to AHS’s Mandate</w:t>
      </w:r>
      <w:bookmarkEnd w:id="1432"/>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33" w:name="_Toc1432"/>
      <w:r>
        <w:rPr>
          <w:b/>
          <w:bCs/>
          <w:color w:val="161B22"/>
        </w:rPr>
        <w:t xml:space="preserve">The AHS Restructuring Implementation Timeline</w:t>
      </w:r>
      <w:bookmarkEnd w:id="1433"/>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spacing w:before="120"/>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34" w:name="_Toc1433"/>
      <w:r>
        <w:rPr>
          <w:b/>
          <w:bCs/>
          <w:color w:val="161B22"/>
        </w:rPr>
        <w:t xml:space="preserve">A Framework for the 2028 Statewide Strategic Plan</w:t>
      </w:r>
      <w:bookmarkEnd w:id="1434"/>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35" w:name="_Toc1434"/>
      <w:r>
        <w:rPr>
          <w:b/>
          <w:bCs/>
          <w:color w:val="161B22"/>
        </w:rPr>
        <w:t xml:space="preserve">The Central Commitment the Plan Must Make</w:t>
      </w:r>
      <w:bookmarkEnd w:id="1435"/>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spacing w:before="120"/>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6" w:name="_Toc1435"/>
      <w:r>
        <w:rPr>
          <w:b/>
          <w:bCs/>
          <w:color w:val="161B22"/>
        </w:rPr>
        <w:t xml:space="preserve">Vermont as National Template — Why This Restructuring Matters Beyond Vermont</w:t>
      </w:r>
      <w:bookmarkEnd w:id="1436"/>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7" w:name="_Toc1436"/>
      <w:r>
        <w:rPr>
          <w:b/>
          <w:bCs/>
          <w:color w:val="161B22"/>
        </w:rPr>
        <w:t xml:space="preserve">Work This Chapter on the Platform</w:t>
      </w:r>
      <w:bookmarkEnd w:id="1437"/>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Map the redesigned AHS operating model onto the six pillars and check for uncovered functions</w:t>
            </w:r>
          </w:p>
        </w:tc>
        <w:tc>
          <w:tcPr>
            <w:tcW w:w="947" w:type="dxa"/>
          </w:tcPr>
          <w:p>
            <w:pPr>
              <w:pStyle w:val="Compact"/>
              <w:jc w:val="left"/>
            </w:pPr>
            <w:hyperlink r:id="rId477">
              <w:r>
                <w:rPr>
                  <w:rStyle w:val="Hyperlink"/>
                  <w:b/>
                  <w:bCs/>
                </w:rPr>
                <w:t xml:space="preserve">Six-Pillar Map</w:t>
              </w:r>
            </w:hyperlink>
          </w:p>
        </w:tc>
        <w:tc>
          <w:tcPr>
            <w:tcW w:w="4062" w:type="dxa"/>
          </w:tcPr>
          <w:p>
            <w:pPr>
              <w:pStyle w:val="Compact"/>
              <w:jc w:val="left"/>
            </w:pPr>
            <w:r>
              <w:rPr>
                <w:sz w:val="18"/>
              </w:rPr>
              <w:t xml:space="preserve">A pillar with no named organizational owner in the restructuring. That is the gap this chapter’s design is meant to close.</w:t>
            </w:r>
          </w:p>
        </w:tc>
      </w:tr>
      <w:tr>
        <w:trPr/>
        <w:tc>
          <w:tcPr>
            <w:tcW w:w="4062" w:type="dxa"/>
          </w:tcPr>
          <w:p>
            <w:pPr>
              <w:pStyle w:val="Compact"/>
              <w:jc w:val="left"/>
            </w:pPr>
            <w:r>
              <w:rPr>
                <w:sz w:val="18"/>
              </w:rPr>
              <w:t xml:space="preserve">Track AHS’s delivery against the statutory deadlines this chapter enumerates</w:t>
            </w:r>
          </w:p>
        </w:tc>
        <w:tc>
          <w:tcPr>
            <w:tcW w:w="947" w:type="dxa"/>
          </w:tcPr>
          <w:p>
            <w:pPr>
              <w:pStyle w:val="Compact"/>
              <w:jc w:val="left"/>
            </w:pPr>
            <w:hyperlink r:id="rId424">
              <w:r>
                <w:rPr>
                  <w:rStyle w:val="Hyperlink"/>
                  <w:b/>
                  <w:bCs/>
                </w:rPr>
                <w:t xml:space="preserve">HTI Dashboard</w:t>
              </w:r>
            </w:hyperlink>
          </w:p>
        </w:tc>
        <w:tc>
          <w:tcPr>
            <w:tcW w:w="4062" w:type="dxa"/>
          </w:tcPr>
          <w:p>
            <w:pPr>
              <w:pStyle w:val="Compact"/>
              <w:jc w:val="left"/>
            </w:pPr>
            <w:r>
              <w:rPr>
                <w:sz w:val="18"/>
              </w:rPr>
              <w:t xml:space="preserve">Whether Operations-pillar capacity is rising fast enough to meet the December 2028 Strategic Plan obligation.</w:t>
            </w:r>
          </w:p>
        </w:tc>
      </w:tr>
      <w:tr>
        <w:trPr>
          <w:cantSplit/>
        </w:trPr>
        <w:tc>
          <w:tcPr>
            <w:tcW w:w="4062" w:type="dxa"/>
          </w:tcPr>
          <w:p>
            <w:pPr>
              <w:pStyle w:val="Compact"/>
              <w:jc w:val="left"/>
            </w:pPr>
            <w:r>
              <w:rPr>
                <w:sz w:val="18"/>
              </w:rPr>
              <w:t xml:space="preserve">Test what the restructuring is worth by removing it</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spacing w:before="120"/>
      </w:pPr>
      <w:r>
        <w:rPr>
          <w:i/>
          <w:iCs/>
        </w:rPr>
        <w:t xml:space="preserve">Figure 16.H — Hands-on platform tools for Chapter 16: testing the AHS restructuring design.</w:t>
      </w:r>
    </w:p>
    <w:p>
      <w:pPr>
        <w:pStyle w:val="Heading2"/>
        <w:pBdr>
          <w:top w:val="single" w:sz="6" w:space="10" w:color="C9D2DF"/>
        </w:pBdr>
      </w:pPr>
      <w:r>
        <w:rPr>
          <w:color w:val="161B22"/>
        </w:rPr>
        <w:t xml:space="preserve">16.9  </w:t>
      </w:r>
      <w:bookmarkStart w:id="1438" w:name="_Toc1437"/>
      <w:r>
        <w:rPr>
          <w:b/>
          <w:bCs/>
          <w:color w:val="161B22"/>
        </w:rPr>
        <w:t xml:space="preserve">Implications for You</w:t>
      </w:r>
      <w:bookmarkEnd w:id="1438"/>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39" w:name="_Toc1438"/>
      <w:r>
        <w:rPr>
          <w:b/>
          <w:bCs/>
          <w:color w:val="161B22"/>
        </w:rPr>
        <w:t xml:space="preserve">Key Concepts in This Chapter</w:t>
      </w:r>
      <w:bookmarkEnd w:id="1439"/>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40" w:name="_Toc1439"/>
      <w:r>
        <w:rPr>
          <w:b/>
          <w:bCs/>
          <w:color w:val="161B22"/>
        </w:rPr>
        <w:t xml:space="preserve">Conclusion — What Vermont Proves, and What Remains to Be Proven</w:t>
      </w:r>
      <w:bookmarkEnd w:id="1440"/>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41" w:name="_Toc1440"/>
      <w:r>
        <w:rPr>
          <w:b/>
          <w:bCs/>
          <w:color w:val="161B22"/>
        </w:rPr>
        <w:t xml:space="preserve">What Failure Actually Looks Like</w:t>
      </w:r>
      <w:bookmarkEnd w:id="1441"/>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42" w:name="_Toc1441"/>
      <w:r>
        <w:rPr>
          <w:b/>
          <w:bCs/>
          <w:color w:val="161B22"/>
        </w:rPr>
        <w:t xml:space="preserve">The Three Decisions That Are Not Yet Made</w:t>
      </w:r>
      <w:bookmarkEnd w:id="1442"/>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43" w:name="_Toc1442"/>
      <w:r>
        <w:rPr>
          <w:b/>
          <w:bCs/>
          <w:color w:val="161B22"/>
        </w:rPr>
        <w:t xml:space="preserve">Decision 1: Will the Statewide Strategic Plan Be Binding or Descriptive?</w:t>
      </w:r>
      <w:bookmarkEnd w:id="1443"/>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44" w:name="_Toc1443"/>
      <w:r>
        <w:rPr>
          <w:b/>
          <w:bCs/>
          <w:color w:val="161B22"/>
        </w:rPr>
        <w:t xml:space="preserve">Decision 2: Will the Analytics Vendor Be Operational Before AHEAD’s Financial Accountability Begins?</w:t>
      </w:r>
      <w:bookmarkEnd w:id="1444"/>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45" w:name="_Toc1444"/>
      <w:r>
        <w:rPr>
          <w:b/>
          <w:bCs/>
          <w:color w:val="161B22"/>
        </w:rPr>
        <w:t xml:space="preserve">Decision 3: Will H.R. 1’s Medicaid Cuts Force a Contraction or Accelerate a Transformation?</w:t>
      </w:r>
      <w:bookmarkEnd w:id="1445"/>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6" w:name="_Toc1445"/>
      <w:r>
        <w:rPr>
          <w:b/>
          <w:bCs/>
          <w:color w:val="161B22"/>
        </w:rPr>
        <w:t xml:space="preserve">What Vermont Has Proved — As of April 2026</w:t>
      </w:r>
      <w:bookmarkEnd w:id="1446"/>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7" w:name="_Toc1446"/>
      <w:r>
        <w:rPr>
          <w:b/>
          <w:bCs/>
          <w:color w:val="161B22"/>
        </w:rPr>
        <w:t xml:space="preserve">The People This Book Cannot Reach</w:t>
      </w:r>
      <w:bookmarkEnd w:id="1447"/>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48" w:name="_Toc1447"/>
      <w:r>
        <w:rPr>
          <w:b/>
          <w:bCs/>
          <w:color w:val="161B22"/>
        </w:rPr>
        <w:t xml:space="preserve">The Call</w:t>
      </w:r>
      <w:bookmarkEnd w:id="1448"/>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49" w:name="_Toc1448"/>
      <w:r>
        <w:rPr>
          <w:b/>
          <w:bCs/>
          <w:color w:val="161B22"/>
        </w:rPr>
        <w:t xml:space="preserve">Key Concepts in This Chapter</w:t>
      </w:r>
      <w:bookmarkEnd w:id="1449"/>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50" w:name="_Toc1449"/>
      <w:r>
        <w:rPr>
          <w:b/>
          <w:bCs/>
          <w:color w:val="161B22"/>
        </w:rPr>
        <w:t xml:space="preserve">Appendix A — Vermont System Portrait</w:t>
      </w:r>
      <w:bookmarkEnd w:id="1450"/>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51" w:name="_Toc1450"/>
      <w:r>
        <w:rPr>
          <w:b/>
          <w:bCs/>
          <w:color w:val="161B22"/>
        </w:rPr>
        <w:t xml:space="preserve">A.1 Vermont: The State</w:t>
      </w:r>
      <w:bookmarkEnd w:id="1451"/>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52" w:name="_Toc1451"/>
      <w:r>
        <w:rPr>
          <w:b/>
          <w:bCs/>
          <w:color w:val="161B22"/>
        </w:rPr>
        <w:t xml:space="preserve">A.2 Demographics and Population Projections</w:t>
      </w:r>
      <w:bookmarkEnd w:id="1452"/>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spacing w:before="280"/>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53" w:name="_Toc1452"/>
      <w:r>
        <w:rPr>
          <w:b/>
          <w:bCs/>
          <w:color w:val="161B22"/>
        </w:rPr>
        <w:t xml:space="preserve">A.3 Regulatory Architecture: The Green Mountain Care Board</w:t>
      </w:r>
      <w:bookmarkEnd w:id="1453"/>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spacing w:before="280"/>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54" w:name="_Toc1453"/>
      <w:r>
        <w:rPr>
          <w:b/>
          <w:bCs/>
          <w:color w:val="161B22"/>
        </w:rPr>
        <w:t xml:space="preserve">A.4 The Hospital System</w:t>
      </w:r>
      <w:bookmarkEnd w:id="1454"/>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55" w:name="_Toc1454"/>
      <w:r>
        <w:rPr>
          <w:b/>
          <w:bCs/>
          <w:color w:val="161B22"/>
        </w:rPr>
        <w:t xml:space="preserve">The Fourteen Hospitals (January 2026 transformation plans)</w:t>
      </w:r>
      <w:bookmarkEnd w:id="1455"/>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spacing w:before="280"/>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6" w:name="_Toc1455"/>
      <w:r>
        <w:rPr>
          <w:b/>
          <w:bCs/>
          <w:color w:val="161B22"/>
        </w:rPr>
        <w:t xml:space="preserve">Patterns in the Data</w:t>
      </w:r>
      <w:bookmarkEnd w:id="1456"/>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7" w:name="_Toc1456"/>
      <w:r>
        <w:rPr>
          <w:b/>
          <w:bCs/>
          <w:color w:val="161B22"/>
        </w:rPr>
        <w:t xml:space="preserve">A.5 The Transformation Plans: A System in Motion</w:t>
      </w:r>
      <w:bookmarkEnd w:id="1457"/>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spacing w:before="280"/>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58" w:name="_Toc1457"/>
      <w:r>
        <w:rPr>
          <w:b/>
          <w:bCs/>
          <w:color w:val="161B22"/>
        </w:rPr>
        <w:t xml:space="preserve">A.6 The Insurance and Premium Crisis</w:t>
      </w:r>
      <w:bookmarkEnd w:id="1458"/>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59" w:name="_Toc1458"/>
      <w:r>
        <w:rPr>
          <w:b/>
          <w:bCs/>
          <w:color w:val="161B22"/>
        </w:rPr>
        <w:t xml:space="preserve">A.7 Healthcare Workforce</w:t>
      </w:r>
      <w:bookmarkEnd w:id="1459"/>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60" w:name="_Toc1459"/>
      <w:r>
        <w:rPr>
          <w:b/>
          <w:bCs/>
          <w:color w:val="161B22"/>
        </w:rPr>
        <w:t xml:space="preserve">A.8 Clinical Quality Indicators</w:t>
      </w:r>
      <w:bookmarkEnd w:id="1460"/>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61" w:name="_Toc1460"/>
      <w:r>
        <w:rPr>
          <w:b/>
          <w:bCs/>
          <w:color w:val="161B22"/>
        </w:rPr>
        <w:t xml:space="preserve">Appendix B — Act 68 Statutory Timeline and Milestones</w:t>
      </w:r>
      <w:bookmarkEnd w:id="1461"/>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spacing w:before="280"/>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62" w:name="_Toc1461"/>
      <w:r>
        <w:rPr>
          <w:b/>
          <w:bCs/>
          <w:color w:val="161B22"/>
        </w:rPr>
        <w:t xml:space="preserve">Policy-Pillar Implementation Matrix</w:t>
      </w:r>
      <w:bookmarkEnd w:id="1462"/>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spacing w:before="280"/>
      </w:pPr>
      <w:r>
        <w:rPr>
          <w:i/>
          <w:iCs/>
        </w:rPr>
        <w:t xml:space="preserve">Figure B.1 — Policy-pillar implementation matrix. Sources: HTR Advisory methodology; Vermont RHT Program Application (2025); GMCB rate-setting documentation.</w:t>
      </w:r>
    </w:p>
    <w:p>
      <w:r>
        <w:br w:type="page"/>
      </w:r>
    </w:p>
    <w:p>
      <w:pPr>
        <w:pStyle w:val="Heading1"/>
        <w:keepNext w:val="false"/>
      </w:pPr>
      <w:bookmarkStart w:id="1463" w:name="_Toc1462"/>
      <w:r>
        <w:rPr>
          <w:b/>
          <w:bCs/>
          <w:color w:val="161B22"/>
        </w:rPr>
        <w:t xml:space="preserve">Appendix C — The 14-Hospital Centers of Excellence Assignment Framework</w:t>
      </w:r>
      <w:bookmarkEnd w:id="1463"/>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spacing w:before="280"/>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64" w:name="_Toc1463"/>
      <w:r>
        <w:rPr>
          <w:b/>
          <w:bCs/>
          <w:color w:val="161B22"/>
        </w:rPr>
        <w:t xml:space="preserve">Appendix D — AHEAD State Agreement: Key Terms and Provisions</w:t>
      </w:r>
      <w:bookmarkEnd w:id="1464"/>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spacing w:before="280"/>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65" w:name="_Toc1464"/>
      <w:r>
        <w:rPr>
          <w:b/>
          <w:bCs/>
          <w:color w:val="161B22"/>
        </w:rPr>
        <w:t xml:space="preserve">Appendix E — HTR Platform Tools and Methodology Overview</w:t>
      </w:r>
      <w:bookmarkEnd w:id="1465"/>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6" w:name="_Toc1465"/>
      <w:r>
        <w:rPr>
          <w:b/>
          <w:bCs/>
          <w:color w:val="161B22"/>
        </w:rPr>
        <w:t xml:space="preserve">Appendix F — Vermont Transformation Scorecard: 2022 Baseline, 2026 Status, 2028 Target</w:t>
      </w:r>
      <w:bookmarkEnd w:id="1466"/>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7" w:name="_Toc1466"/>
      <w:r>
        <w:rPr>
          <w:b/>
          <w:bCs/>
          <w:color w:val="161B22"/>
        </w:rPr>
        <w:t xml:space="preserve">Policy Pillar</w:t>
      </w:r>
      <w:bookmarkEnd w:id="1467"/>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spacing w:before="280"/>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68" w:name="_Toc1467"/>
      <w:r>
        <w:rPr>
          <w:b/>
          <w:bCs/>
          <w:color w:val="161B22"/>
        </w:rPr>
        <w:t xml:space="preserve">Technology Pillar</w:t>
      </w:r>
      <w:bookmarkEnd w:id="1468"/>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spacing w:before="280"/>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69" w:name="_Toc1468"/>
      <w:r>
        <w:rPr>
          <w:b/>
          <w:bCs/>
          <w:color w:val="161B22"/>
        </w:rPr>
        <w:t xml:space="preserve">Economics Pillar</w:t>
      </w:r>
      <w:bookmarkEnd w:id="1469"/>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spacing w:before="280"/>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70" w:name="_Toc1469"/>
      <w:r>
        <w:rPr>
          <w:b/>
          <w:bCs/>
          <w:color w:val="161B22"/>
        </w:rPr>
        <w:t xml:space="preserve">Clinical Pillar</w:t>
      </w:r>
      <w:bookmarkEnd w:id="1470"/>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spacing w:before="280"/>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71" w:name="_Toc1470"/>
      <w:r>
        <w:rPr>
          <w:b/>
          <w:bCs/>
          <w:color w:val="161B22"/>
        </w:rPr>
        <w:t xml:space="preserve">Equity Pillar</w:t>
      </w:r>
      <w:bookmarkEnd w:id="147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spacing w:before="280"/>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72" w:name="_Toc1471"/>
      <w:r>
        <w:rPr>
          <w:b/>
          <w:bCs/>
          <w:color w:val="161B22"/>
        </w:rPr>
        <w:t xml:space="preserve">Operations Pillar</w:t>
      </w:r>
      <w:bookmarkEnd w:id="147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spacing w:before="280"/>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73" w:name="_Toc1472"/>
      <w:r>
        <w:rPr>
          <w:b/>
          <w:bCs/>
          <w:color w:val="161B22"/>
        </w:rPr>
        <w:t xml:space="preserve">Appendix G — A Reader’s Guide to the Health Transformation Review Platform</w:t>
      </w:r>
      <w:bookmarkEnd w:id="1473"/>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74" w:name="_Toc1473"/>
      <w:r>
        <w:rPr>
          <w:b/>
          <w:bCs/>
          <w:color w:val="161B22"/>
        </w:rPr>
        <w:t xml:space="preserve">What This Platform Is</w:t>
      </w:r>
      <w:bookmarkEnd w:id="1474"/>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75" w:name="_Toc1474"/>
      <w:r>
        <w:rPr>
          <w:b/>
          <w:bCs/>
          <w:color w:val="161B22"/>
        </w:rPr>
        <w:t xml:space="preserve">Navigating the Platform</w:t>
      </w:r>
      <w:bookmarkEnd w:id="1475"/>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6" w:name="_Toc1475"/>
      <w:r>
        <w:rPr>
          <w:b/>
          <w:bCs/>
          <w:color w:val="161B22"/>
        </w:rPr>
        <w:t xml:space="preserve">The Six Pillars of Intelligence</w:t>
      </w:r>
      <w:bookmarkEnd w:id="1476"/>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spacing w:before="280"/>
      </w:pPr>
      <w:r>
        <w:rPr>
          <w:color w:val="161B22"/>
        </w:rPr>
        <w:t xml:space="preserve">G.4  </w:t>
      </w:r>
      <w:bookmarkStart w:id="1477" w:name="_Toc1476"/>
      <w:r>
        <w:rPr>
          <w:b/>
          <w:bCs/>
          <w:color w:val="161B22"/>
        </w:rPr>
        <w:t xml:space="preserve">The Academy</w:t>
      </w:r>
      <w:bookmarkEnd w:id="1477"/>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78" w:name="_Toc1477"/>
      <w:r>
        <w:rPr>
          <w:b/>
          <w:bCs/>
          <w:color w:val="161B22"/>
        </w:rPr>
        <w:t xml:space="preserve">The Research Lab</w:t>
      </w:r>
      <w:bookmarkEnd w:id="1478"/>
    </w:p>
    <w:p>
      <w:pPr>
        <w:pStyle w:val="FirstParagraph"/>
      </w:pPr>
      <w:r>
        <w:t xml:space="preserve">The Research Lab is a suite of nearly forty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79" w:name="_Toc1478"/>
      <w:r>
        <w:rPr>
          <w:b/>
          <w:bCs/>
          <w:color w:val="161B22"/>
        </w:rPr>
        <w:t xml:space="preserve">States &amp; Programs</w:t>
      </w:r>
      <w:bookmarkEnd w:id="1479"/>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80" w:name="_Toc1479"/>
      <w:r>
        <w:rPr>
          <w:b/>
          <w:bCs/>
          <w:color w:val="161B22"/>
        </w:rPr>
        <w:t xml:space="preserve">Advisory &amp; Services and the AI Analyst</w:t>
      </w:r>
      <w:bookmarkEnd w:id="1480"/>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81" w:name="_Toc1480"/>
      <w:r>
        <w:rPr>
          <w:b/>
          <w:bCs/>
          <w:color w:val="161B22"/>
        </w:rPr>
        <w:t xml:space="preserve">Reader Profiles and Recommended Paths</w:t>
      </w:r>
      <w:bookmarkEnd w:id="1481"/>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82" w:name="_Toc1481"/>
      <w:r>
        <w:rPr>
          <w:b/>
          <w:bCs/>
          <w:color w:val="161B22"/>
        </w:rPr>
        <w:t xml:space="preserve">Appendix H — Adapting and Stress-Testing the Framework</w:t>
      </w:r>
      <w:bookmarkEnd w:id="1482"/>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83" w:name="_Toc1482"/>
      <w:r>
        <w:rPr>
          <w:b/>
          <w:bCs/>
          <w:color w:val="161B22"/>
        </w:rPr>
        <w:t xml:space="preserve">H.1 Glossary of Vermont-Specific Acronyms and Institutions</w:t>
      </w:r>
      <w:bookmarkEnd w:id="1483"/>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Vermont’s planning mandate — authorized AHS to conduct transformation planning with up to four hospitals (amending Act 167), alongside Medicaid and DVHA program changes.</w:t>
            </w:r>
          </w:p>
        </w:tc>
        <w:tc>
          <w:tcPr>
            <w:tcW w:w="3653" w:type="dxa"/>
          </w:tcPr>
          <w:p>
            <w:pPr>
              <w:pStyle w:val="Compact"/>
              <w:spacing w:before="0" w:after="0" w:line="240" w:lineRule="auto"/>
              <w:jc w:val="left"/>
            </w:pPr>
            <w:r>
              <w:rPr>
                <w:sz w:val="17"/>
              </w:rPr>
              <w:t xml:space="preserve">A statute authorizing hospital transformation pilots or planning engagements.</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spacing w:before="280"/>
      </w:pPr>
      <w:r>
        <w:rPr>
          <w:color w:val="161B22"/>
        </w:rPr>
        <w:t xml:space="preserve">H.2  </w:t>
      </w:r>
      <w:bookmarkStart w:id="1484" w:name="_Toc1483"/>
      <w:r>
        <w:rPr>
          <w:b/>
          <w:bCs/>
          <w:color w:val="161B22"/>
        </w:rPr>
        <w:t xml:space="preserve">H.2 Worksheet — Adapt This Framework to Your State</w:t>
      </w:r>
      <w:bookmarkEnd w:id="1484"/>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spacing w:before="280"/>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85" w:name="_Toc1484"/>
      <w:r>
        <w:rPr>
          <w:b/>
          <w:bCs/>
          <w:color w:val="161B22"/>
        </w:rPr>
        <w:t xml:space="preserve">H.3 The Transition Window — Financing FY2027–2030</w:t>
      </w:r>
      <w:bookmarkEnd w:id="1485"/>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6" w:name="_Toc1485"/>
      <w:r>
        <w:rPr>
          <w:b/>
          <w:bCs/>
          <w:color w:val="161B22"/>
        </w:rPr>
        <w:t xml:space="preserve">What bridges exist</w:t>
      </w:r>
      <w:bookmarkEnd w:id="1486"/>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87" w:name="_Toc1486"/>
      <w:r>
        <w:rPr>
          <w:b/>
          <w:bCs/>
          <w:color w:val="161B22"/>
        </w:rPr>
        <w:t xml:space="preserve">What this means for a hospital CFO</w:t>
      </w:r>
      <w:bookmarkEnd w:id="1487"/>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88" w:name="_Toc1487"/>
      <w:r>
        <w:rPr>
          <w:b/>
          <w:bCs/>
          <w:color w:val="161B22"/>
        </w:rPr>
        <w:t xml:space="preserve">H.4 Two Clocks — Reconciling Act 68 and AHEAD Cohort 2 Timelines</w:t>
      </w:r>
      <w:bookmarkEnd w:id="1488"/>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89" w:name="_Toc1488"/>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89"/>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90" w:name="_Toc1489"/>
      <w:r>
        <w:rPr>
          <w:b/>
          <w:bCs/>
          <w:color w:val="161B22"/>
        </w:rPr>
        <w:t xml:space="preserve">GMCB’s enforcement toolkit</w:t>
      </w:r>
      <w:bookmarkEnd w:id="1490"/>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91" w:name="_Toc1490"/>
      <w:r>
        <w:rPr>
          <w:b/>
          <w:bCs/>
          <w:color w:val="161B22"/>
        </w:rPr>
        <w:t xml:space="preserve">The test case: GMCB v. UVMMC</w:t>
      </w:r>
      <w:bookmarkEnd w:id="1491"/>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92" w:name="_Toc1491"/>
      <w:r>
        <w:rPr>
          <w:b/>
          <w:bCs/>
          <w:color w:val="161B22"/>
        </w:rPr>
        <w:t xml:space="preserve">Appendix I — The HTR Lab Workbook: A Six-Pillar Practicum</w:t>
      </w:r>
      <w:bookmarkEnd w:id="1492"/>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93" w:name="_Toc1492"/>
      <w:r>
        <w:rPr>
          <w:b/>
          <w:bCs/>
          <w:color w:val="161B22"/>
        </w:rPr>
        <w:t xml:space="preserve">How to Use This Workbook</w:t>
      </w:r>
      <w:bookmarkEnd w:id="1493"/>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94" w:name="_Toc1493"/>
      <w:r>
        <w:rPr>
          <w:b/>
          <w:bCs/>
          <w:color w:val="161B22"/>
        </w:rPr>
        <w:t xml:space="preserve">Stage 1 — Policy: Establish the Mandate</w:t>
      </w:r>
      <w:bookmarkEnd w:id="1494"/>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95" w:name="_Toc1494"/>
      <w:r>
        <w:rPr>
          <w:b/>
          <w:bCs/>
          <w:color w:val="161B22"/>
        </w:rPr>
        <w:t xml:space="preserve">Stage 2 — Technology: Build the Substrate</w:t>
      </w:r>
      <w:bookmarkEnd w:id="1495"/>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6" w:name="_Toc1495"/>
      <w:r>
        <w:rPr>
          <w:b/>
          <w:bCs/>
          <w:color w:val="161B22"/>
        </w:rPr>
        <w:t xml:space="preserve">Stage 3 — Economics: Put Incentives on a Visible System</w:t>
      </w:r>
      <w:bookmarkEnd w:id="1496"/>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7" w:name="_Toc1496"/>
      <w:r>
        <w:rPr>
          <w:b/>
          <w:bCs/>
          <w:color w:val="161B22"/>
        </w:rPr>
        <w:t xml:space="preserve">Stage 4 — Clinical: Redesign Care on Aligned Incentives</w:t>
      </w:r>
      <w:bookmarkEnd w:id="1497"/>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98" w:name="_Toc1497"/>
      <w:r>
        <w:rPr>
          <w:b/>
          <w:bCs/>
          <w:color w:val="161B22"/>
        </w:rPr>
        <w:t xml:space="preserve">Stage 5 — Equity: Calibrate for the Gap, Not the Average</w:t>
      </w:r>
      <w:bookmarkEnd w:id="1498"/>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99" w:name="_Toc1498"/>
      <w:r>
        <w:rPr>
          <w:b/>
          <w:bCs/>
          <w:color w:val="161B22"/>
        </w:rPr>
        <w:t xml:space="preserve">Stage 6 — Operations: Close the Execution Gap</w:t>
      </w:r>
      <w:bookmarkEnd w:id="1499"/>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500" w:name="_Toc1499"/>
      <w:r>
        <w:rPr>
          <w:b/>
          <w:bCs/>
          <w:color w:val="161B22"/>
        </w:rPr>
        <w:t xml:space="preserve">Figure Index</w:t>
      </w:r>
      <w:bookmarkEnd w:id="1500"/>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1.H — Hands-on platform tools for Chapter 1: working the execution-sequence argument on the HTR platform.</w:t>
      </w:r>
    </w:p>
    <w:p>
      <w:pPr>
        <w:pStyle w:val="Caption"/>
      </w:pPr>
      <w:r>
        <w:t xml:space="preserve">Figure 2.1 — Act 68 statutory implementation timeline. Source: Act 68 of 2025.</w:t>
      </w:r>
    </w:p>
    <w:p>
      <w:pPr>
        <w:pStyle w:val="Caption"/>
      </w:pPr>
      <w:r>
        <w:t xml:space="preserve">Figure 2.H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Policy strategy functions for healthcare organizations. Source: HTR Advisory framework.</w:t>
      </w:r>
    </w:p>
    <w:p>
      <w:pPr>
        <w:pStyle w:val="Caption"/>
      </w:pPr>
      <w:r>
        <w:t xml:space="preserve">Figure 3.3 — H.R. 1 Medicaid provisions: timeline, financial impact, and Vermont implications. Sources: KFF analysis; CBO estimates; Pew Charitable Trusts (January 2026).</w:t>
      </w:r>
    </w:p>
    <w:p>
      <w:pPr>
        <w:pStyle w:val="Caption"/>
      </w:pPr>
      <w:r>
        <w:t xml:space="preserve">Figure 3.H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 documentation; Oliver Wyman Act 167 Report; AHS Transformation Reports; Act 68 of 2025.</w:t>
      </w:r>
    </w:p>
    <w:p>
      <w:pPr>
        <w:pStyle w:val="Caption"/>
      </w:pPr>
      <w:r>
        <w:t xml:space="preserve">Figure 4.3 — Vermont’s three-step path to integrated health records. Sources: Vermont HIE Steering Committee statutory mandate; AHS January 2025 Legislative Presentation; DVHA HIE governance documents.</w:t>
      </w:r>
    </w:p>
    <w:p>
      <w:pPr>
        <w:pStyle w:val="Caption"/>
      </w:pPr>
      <w:r>
        <w:t xml:space="preserve">Figure 4.4 — The UHDS three-layer architecture. Each layer is dependent on the one below it. Sources: Vermont UHDS Transition Plan; DVHA HIE program documentation.</w:t>
      </w:r>
    </w:p>
    <w:p>
      <w:pPr>
        <w:pStyle w:val="Caption"/>
      </w:pPr>
      <w:r>
        <w:t xml:space="preserve">Figure 4.5 — Vermont statewide EHR: case for and against. The feasibility assessment underway will weigh these factors against Vermont’s specific cost, disruption tolerance, and FHIR interoperability capacity.</w:t>
      </w:r>
    </w:p>
    <w:p>
      <w:pPr>
        <w:pStyle w:val="Caption"/>
      </w:pPr>
      <w:r>
        <w:t xml:space="preserve">Figure 4.6 — Vermont FHIR compliance landscape (estimated as of 2026). Sources: AHS Legislative Presentation January 2025; Vermont RHT Program Application; GMCB HIE connectivity criteria.</w:t>
      </w:r>
    </w:p>
    <w:p>
      <w:pPr>
        <w:pStyle w:val="Caption"/>
      </w:pPr>
      <w: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4.H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5.H — Hands-on platform tools for the Technology Pillar in practice.</w:t>
      </w:r>
    </w:p>
    <w:p>
      <w:pPr>
        <w:pStyle w:val="Caption"/>
      </w:pPr>
      <w:r>
        <w:t xml:space="preserve">Figure 5.3 — Technology pillar implementation matrix. Sources: HTR Advisory; Vermont RHT Program (2025); CMS interoperability rule.</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6.4 — Vermont RBP and global budget implementation phases. Source: GMCB Act 68 Update, February 2026.</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6.H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Economics pillar implementation matrix. Sources: HTR Research Lab; Oliver Wyman Act 167 Report; Vermont AHEAD documentation.</w:t>
      </w:r>
    </w:p>
    <w:p>
      <w:pPr>
        <w:pStyle w:val="Caption"/>
      </w:pPr>
      <w:r>
        <w:t xml:space="preserve">Figure 7.4 — Financial metrics transformation: FFS versus global budget environment. Source: HTR’s Economics pillar framework.</w:t>
      </w:r>
    </w:p>
    <w:p>
      <w:pPr>
        <w:pStyle w:val="Caption"/>
      </w:pPr>
      <w:r>
        <w:t xml:space="preserve">Figure 7.5 — Transformation investment ROI framework with Vermont examples. Sources: HTR’s Economics pillar framework; Blueprint for Health ROI study; CMS cost data; Vermont data from AHS Transformation Reports.</w:t>
      </w:r>
    </w:p>
    <w:p>
      <w:pPr>
        <w:pStyle w:val="Caption"/>
      </w:pPr>
      <w:r>
        <w:t xml:space="preserve">Figure 7.H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8.H — Hands-on platform tools for the Clinical Pillar.</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9.H — Hands-on platform tools for the Clinical Pillar in practice.</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Vermont equity gaps and required investments. Sources: Vermont Department of Health Health Equity Data Report (January 2025); Oliver Wyman Act 167 Report; AHS Transformation Reports; KFF GLP-1 coverage analysis.</w:t>
      </w:r>
    </w:p>
    <w:p>
      <w:pPr>
        <w:pStyle w:val="Caption"/>
      </w:pPr>
      <w:r>
        <w:t xml:space="preserve">Figure 10.4 — Equity as a cross-cutting dimension of all six pillars. Sources: Act 67 of 2025; Oliver Wyman Act 167 Report; six-pillar framework.</w:t>
      </w:r>
    </w:p>
    <w:p>
      <w:pPr>
        <w:pStyle w:val="Caption"/>
      </w:pPr>
      <w:r>
        <w:t xml:space="preserve">Figure 10.5 — Vermont equity accountability framework: indicators, stratifications, and targets. Sources: Act 167; Act 68; VDH Health Equity Data Report (January 2025); AHS Transformation Reports.</w:t>
      </w:r>
    </w:p>
    <w:p>
      <w:pPr>
        <w:pStyle w:val="Caption"/>
      </w:pPr>
      <w:r>
        <w:t xml:space="preserve">Figure 10.H — Hands-on platform tools for the Equity Pillar.</w:t>
      </w:r>
    </w:p>
    <w:p>
      <w:pPr>
        <w:pStyle w:val="Caption"/>
      </w:pPr>
      <w:r>
        <w:t xml:space="preserve">Figure 10.6 — Equity pillar implementation matrix. Sources: Vermont Department of Health Health Equity Data Report (January 2025); Act 68 of 2025.</w:t>
      </w:r>
    </w:p>
    <w:p>
      <w:pPr>
        <w:pStyle w:val="Caption"/>
      </w:pPr>
      <w:r>
        <w:t xml:space="preserve">Figure 10.7 — Vermont HEDIS equity stratification framework. Sources: NCQA HEDIS Technical Specifications; AHS Health Equity Data Report (January 2025); Blueprint for Health data.</w:t>
      </w:r>
    </w:p>
    <w:p>
      <w:pPr>
        <w:pStyle w:val="Caption"/>
      </w:pPr>
      <w:r>
        <w:t xml:space="preserve">Figure 10.8 — Five-step disparity closure process with Vermont applications. Source: HTR’s Health Equity Studio methodology.</w:t>
      </w:r>
    </w:p>
    <w:p>
      <w:pPr>
        <w:pStyle w:val="Caption"/>
      </w:pPr>
      <w:r>
        <w:t xml:space="preserve">Figure 10.9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11.H — Hands-on platform tools for the Operations Pillar.</w:t>
      </w:r>
    </w:p>
    <w:p>
      <w:pPr>
        <w:pStyle w:val="Caption"/>
      </w:pPr>
      <w:r>
        <w:t xml:space="preserve">Figure 11.8 — Attribution error taxonomy and remediation. Source: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12.H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13.H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14.H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15.H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16.H — Hands-on platform tools for Chapter 16: testing the AHS restructuring design.</w:t>
      </w:r>
    </w:p>
    <w:p>
      <w:pPr>
        <w:pStyle w:val="Heading1"/>
      </w:pPr>
      <w:bookmarkStart w:id="1501" w:name="_Toc1500"/>
      <w:r>
        <w:rPr>
          <w:b/>
          <w:bCs/>
          <w:color w:val="161B22"/>
        </w:rPr>
        <w:t xml:space="preserve">Bibliography and Source Notes</w:t>
      </w:r>
      <w:bookmarkEnd w:id="1501"/>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502" w:name="_Toc1501"/>
      <w:r>
        <w:rPr>
          <w:b/>
          <w:bCs/>
          <w:color w:val="161B22"/>
        </w:rPr>
        <w:t xml:space="preserve">Index (Selected)</w:t>
      </w:r>
      <w:bookmarkEnd w:id="1502"/>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7"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4"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0"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5" Type="http://schemas.openxmlformats.org/officeDocument/2006/relationships/hyperlink" Target="https://healthtransformationreview.org/research-lab/knowledge-workspace?tab=evidence" TargetMode="External"/><Relationship Id="rId425" Type="http://schemas.openxmlformats.org/officeDocument/2006/relationships/hyperlink" Target="https://healthtransformationreview.org/research-lab/knowledge-workspace?tab=leaderboard" TargetMode="External"/><Relationship Id="rId406"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6"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7"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4"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0"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5" Type="http://schemas.openxmlformats.org/officeDocument/2006/relationships/hyperlink" Target="https://healthtransformationreview.org/research-lab/knowledge-workspace?tab=evidence" TargetMode="External"/><Relationship Id="rId425" Type="http://schemas.openxmlformats.org/officeDocument/2006/relationships/hyperlink" Target="https://healthtransformationreview.org/research-lab/knowledge-workspace?tab=leaderboard" TargetMode="External"/><Relationship Id="rId406"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6"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2026-08-01T18:46:43Z</dcterms:created>
  <dcterms:modified xsi:type="dcterms:W3CDTF">2026-08-01T18:46:43Z</dcterms:modified>
</cp:coreProperties>
</file>

<file path=docProps/custom.xml><?xml version="1.0" encoding="utf-8"?>
<Properties xmlns="http://schemas.openxmlformats.org/officeDocument/2006/custom-properties" xmlns:vt="http://schemas.openxmlformats.org/officeDocument/2006/docPropsVTypes"/>
</file>