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280"/>
      </w:pPr>
    </w:p>
    <w:p>
      <w:pPr>
        <w:jc w:val="center"/>
      </w:pPr>
      <w:r>
        <w:drawing>
          <wp:inline>
            <wp:extent cx="4394423" cy="4343399"/>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4394423" cy="4343399"/>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ON THE PLATFORM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line="240" w:lineRule="auto"/>
        <w:rPr>
          <w:sz w:val="16"/>
        </w:rPr>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brakes.</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line="240" w:lineRule="auto"/>
        <w:rPr>
          <w:sz w:val="16"/>
        </w:rPr>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line="240" w:lineRule="auto"/>
        <w:rPr>
          <w:sz w:val="16"/>
        </w:rPr>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line="240" w:lineRule="auto"/>
        <w:rPr>
          <w:sz w:val="16"/>
        </w:rPr>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the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250"/>
        <w:gridCol w:w="2325"/>
        <w:gridCol w:w="315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250" w:type="dxa"/>
          </w:tcPr>
          <w:p>
            <w:pPr>
              <w:pStyle w:val="Compact"/>
              <w:jc w:val="left"/>
            </w:pPr>
            <w:r>
              <w:rPr>
                <w:b/>
                <w:color w:val="FFFFFF"/>
                <w:sz w:val="18"/>
              </w:rPr>
              <w:t xml:space="preserve">Structural Error</w:t>
            </w:r>
          </w:p>
        </w:tc>
        <w:tc>
          <w:tcPr>
            <w:shd w:val="clear" w:color="auto" w:fill="1B3A6B"/>
            <w:tcW w:w="2325" w:type="dxa"/>
          </w:tcPr>
          <w:p>
            <w:pPr>
              <w:pStyle w:val="Compact"/>
              <w:jc w:val="left"/>
            </w:pPr>
            <w:r>
              <w:rPr>
                <w:b/>
                <w:color w:val="FFFFFF"/>
                <w:sz w:val="18"/>
              </w:rPr>
              <w:t xml:space="preserve">Direct Consequence</w:t>
            </w:r>
          </w:p>
        </w:tc>
        <w:tc>
          <w:tcPr>
            <w:shd w:val="clear" w:color="auto" w:fill="1B3A6B"/>
            <w:tcW w:w="315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250" w:type="dxa"/>
          </w:tcPr>
          <w:p>
            <w:pPr>
              <w:pStyle w:val="Compact"/>
              <w:jc w:val="left"/>
            </w:pPr>
            <w:r>
              <w:rPr>
                <w:sz w:val="18"/>
              </w:rPr>
              <w:t xml:space="preserve">Voluntary participation — no mandate</w:t>
            </w:r>
          </w:p>
        </w:tc>
        <w:tc>
          <w:tcPr>
            <w:tcW w:w="2325" w:type="dxa"/>
          </w:tcPr>
          <w:p>
            <w:pPr>
              <w:pStyle w:val="Compact"/>
              <w:jc w:val="left"/>
            </w:pPr>
            <w:r>
              <w:rPr>
                <w:sz w:val="18"/>
              </w:rPr>
              <w:t xml:space="preserve">High-revenue hospitals opt out; ACO accountable for costs it cannot influence</w:t>
            </w:r>
          </w:p>
        </w:tc>
        <w:tc>
          <w:tcPr>
            <w:tcW w:w="315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250" w:type="dxa"/>
          </w:tcPr>
          <w:p>
            <w:pPr>
              <w:pStyle w:val="Compact"/>
              <w:jc w:val="left"/>
            </w:pPr>
            <w:r>
              <w:rPr>
                <w:sz w:val="18"/>
              </w:rPr>
              <w:t xml:space="preserve">No integrated real-time data; 60–90 day lag</w:t>
            </w:r>
          </w:p>
        </w:tc>
        <w:tc>
          <w:tcPr>
            <w:tcW w:w="23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315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250" w:type="dxa"/>
          </w:tcPr>
          <w:p>
            <w:pPr>
              <w:pStyle w:val="Compact"/>
              <w:jc w:val="left"/>
            </w:pPr>
            <w:r>
              <w:rPr>
                <w:sz w:val="18"/>
              </w:rPr>
              <w:t xml:space="preserve">Payment model assumed risk before technology was ready</w:t>
            </w:r>
          </w:p>
        </w:tc>
        <w:tc>
          <w:tcPr>
            <w:tcW w:w="2325" w:type="dxa"/>
          </w:tcPr>
          <w:p>
            <w:pPr>
              <w:pStyle w:val="Compact"/>
              <w:jc w:val="left"/>
            </w:pPr>
            <w:r>
              <w:rPr>
                <w:sz w:val="18"/>
              </w:rPr>
              <w:t xml:space="preserve">Unexpected losses → cannot demonstrate savings to payers</w:t>
            </w:r>
          </w:p>
        </w:tc>
        <w:tc>
          <w:tcPr>
            <w:tcW w:w="315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250" w:type="dxa"/>
          </w:tcPr>
          <w:p>
            <w:pPr>
              <w:pStyle w:val="Compact"/>
              <w:jc w:val="left"/>
            </w:pPr>
            <w:r>
              <w:rPr>
                <w:sz w:val="18"/>
              </w:rPr>
              <w:t xml:space="preserve">Three gaps mutually reinforcing</w:t>
            </w:r>
          </w:p>
        </w:tc>
        <w:tc>
          <w:tcPr>
            <w:tcW w:w="2325" w:type="dxa"/>
          </w:tcPr>
          <w:p>
            <w:pPr>
              <w:pStyle w:val="Compact"/>
              <w:jc w:val="left"/>
            </w:pPr>
            <w:r>
              <w:rPr>
                <w:sz w:val="18"/>
              </w:rPr>
              <w:t xml:space="preserve">Organizational wind-down after ~10 years</w:t>
            </w:r>
          </w:p>
        </w:tc>
        <w:tc>
          <w:tcPr>
            <w:tcW w:w="315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line="240" w:lineRule="auto"/>
        <w:rPr>
          <w:sz w:val="16"/>
        </w:rPr>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425"/>
        <w:gridCol w:w="3360"/>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425" w:type="dxa"/>
          </w:tcPr>
          <w:p>
            <w:pPr>
              <w:pStyle w:val="Compact"/>
              <w:jc w:val="left"/>
            </w:pPr>
            <w:r>
              <w:rPr>
                <w:b/>
                <w:color w:val="FFFFFF"/>
                <w:sz w:val="18"/>
              </w:rPr>
              <w:t xml:space="preserve">Diagnostic question</w:t>
            </w:r>
          </w:p>
        </w:tc>
        <w:tc>
          <w:tcPr>
            <w:shd w:val="clear" w:color="auto" w:fill="1B3A6B"/>
            <w:tcW w:w="3360"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425" w:type="dxa"/>
          </w:tcPr>
          <w:p>
            <w:pPr>
              <w:pStyle w:val="Compact"/>
              <w:jc w:val="left"/>
            </w:pPr>
            <w:r>
              <w:rPr>
                <w:sz w:val="18"/>
              </w:rPr>
              <w:t xml:space="preserve">Is it permissible?</w:t>
            </w:r>
          </w:p>
        </w:tc>
        <w:tc>
          <w:tcPr>
            <w:tcW w:w="3360"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425" w:type="dxa"/>
          </w:tcPr>
          <w:p>
            <w:pPr>
              <w:pStyle w:val="Compact"/>
              <w:jc w:val="left"/>
            </w:pPr>
            <w:r>
              <w:rPr>
                <w:sz w:val="18"/>
              </w:rPr>
              <w:t xml:space="preserve">Is it possible?</w:t>
            </w:r>
          </w:p>
        </w:tc>
        <w:tc>
          <w:tcPr>
            <w:tcW w:w="3360"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425" w:type="dxa"/>
          </w:tcPr>
          <w:p>
            <w:pPr>
              <w:pStyle w:val="Compact"/>
              <w:jc w:val="left"/>
            </w:pPr>
            <w:r>
              <w:rPr>
                <w:sz w:val="18"/>
              </w:rPr>
              <w:t xml:space="preserve">Is it sustainable?</w:t>
            </w:r>
          </w:p>
        </w:tc>
        <w:tc>
          <w:tcPr>
            <w:tcW w:w="3360"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425" w:type="dxa"/>
          </w:tcPr>
          <w:p>
            <w:pPr>
              <w:pStyle w:val="Compact"/>
              <w:jc w:val="left"/>
            </w:pPr>
            <w:r>
              <w:rPr>
                <w:sz w:val="18"/>
              </w:rPr>
              <w:t xml:space="preserve">Is it effective?</w:t>
            </w:r>
          </w:p>
        </w:tc>
        <w:tc>
          <w:tcPr>
            <w:tcW w:w="3360"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425" w:type="dxa"/>
          </w:tcPr>
          <w:p>
            <w:pPr>
              <w:pStyle w:val="Compact"/>
              <w:jc w:val="left"/>
            </w:pPr>
            <w:r>
              <w:rPr>
                <w:sz w:val="18"/>
              </w:rPr>
              <w:t xml:space="preserve">Is it just?</w:t>
            </w:r>
          </w:p>
        </w:tc>
        <w:tc>
          <w:tcPr>
            <w:tcW w:w="3360"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425" w:type="dxa"/>
          </w:tcPr>
          <w:p>
            <w:pPr>
              <w:pStyle w:val="Compact"/>
              <w:jc w:val="left"/>
            </w:pPr>
            <w:r>
              <w:rPr>
                <w:sz w:val="18"/>
              </w:rPr>
              <w:t xml:space="preserve">Is it executable?</w:t>
            </w:r>
          </w:p>
        </w:tc>
        <w:tc>
          <w:tcPr>
            <w:tcW w:w="3360"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line="240" w:lineRule="auto"/>
        <w:rPr>
          <w:sz w:val="16"/>
        </w:rPr>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line="240" w:lineRule="auto"/>
        <w:rPr>
          <w:sz w:val="16"/>
        </w:rPr>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line="240" w:lineRule="auto"/>
        <w:rPr>
          <w:sz w:val="16"/>
        </w:rPr>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line="240" w:lineRule="auto"/>
        <w:rPr>
          <w:sz w:val="16"/>
        </w:rPr>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line="240" w:lineRule="auto"/>
        <w:rPr>
          <w:sz w:val="16"/>
        </w:rPr>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line="240" w:lineRule="auto"/>
        <w:rPr>
          <w:sz w:val="16"/>
        </w:rPr>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line="240" w:lineRule="auto"/>
        <w:rPr>
          <w:sz w:val="16"/>
        </w:rPr>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line="240" w:lineRule="auto"/>
        <w:rPr>
          <w:sz w:val="16"/>
        </w:rPr>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line="240" w:lineRule="auto"/>
        <w:rPr>
          <w:sz w:val="16"/>
        </w:rPr>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line="240" w:lineRule="auto"/>
        <w:rPr>
          <w:sz w:val="16"/>
        </w:rPr>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line="240" w:lineRule="auto"/>
        <w:rPr>
          <w:sz w:val="16"/>
        </w:rPr>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line="240" w:lineRule="auto"/>
        <w:rPr>
          <w:sz w:val="16"/>
        </w:rPr>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line="240" w:lineRule="auto"/>
        <w:rPr>
          <w:sz w:val="16"/>
        </w:rPr>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GO DEEPER —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line="240" w:lineRule="auto"/>
        <w:rPr>
          <w:sz w:val="16"/>
        </w:rPr>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140"/>
        <w:gridCol w:w="1185"/>
        <w:gridCol w:w="675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185" w:type="dxa"/>
          </w:tcPr>
          <w:p>
            <w:pPr>
              <w:pStyle w:val="Compact"/>
              <w:jc w:val="left"/>
            </w:pPr>
            <w:r>
              <w:rPr>
                <w:b/>
                <w:color w:val="FFFFFF"/>
                <w:sz w:val="18"/>
              </w:rPr>
              <w:t xml:space="preserve">Status (timeframe)</w:t>
            </w:r>
          </w:p>
        </w:tc>
        <w:tc>
          <w:tcPr>
            <w:shd w:val="clear" w:color="auto" w:fill="1B3A6B"/>
            <w:tcW w:w="6750" w:type="dxa"/>
          </w:tcPr>
          <w:p>
            <w:pPr>
              <w:pStyle w:val="Compact"/>
              <w:jc w:val="left"/>
            </w:pPr>
            <w:r>
              <w:rPr>
                <w:b/>
                <w:color w:val="FFFFFF"/>
                <w:sz w:val="18"/>
              </w:rPr>
              <w:t xml:space="preserve">Where it stands</w:t>
            </w:r>
          </w:p>
        </w:tc>
      </w:tr>
      <w:tr>
        <w:trPr>
          <w:cantSplit/>
        </w:trPr>
        <w:tc>
          <w:tcPr>
            <w:tcW w:w="1140" w:type="dxa"/>
          </w:tcPr>
          <w:p>
            <w:pPr>
              <w:pStyle w:val="Compact"/>
              <w:jc w:val="left"/>
            </w:pPr>
            <w:r>
              <w:rPr>
                <w:b/>
                <w:bCs/>
                <w:sz w:val="18"/>
              </w:rPr>
              <w:t xml:space="preserve">Policy</w:t>
            </w:r>
          </w:p>
        </w:tc>
        <w:tc>
          <w:tcPr>
            <w:tcW w:w="1185" w:type="dxa"/>
          </w:tcPr>
          <w:p>
            <w:pPr>
              <w:pStyle w:val="Compact"/>
              <w:jc w:val="left"/>
            </w:pPr>
            <w:r>
              <w:rPr>
                <w:sz w:val="18"/>
              </w:rPr>
              <w:t xml:space="preserve">Completed (2022–2025)</w:t>
            </w:r>
          </w:p>
        </w:tc>
        <w:tc>
          <w:tcPr>
            <w:tcW w:w="67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140" w:type="dxa"/>
          </w:tcPr>
          <w:p>
            <w:pPr>
              <w:pStyle w:val="Compact"/>
              <w:jc w:val="left"/>
            </w:pPr>
            <w:r>
              <w:rPr>
                <w:b/>
                <w:bCs/>
                <w:sz w:val="18"/>
              </w:rPr>
              <w:t xml:space="preserve">Technology</w:t>
            </w:r>
          </w:p>
        </w:tc>
        <w:tc>
          <w:tcPr>
            <w:tcW w:w="1185" w:type="dxa"/>
          </w:tcPr>
          <w:p>
            <w:pPr>
              <w:pStyle w:val="Compact"/>
              <w:jc w:val="left"/>
            </w:pPr>
            <w:r>
              <w:rPr>
                <w:sz w:val="18"/>
              </w:rPr>
              <w:t xml:space="preserve">In progress (2025–2026)</w:t>
            </w:r>
          </w:p>
        </w:tc>
        <w:tc>
          <w:tcPr>
            <w:tcW w:w="67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140" w:type="dxa"/>
          </w:tcPr>
          <w:p>
            <w:pPr>
              <w:pStyle w:val="Compact"/>
              <w:jc w:val="left"/>
            </w:pPr>
            <w:r>
              <w:rPr>
                <w:b/>
                <w:bCs/>
                <w:sz w:val="18"/>
              </w:rPr>
              <w:t xml:space="preserve">Economics</w:t>
            </w:r>
          </w:p>
        </w:tc>
        <w:tc>
          <w:tcPr>
            <w:tcW w:w="1185" w:type="dxa"/>
          </w:tcPr>
          <w:p>
            <w:pPr>
              <w:pStyle w:val="Compact"/>
              <w:jc w:val="left"/>
            </w:pPr>
            <w:r>
              <w:rPr>
                <w:sz w:val="18"/>
              </w:rPr>
              <w:t xml:space="preserve">Staged (2027–2028)</w:t>
            </w:r>
          </w:p>
        </w:tc>
        <w:tc>
          <w:tcPr>
            <w:tcW w:w="67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140" w:type="dxa"/>
          </w:tcPr>
          <w:p>
            <w:pPr>
              <w:pStyle w:val="Compact"/>
              <w:jc w:val="left"/>
            </w:pPr>
            <w:r>
              <w:rPr>
                <w:b/>
                <w:bCs/>
                <w:sz w:val="18"/>
              </w:rPr>
              <w:t xml:space="preserve">Clinical</w:t>
            </w:r>
          </w:p>
        </w:tc>
        <w:tc>
          <w:tcPr>
            <w:tcW w:w="1185" w:type="dxa"/>
          </w:tcPr>
          <w:p>
            <w:pPr>
              <w:pStyle w:val="Compact"/>
              <w:jc w:val="left"/>
            </w:pPr>
            <w:r>
              <w:rPr>
                <w:sz w:val="18"/>
              </w:rPr>
              <w:t xml:space="preserve">Parallel (2024–2028)</w:t>
            </w:r>
          </w:p>
        </w:tc>
        <w:tc>
          <w:tcPr>
            <w:tcW w:w="67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140" w:type="dxa"/>
          </w:tcPr>
          <w:p>
            <w:pPr>
              <w:pStyle w:val="Compact"/>
              <w:jc w:val="left"/>
            </w:pPr>
            <w:r>
              <w:rPr>
                <w:b/>
                <w:bCs/>
                <w:sz w:val="18"/>
              </w:rPr>
              <w:t xml:space="preserve">Operations</w:t>
            </w:r>
          </w:p>
        </w:tc>
        <w:tc>
          <w:tcPr>
            <w:tcW w:w="1185" w:type="dxa"/>
          </w:tcPr>
          <w:p>
            <w:pPr>
              <w:pStyle w:val="Compact"/>
              <w:jc w:val="left"/>
            </w:pPr>
            <w:r>
              <w:rPr>
                <w:sz w:val="18"/>
              </w:rPr>
              <w:t xml:space="preserve">Building (2025–2028)</w:t>
            </w:r>
          </w:p>
        </w:tc>
        <w:tc>
          <w:tcPr>
            <w:tcW w:w="67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140" w:type="dxa"/>
          </w:tcPr>
          <w:p>
            <w:pPr>
              <w:pStyle w:val="Compact"/>
              <w:jc w:val="left"/>
            </w:pPr>
            <w:r>
              <w:rPr>
                <w:b/>
                <w:bCs/>
                <w:sz w:val="18"/>
              </w:rPr>
              <w:t xml:space="preserve">Equity</w:t>
            </w:r>
          </w:p>
        </w:tc>
        <w:tc>
          <w:tcPr>
            <w:tcW w:w="1185" w:type="dxa"/>
          </w:tcPr>
          <w:p>
            <w:pPr>
              <w:pStyle w:val="Compact"/>
              <w:jc w:val="left"/>
            </w:pPr>
            <w:r>
              <w:rPr>
                <w:sz w:val="18"/>
              </w:rPr>
              <w:t xml:space="preserve">Throughout (2025–2028)</w:t>
            </w:r>
          </w:p>
        </w:tc>
        <w:tc>
          <w:tcPr>
            <w:tcW w:w="67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Trace the 15 dependency relationships between the six pillars and see which downstream pillars a given gap disables</w:t>
            </w:r>
          </w:p>
        </w:tc>
        <w:tc>
          <w:tcPr>
            <w:tcW w:w="273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023" w:type="dxa"/>
          </w:tcPr>
          <w:p>
            <w:pPr>
              <w:pStyle w:val="Compact"/>
              <w:jc w:val="left"/>
            </w:pPr>
            <w:r>
              <w:rPr>
                <w:sz w:val="18"/>
              </w:rPr>
              <w:t xml:space="preserve">Click any pillar to highlight what it enables and what it depends on. Confirm visually why Technology sits upstream of Economics.</w:t>
            </w:r>
          </w:p>
        </w:tc>
      </w:tr>
      <w:tr>
        <w:trPr/>
        <w:tc>
          <w:tcPr>
            <w:tcW w:w="3312" w:type="dxa"/>
          </w:tcPr>
          <w:p>
            <w:pPr>
              <w:pStyle w:val="Compact"/>
              <w:jc w:val="left"/>
            </w:pPr>
            <w:r>
              <w:rPr>
                <w:sz w:val="18"/>
              </w:rPr>
              <w:t xml:space="preserve">Score a real organization or state across all six pillars and watch the composite readiness number respond</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312" w:type="dxa"/>
          </w:tcPr>
          <w:p>
            <w:pPr>
              <w:pStyle w:val="Compact"/>
              <w:jc w:val="left"/>
            </w:pPr>
            <w:r>
              <w:rPr>
                <w:sz w:val="18"/>
              </w:rPr>
              <w:t xml:space="preserve">Quantify where reform is losing momentum and which pillar is the binding constraint</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3312" w:type="dxa"/>
          </w:tcPr>
          <w:p>
            <w:pPr>
              <w:pStyle w:val="Compact"/>
              <w:jc w:val="left"/>
            </w:pPr>
            <w:r>
              <w:rPr>
                <w:sz w:val="18"/>
              </w:rPr>
              <w:t xml:space="preserve">Model how one pillar’s shortfall propagates through the other five over time</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1.9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line="240" w:lineRule="auto"/>
        <w:rPr>
          <w:sz w:val="16"/>
        </w:rPr>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line="240" w:lineRule="auto"/>
        <w:rPr>
          <w:sz w:val="16"/>
        </w:rPr>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line="240" w:lineRule="auto"/>
        <w:rPr>
          <w:sz w:val="16"/>
        </w:rPr>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line="240" w:lineRule="auto"/>
        <w:rPr>
          <w:sz w:val="16"/>
        </w:rPr>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2625"/>
        <w:gridCol w:w="6450"/>
      </w:tblGrid>
      <w:tr>
        <w:trPr>
          <w:tblHeader w:val="on"/>
          <w:cantSplit/>
        </w:trPr>
        <w:tc>
          <w:tcPr>
            <w:shd w:val="clear" w:color="auto" w:fill="1B3A6B"/>
            <w:tcW w:w="2625" w:type="dxa"/>
          </w:tcPr>
          <w:p>
            <w:pPr>
              <w:pStyle w:val="Compact"/>
              <w:jc w:val="left"/>
            </w:pPr>
            <w:r>
              <w:rPr>
                <w:b/>
                <w:color w:val="FFFFFF"/>
                <w:sz w:val="18"/>
              </w:rPr>
              <w:t xml:space="preserve">Common perception</w:t>
            </w:r>
          </w:p>
        </w:tc>
        <w:tc>
          <w:tcPr>
            <w:shd w:val="clear" w:color="auto" w:fill="1B3A6B"/>
            <w:tcW w:w="6450" w:type="dxa"/>
          </w:tcPr>
          <w:p>
            <w:pPr>
              <w:pStyle w:val="Compact"/>
              <w:jc w:val="left"/>
            </w:pPr>
            <w:r>
              <w:rPr>
                <w:b/>
                <w:color w:val="FFFFFF"/>
                <w:sz w:val="18"/>
              </w:rPr>
              <w:t xml:space="preserve">What the data actually shows</w:t>
            </w:r>
          </w:p>
        </w:tc>
      </w:tr>
      <w:tr>
        <w:trPr>
          <w:cantSplit/>
        </w:trPr>
        <w:tc>
          <w:tcPr>
            <w:tcW w:w="2625"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6450"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2625" w:type="dxa"/>
          </w:tcPr>
          <w:p>
            <w:pPr>
              <w:pStyle w:val="Compact"/>
              <w:jc w:val="left"/>
            </w:pPr>
            <w:r>
              <w:rPr>
                <w:sz w:val="18"/>
              </w:rPr>
              <w:t xml:space="preserve">Vermont has a statewide ACO (OneCare)</w:t>
            </w:r>
          </w:p>
        </w:tc>
        <w:tc>
          <w:tcPr>
            <w:tcW w:w="6450"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2625" w:type="dxa"/>
          </w:tcPr>
          <w:p>
            <w:pPr>
              <w:pStyle w:val="Compact"/>
              <w:jc w:val="left"/>
            </w:pPr>
            <w:r>
              <w:rPr>
                <w:sz w:val="18"/>
              </w:rPr>
              <w:t xml:space="preserve">Vermont has a functioning State HIE (VITL)</w:t>
            </w:r>
          </w:p>
        </w:tc>
        <w:tc>
          <w:tcPr>
            <w:tcW w:w="6450"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2625" w:type="dxa"/>
          </w:tcPr>
          <w:p>
            <w:pPr>
              <w:pStyle w:val="Compact"/>
              <w:jc w:val="left"/>
            </w:pPr>
            <w:r>
              <w:rPr>
                <w:sz w:val="18"/>
              </w:rPr>
              <w:t xml:space="preserve">Vermont does not have enough primary care providers</w:t>
            </w:r>
          </w:p>
        </w:tc>
        <w:tc>
          <w:tcPr>
            <w:tcW w:w="6450"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Figure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line="240" w:lineRule="auto"/>
        <w:rPr>
          <w:sz w:val="16"/>
        </w:rPr>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Figure 2.2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line="240" w:lineRule="auto"/>
        <w:rPr>
          <w:sz w:val="16"/>
        </w:rPr>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2.3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Figure 2.4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line="240" w:lineRule="auto"/>
        <w:rPr>
          <w:sz w:val="16"/>
        </w:rPr>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Model an 1115 waiver or all-payer global budget design against a pre-loaded state scenario</w:t>
            </w:r>
          </w:p>
        </w:tc>
        <w:tc>
          <w:tcPr>
            <w:tcW w:w="2736"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3"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312" w:type="dxa"/>
          </w:tcPr>
          <w:p>
            <w:pPr>
              <w:pStyle w:val="Compact"/>
              <w:jc w:val="left"/>
            </w:pPr>
            <w:r>
              <w:rPr>
                <w:sz w:val="18"/>
              </w:rPr>
              <w:t xml:space="preserve">Trace how a statutory mandate cascades into operational deadlines</w:t>
            </w:r>
          </w:p>
        </w:tc>
        <w:tc>
          <w:tcPr>
            <w:tcW w:w="2736"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3" w:type="dxa"/>
          </w:tcPr>
          <w:p>
            <w:pPr>
              <w:pStyle w:val="Compact"/>
              <w:jc w:val="left"/>
            </w:pPr>
            <w:r>
              <w:rPr>
                <w:sz w:val="18"/>
              </w:rPr>
              <w:t xml:space="preserve">Map each statutory deadline to the pillar it gates.</w:t>
            </w:r>
          </w:p>
        </w:tc>
      </w:tr>
    </w:tbl>
    <w:p>
      <w:pPr>
        <w:pStyle w:val="Caption"/>
        <w:spacing w:before="120"/>
      </w:pPr>
      <w:r>
        <w:rPr>
          <w:i/>
          <w:iCs/>
        </w:rPr>
        <w:t xml:space="preserve">Figure 2.5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Figure 3.2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line="240" w:lineRule="auto"/>
        <w:rPr>
          <w:sz w:val="16"/>
        </w:rPr>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AHEAD EAST Fund;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3.3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3.4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Estimate Medicaid coverage loss under H.R. 1’s work-requirement and eligibility provisions</w:t>
            </w:r>
          </w:p>
        </w:tc>
        <w:tc>
          <w:tcPr>
            <w:tcW w:w="2736"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3" w:type="dxa"/>
          </w:tcPr>
          <w:p>
            <w:pPr>
              <w:pStyle w:val="Compact"/>
              <w:jc w:val="left"/>
            </w:pPr>
            <w:r>
              <w:rPr>
                <w:sz w:val="18"/>
              </w:rPr>
              <w:t xml:space="preserve">The gap between nominal exemptions and real-world coverage loss from administrative churn.</w:t>
            </w:r>
          </w:p>
        </w:tc>
      </w:tr>
      <w:tr>
        <w:trPr/>
        <w:tc>
          <w:tcPr>
            <w:tcW w:w="3312" w:type="dxa"/>
          </w:tcPr>
          <w:p>
            <w:pPr>
              <w:pStyle w:val="Compact"/>
              <w:jc w:val="left"/>
            </w:pPr>
            <w:r>
              <w:rPr>
                <w:sz w:val="18"/>
              </w:rPr>
              <w:t xml:space="preserve">Model the H.R. 1 funding cliff for a state’s Medicaid program</w:t>
            </w:r>
          </w:p>
        </w:tc>
        <w:tc>
          <w:tcPr>
            <w:tcW w:w="2736"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3" w:type="dxa"/>
          </w:tcPr>
          <w:p>
            <w:pPr>
              <w:pStyle w:val="Compact"/>
              <w:jc w:val="left"/>
            </w:pPr>
            <w:r>
              <w:rPr>
                <w:sz w:val="18"/>
              </w:rPr>
              <w:t xml:space="preserve">How federal policy shifts the financial assumptions every downstream pillar depends on.</w:t>
            </w:r>
          </w:p>
        </w:tc>
      </w:tr>
      <w:tr>
        <w:trPr>
          <w:cantSplit/>
        </w:trPr>
        <w:tc>
          <w:tcPr>
            <w:tcW w:w="3312" w:type="dxa"/>
          </w:tcPr>
          <w:p>
            <w:pPr>
              <w:pStyle w:val="Compact"/>
              <w:jc w:val="left"/>
            </w:pPr>
            <w:r>
              <w:rPr>
                <w:sz w:val="18"/>
              </w:rPr>
              <w:t xml:space="preserve">Test eligibility outcomes for a specific household</w:t>
            </w:r>
          </w:p>
        </w:tc>
        <w:tc>
          <w:tcPr>
            <w:tcW w:w="2736"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3"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3.5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pPr>
            <w:r>
              <w:rPr>
                <w:b/>
                <w:color w:val="FFFFFF"/>
                <w:sz w:val="18"/>
              </w:rPr>
              <w:t xml:space="preserve">Layer</w:t>
            </w:r>
          </w:p>
        </w:tc>
        <w:tc>
          <w:tcPr>
            <w:shd w:val="clear" w:color="auto" w:fill="1B3A6B"/>
            <w:tcW w:w="5835" w:type="dxa"/>
          </w:tcPr>
          <w:p>
            <w:pPr>
              <w:pStyle w:val="Compact"/>
            </w:pPr>
            <w:r>
              <w:rPr>
                <w:b/>
                <w:color w:val="FFFFFF"/>
                <w:sz w:val="18"/>
              </w:rPr>
              <w:t xml:space="preserve">Role in the data stack</w:t>
            </w:r>
          </w:p>
        </w:tc>
      </w:tr>
      <w:tr>
        <w:trPr>
          <w:cantSplit/>
        </w:trPr>
        <w:tc>
          <w:tcPr>
            <w:tcW w:w="3225"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835"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225"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835"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225"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835"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4.2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line="240" w:lineRule="auto"/>
        <w:rPr>
          <w:sz w:val="16"/>
        </w:rPr>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4.4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4.5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4.6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62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62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62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62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62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FHIR R4 resources and map terminology across ICD-10, SNOMED, LOINC, RxNorm</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312" w:type="dxa"/>
          </w:tcPr>
          <w:p>
            <w:pPr>
              <w:pStyle w:val="Compact"/>
              <w:jc w:val="left"/>
            </w:pPr>
            <w:r>
              <w:rPr>
                <w:sz w:val="18"/>
              </w:rPr>
              <w:t xml:space="preserve">Stratify a population by CMS-HCC risk and see the attribution that global budgets require</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Why technology must precede economics: you cannot manage a budget for a population you cannot see.</w:t>
            </w:r>
          </w:p>
        </w:tc>
      </w:tr>
      <w:tr>
        <w:trPr/>
        <w:tc>
          <w:tcPr>
            <w:tcW w:w="3312" w:type="dxa"/>
          </w:tcPr>
          <w:p>
            <w:pPr>
              <w:pStyle w:val="Compact"/>
              <w:jc w:val="left"/>
            </w:pPr>
            <w:r>
              <w:rPr>
                <w:sz w:val="18"/>
              </w:rPr>
              <w:t xml:space="preserve">Compare EHR vendors, model adoption cost and 5-year ROI, and audit a record’s USCDI data quality</w:t>
            </w:r>
          </w:p>
        </w:tc>
        <w:tc>
          <w:tcPr>
            <w:tcW w:w="2736"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3"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312" w:type="dxa"/>
          </w:tcPr>
          <w:p>
            <w:pPr>
              <w:pStyle w:val="Compact"/>
              <w:jc w:val="left"/>
            </w:pPr>
            <w:r>
              <w:rPr>
                <w:sz w:val="18"/>
              </w:rPr>
              <w:t xml:space="preserve">Weigh a single statewide EHR against FHIR interoperability across Vermont’s existing platforms</w:t>
            </w:r>
          </w:p>
        </w:tc>
        <w:tc>
          <w:tcPr>
            <w:tcW w:w="2736"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3"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4.8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line="240" w:lineRule="auto"/>
        <w:rPr>
          <w:sz w:val="16"/>
        </w:rPr>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an AI clinical governance framework across the model lifecycle</w:t>
            </w:r>
          </w:p>
        </w:tc>
        <w:tc>
          <w:tcPr>
            <w:tcW w:w="2736"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3" w:type="dxa"/>
          </w:tcPr>
          <w:p>
            <w:pPr>
              <w:pStyle w:val="Compact"/>
              <w:jc w:val="left"/>
            </w:pPr>
            <w:r>
              <w:rPr>
                <w:sz w:val="18"/>
              </w:rPr>
              <w:t xml:space="preserve">The 65-item checklist as a go/no-go gate before any clinical AI deployment.</w:t>
            </w:r>
          </w:p>
        </w:tc>
      </w:tr>
      <w:tr>
        <w:trPr/>
        <w:tc>
          <w:tcPr>
            <w:tcW w:w="3312" w:type="dxa"/>
          </w:tcPr>
          <w:p>
            <w:pPr>
              <w:pStyle w:val="Compact"/>
              <w:jc w:val="left"/>
            </w:pPr>
            <w:r>
              <w:rPr>
                <w:sz w:val="18"/>
              </w:rPr>
              <w:t xml:space="preserve">Model RPM and telehealth ROI by condition and CPT code</w:t>
            </w:r>
          </w:p>
        </w:tc>
        <w:tc>
          <w:tcPr>
            <w:tcW w:w="2736"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3" w:type="dxa"/>
          </w:tcPr>
          <w:p>
            <w:pPr>
              <w:pStyle w:val="Compact"/>
              <w:jc w:val="left"/>
            </w:pPr>
            <w:r>
              <w:rPr>
                <w:sz w:val="18"/>
              </w:rPr>
              <w:t xml:space="preserve">Where digital health earns its cost — and where it adds alert fatigue without value.</w:t>
            </w:r>
          </w:p>
        </w:tc>
      </w:tr>
      <w:tr>
        <w:trPr/>
        <w:tc>
          <w:tcPr>
            <w:tcW w:w="3312" w:type="dxa"/>
          </w:tcPr>
          <w:p>
            <w:pPr>
              <w:pStyle w:val="Compact"/>
              <w:jc w:val="left"/>
            </w:pPr>
            <w:r>
              <w:rPr>
                <w:sz w:val="18"/>
              </w:rPr>
              <w:t xml:space="preserve">Exercise clinical data exchange and HL7 messaging</w:t>
            </w:r>
          </w:p>
        </w:tc>
        <w:tc>
          <w:tcPr>
            <w:tcW w:w="2736"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3" w:type="dxa"/>
          </w:tcPr>
          <w:p>
            <w:pPr>
              <w:pStyle w:val="Compact"/>
              <w:jc w:val="left"/>
            </w:pPr>
            <w:r>
              <w:rPr>
                <w:sz w:val="18"/>
              </w:rPr>
              <w:t xml:space="preserve">The integration work that makes near-real-time care management possible.</w:t>
            </w:r>
          </w:p>
        </w:tc>
      </w:tr>
      <w:tr>
        <w:trPr>
          <w:cantSplit/>
        </w:trPr>
        <w:tc>
          <w:tcPr>
            <w:tcW w:w="3312" w:type="dxa"/>
          </w:tcPr>
          <w:p>
            <w:pPr>
              <w:pStyle w:val="Compact"/>
              <w:jc w:val="left"/>
            </w:pPr>
            <w:r>
              <w:rPr>
                <w:sz w:val="18"/>
              </w:rPr>
              <w:t xml:space="preserve">Test whether FHIR-based exchange can deliver what a statewide EHR would, at lower cost</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5.4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Average commercial-to-Medicare ratio, Vermont hospitals 250–300% vs. ~136% break-even point</w:t>
            </w:r>
          </w:p>
        </w:tc>
        <w:tc>
          <w:tcPr>
            <w:shd w:val="clear" w:color="auto" w:fill="EDF2F9"/>
            <w:tcW w:w="4536" w:type="dxa"/>
          </w:tcPr>
          <w:p>
            <w:pPr>
              <w:pStyle w:val="Compact"/>
              <w:jc w:val="left"/>
            </w:pPr>
            <w:r>
              <w:rPr>
                <w:b/>
                <w:color w:val="111111"/>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Figure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line="240" w:lineRule="auto"/>
        <w:rPr>
          <w:sz w:val="16"/>
        </w:rPr>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Figure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Figure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Figure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Medicare hospital savings to date $1.4B vs. projected national trend (HSCRC)</w:t>
            </w:r>
          </w:p>
        </w:tc>
        <w:tc>
          <w:tcPr>
            <w:shd w:val="clear" w:color="auto" w:fill="EDF2F9"/>
            <w:tcW w:w="4536" w:type="dxa"/>
          </w:tcPr>
          <w:p>
            <w:pPr>
              <w:pStyle w:val="Compact"/>
              <w:jc w:val="left"/>
            </w:pPr>
            <w:r>
              <w:rPr>
                <w:b/>
                <w:color w:val="111111"/>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Figure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AHEAD Hospital Global Budgets begin January 2028 for Medicare FFS</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AHEAD in full operation;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Design an APM and model a 5-year global-budget transition with Vermont’s All-Payer TCOC preset</w:t>
            </w:r>
          </w:p>
        </w:tc>
        <w:tc>
          <w:tcPr>
            <w:tcW w:w="2736"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3" w:type="dxa"/>
          </w:tcPr>
          <w:p>
            <w:pPr>
              <w:pStyle w:val="Compact"/>
              <w:jc w:val="left"/>
            </w:pPr>
            <w:r>
              <w:rPr>
                <w:sz w:val="18"/>
              </w:rPr>
              <w:t xml:space="preserve">How a binding revenue envelope changes the volume incentive the chapter describes.</w:t>
            </w:r>
          </w:p>
        </w:tc>
      </w:tr>
      <w:tr>
        <w:trPr/>
        <w:tc>
          <w:tcPr>
            <w:tcW w:w="3312" w:type="dxa"/>
          </w:tcPr>
          <w:p>
            <w:pPr>
              <w:pStyle w:val="Compact"/>
              <w:jc w:val="left"/>
            </w:pPr>
            <w:r>
              <w:rPr>
                <w:sz w:val="18"/>
              </w:rPr>
              <w:t xml:space="preserve">Stress-test a hospital’s finances under RBP, global-budget, and Medicaid-cut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6.13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line="240" w:lineRule="auto"/>
        <w:rPr>
          <w:sz w:val="16"/>
        </w:rPr>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line="240" w:lineRule="auto"/>
        <w:rPr>
          <w:sz w:val="16"/>
        </w:rPr>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line="240" w:lineRule="auto"/>
        <w:rPr>
          <w:sz w:val="16"/>
        </w:rPr>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$15,000</w:t>
            </w:r>
          </w:p>
          <w:p>
            <w:pPr>
              <w:jc w:val="center"/>
              <w:spacing w:after="40"/>
            </w:pPr>
            <w:r>
              <w:rPr>
                <w:rFonts w:ascii="Calibri" w:hAnsi="Calibri"/>
                <w:b/>
                <w:sz w:val="16"/>
                <w:color w:val="1B3A6B"/>
              </w:rPr>
              <w:t>Avg. Inpatient Cost Prevented</w:t>
            </w:r>
          </w:p>
        </w:tc>
        <w:tc>
          <w:tcPr>
            <w:tcW w:w="2268" w:type="dxa"/>
            <w:shd w:val="clear" w:color="auto" w:fill="E8F0FB"/>
            <w:vAlign w:val="center"/>
          </w:tcPr>
          <w:p>
            <w:pPr>
              <w:jc w:val="center"/>
              <w:spacing w:after="20" w:before="40"/>
            </w:pPr>
            <w:r>
              <w:rPr>
                <w:rFonts w:ascii="Calibri" w:hAnsi="Calibri"/>
                <w:b/>
                <w:sz w:val="16"/>
                <w:color w:val="1B3A6B"/>
              </w:rPr>
              <w:t>$1,800</w:t>
            </w:r>
          </w:p>
          <w:p>
            <w:pPr>
              <w:jc w:val="center"/>
              <w:spacing w:after="40"/>
            </w:pPr>
            <w:r>
              <w:rPr>
                <w:rFonts w:ascii="Calibri" w:hAnsi="Calibri"/>
                <w:b/>
                <w:sz w:val="16"/>
                <w:color w:val="1B3A6B"/>
              </w:rPr>
              <w:t>Avg. Preventable ED Visit</w:t>
            </w:r>
          </w:p>
        </w:tc>
        <w:tc>
          <w:tcPr>
            <w:tcW w:w="2268" w:type="dxa"/>
            <w:shd w:val="clear" w:color="auto" w:fill="E8F0FB"/>
            <w:vAlign w:val="center"/>
          </w:tcPr>
          <w:p>
            <w:pPr>
              <w:jc w:val="center"/>
              <w:spacing w:after="20" w:before="40"/>
            </w:pPr>
            <w:r>
              <w:rPr>
                <w:rFonts w:ascii="Calibri" w:hAnsi="Calibri"/>
                <w:b/>
                <w:sz w:val="16"/>
                <w:color w:val="1B3A6B"/>
              </w:rPr>
              <w:t>3–5x</w:t>
            </w:r>
          </w:p>
          <w:p>
            <w:pPr>
              <w:jc w:val="center"/>
              <w:spacing w:after="40"/>
            </w:pPr>
            <w:r>
              <w:rPr>
                <w:rFonts w:ascii="Calibri" w:hAnsi="Calibri"/>
                <w:b/>
                <w:sz w:val="16"/>
                <w:color w:val="1B3A6B"/>
              </w:rPr>
              <w:t>Care Management ROI Range</w:t>
            </w:r>
          </w:p>
        </w:tc>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VT Potentially Avoidable ED Visits</w:t>
            </w:r>
          </w:p>
        </w:tc>
      </w:tr>
    </w:tbl>
    <w:p>
      <w:pPr>
        <w:spacing w:after="120"/>
      </w:pPr>
    </w:p>
    <w:p>
      <w:pPr>
        <w:pStyle w:val="Heading2"/>
        <w:pBdr>
          <w:top w:val="single" w:sz="6" w:space="10" w:color="C9D2DF"/>
        </w:pBdr>
        <w:keepNext w:val="false"/>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Figure 7.3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Model shared savings/loss under any APM contract (benchmark PMPM, sharing rate, MSR, stop-loss)</w:t>
            </w:r>
          </w:p>
        </w:tc>
        <w:tc>
          <w:tcPr>
            <w:tcW w:w="2736"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3"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312" w:type="dxa"/>
          </w:tcPr>
          <w:p>
            <w:pPr>
              <w:pStyle w:val="Compact"/>
              <w:jc w:val="left"/>
            </w:pPr>
            <w:r>
              <w:rPr>
                <w:sz w:val="18"/>
              </w:rPr>
              <w:t xml:space="preserve">Score an organization’s value-based-care readiness across six domains</w:t>
            </w:r>
          </w:p>
        </w:tc>
        <w:tc>
          <w:tcPr>
            <w:tcW w:w="2736"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3" w:type="dxa"/>
          </w:tcPr>
          <w:p>
            <w:pPr>
              <w:pStyle w:val="Compact"/>
              <w:jc w:val="left"/>
            </w:pPr>
            <w:r>
              <w:rPr>
                <w:sz w:val="18"/>
              </w:rPr>
              <w:t xml:space="preserve">Which domain is the binding constraint before assuming downside risk.</w:t>
            </w:r>
          </w:p>
        </w:tc>
      </w:tr>
      <w:tr>
        <w:trPr/>
        <w:tc>
          <w:tcPr>
            <w:tcW w:w="3312" w:type="dxa"/>
          </w:tcPr>
          <w:p>
            <w:pPr>
              <w:pStyle w:val="Compact"/>
              <w:jc w:val="left"/>
            </w:pPr>
            <w:r>
              <w:rPr>
                <w:sz w:val="18"/>
              </w:rPr>
              <w:t xml:space="preserve">Run a cost-effectiveness analysis on a proposed intervention</w:t>
            </w:r>
          </w:p>
        </w:tc>
        <w:tc>
          <w:tcPr>
            <w:tcW w:w="2736"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3" w:type="dxa"/>
          </w:tcPr>
          <w:p>
            <w:pPr>
              <w:pStyle w:val="Compact"/>
              <w:jc w:val="left"/>
            </w:pPr>
            <w:r>
              <w:rPr>
                <w:sz w:val="18"/>
              </w:rPr>
              <w:t xml:space="preserve">Whether the ROI case survives contact with the numbers.</w:t>
            </w:r>
          </w:p>
        </w:tc>
      </w:tr>
      <w:tr>
        <w:trPr/>
        <w:tc>
          <w:tcPr>
            <w:tcW w:w="3312" w:type="dxa"/>
          </w:tcPr>
          <w:p>
            <w:pPr>
              <w:pStyle w:val="Compact"/>
              <w:jc w:val="left"/>
            </w:pPr>
            <w:r>
              <w:rPr>
                <w:sz w:val="18"/>
              </w:rPr>
              <w:t xml:space="preserve">Stress-test a hospital’s finances against reference-based pricing and global budget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The years the hospital is thinnest. For most Vermont hospitals that is FY2027-28, not the FY2030 destination.</w:t>
            </w:r>
          </w:p>
        </w:tc>
      </w:tr>
      <w:tr>
        <w:trPr>
          <w:cantSplit/>
        </w:trPr>
        <w:tc>
          <w:tcPr>
            <w:tcW w:w="3312" w:type="dxa"/>
          </w:tcPr>
          <w:p>
            <w:pPr>
              <w:pStyle w:val="Compact"/>
              <w:jc w:val="left"/>
            </w:pPr>
            <w:r>
              <w:rPr>
                <w:sz w:val="18"/>
              </w:rPr>
              <w:t xml:space="preserve">Track capital committed against each pillar and find where funding runs ahead of dependency order</w:t>
            </w:r>
          </w:p>
        </w:tc>
        <w:tc>
          <w:tcPr>
            <w:tcW w:w="2736"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3023"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7.6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Blueprint ROI: medical expenditure reduction per $1M invested $5.8M Lower hospitalization and outpatient facility use (Population Health Management study)</w:t>
            </w:r>
          </w:p>
        </w:tc>
        <w:tc>
          <w:tcPr>
            <w:shd w:val="clear" w:color="auto" w:fill="EDF2F9"/>
            <w:tcW w:w="4536" w:type="dxa"/>
          </w:tcPr>
          <w:p>
            <w:pPr>
              <w:pStyle w:val="Compact"/>
              <w:jc w:val="left"/>
            </w:pPr>
            <w:r>
              <w:rPr>
                <w:b/>
                <w:color w:val="111111"/>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line="240" w:lineRule="auto"/>
        <w:rPr>
          <w:sz w:val="16"/>
        </w:rPr>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620"/>
        <w:gridCol w:w="1125"/>
        <w:gridCol w:w="2970"/>
        <w:gridCol w:w="3345"/>
      </w:tblGrid>
      <w:tr>
        <w:trPr>
          <w:tblHeader w:val="on"/>
          <w:cantSplit/>
        </w:trPr>
        <w:tc>
          <w:tcPr>
            <w:shd w:val="clear" w:color="auto" w:fill="1B3A6B"/>
            <w:tcW w:w="1620" w:type="dxa"/>
          </w:tcPr>
          <w:p>
            <w:pPr>
              <w:pStyle w:val="Compact"/>
              <w:jc w:val="left"/>
            </w:pPr>
            <w:r>
              <w:rPr>
                <w:b/>
                <w:color w:val="FFFFFF"/>
                <w:sz w:val="18"/>
              </w:rPr>
              <w:t xml:space="preserve">CoCM component</w:t>
            </w:r>
          </w:p>
        </w:tc>
        <w:tc>
          <w:tcPr>
            <w:shd w:val="clear" w:color="auto" w:fill="1B3A6B"/>
            <w:tcW w:w="1125" w:type="dxa"/>
          </w:tcPr>
          <w:p>
            <w:pPr>
              <w:pStyle w:val="Compact"/>
              <w:jc w:val="left"/>
            </w:pPr>
            <w:r>
              <w:rPr>
                <w:b/>
                <w:color w:val="FFFFFF"/>
                <w:sz w:val="18"/>
              </w:rPr>
              <w:t xml:space="preserve">Role</w:t>
            </w:r>
          </w:p>
        </w:tc>
        <w:tc>
          <w:tcPr>
            <w:shd w:val="clear" w:color="auto" w:fill="1B3A6B"/>
            <w:tcW w:w="2970" w:type="dxa"/>
          </w:tcPr>
          <w:p>
            <w:pPr>
              <w:pStyle w:val="Compact"/>
              <w:jc w:val="left"/>
            </w:pPr>
            <w:r>
              <w:rPr>
                <w:b/>
                <w:color w:val="FFFFFF"/>
                <w:sz w:val="18"/>
              </w:rPr>
              <w:t xml:space="preserve">What they do</w:t>
            </w:r>
          </w:p>
        </w:tc>
        <w:tc>
          <w:tcPr>
            <w:shd w:val="clear" w:color="auto" w:fill="1B3A6B"/>
            <w:tcW w:w="3345" w:type="dxa"/>
          </w:tcPr>
          <w:p>
            <w:pPr>
              <w:pStyle w:val="Compact"/>
              <w:jc w:val="left"/>
            </w:pPr>
            <w:r>
              <w:rPr>
                <w:b/>
                <w:color w:val="FFFFFF"/>
                <w:sz w:val="18"/>
              </w:rPr>
              <w:t xml:space="preserve">Vermont application</w:t>
            </w:r>
          </w:p>
        </w:tc>
      </w:tr>
      <w:tr>
        <w:trPr>
          <w:cantSplit/>
        </w:trPr>
        <w:tc>
          <w:tcPr>
            <w:tcW w:w="1620" w:type="dxa"/>
          </w:tcPr>
          <w:p>
            <w:pPr>
              <w:pStyle w:val="Compact"/>
              <w:jc w:val="left"/>
            </w:pPr>
            <w:r>
              <w:rPr>
                <w:sz w:val="18"/>
              </w:rPr>
              <w:t xml:space="preserve">Primary Care Provider (PCP)</w:t>
            </w:r>
          </w:p>
        </w:tc>
        <w:tc>
          <w:tcPr>
            <w:tcW w:w="1125" w:type="dxa"/>
          </w:tcPr>
          <w:p>
            <w:pPr>
              <w:pStyle w:val="Compact"/>
              <w:jc w:val="left"/>
            </w:pPr>
            <w:r>
              <w:rPr>
                <w:sz w:val="18"/>
              </w:rPr>
              <w:t xml:space="preserve">Treating and billing provider</w:t>
            </w:r>
          </w:p>
        </w:tc>
        <w:tc>
          <w:tcPr>
            <w:tcW w:w="2970"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334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20" w:type="dxa"/>
          </w:tcPr>
          <w:p>
            <w:pPr>
              <w:pStyle w:val="Compact"/>
              <w:jc w:val="left"/>
            </w:pPr>
            <w:r>
              <w:rPr>
                <w:sz w:val="18"/>
              </w:rPr>
              <w:t xml:space="preserve">Behavioral Health Care Manager (BHCM)</w:t>
            </w:r>
          </w:p>
        </w:tc>
        <w:tc>
          <w:tcPr>
            <w:tcW w:w="1125" w:type="dxa"/>
          </w:tcPr>
          <w:p>
            <w:pPr>
              <w:pStyle w:val="Compact"/>
              <w:jc w:val="left"/>
            </w:pPr>
            <w:r>
              <w:rPr>
                <w:sz w:val="18"/>
              </w:rPr>
              <w:t xml:space="preserve">Day-to-day care coordinator</w:t>
            </w:r>
          </w:p>
        </w:tc>
        <w:tc>
          <w:tcPr>
            <w:tcW w:w="2970"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34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20" w:type="dxa"/>
          </w:tcPr>
          <w:p>
            <w:pPr>
              <w:pStyle w:val="Compact"/>
              <w:jc w:val="left"/>
            </w:pPr>
            <w:r>
              <w:rPr>
                <w:sz w:val="18"/>
              </w:rPr>
              <w:t xml:space="preserve">Psychiatric Consultant</w:t>
            </w:r>
          </w:p>
        </w:tc>
        <w:tc>
          <w:tcPr>
            <w:tcW w:w="1125" w:type="dxa"/>
          </w:tcPr>
          <w:p>
            <w:pPr>
              <w:pStyle w:val="Compact"/>
              <w:jc w:val="left"/>
            </w:pPr>
            <w:r>
              <w:rPr>
                <w:sz w:val="18"/>
              </w:rPr>
              <w:t xml:space="preserve">Clinical supervision</w:t>
            </w:r>
          </w:p>
        </w:tc>
        <w:tc>
          <w:tcPr>
            <w:tcW w:w="2970"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334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AHEAD EAST Fund SDOH investments;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through AHEAD EAST Fund;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AHEAD EAST Fund; 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Stratify a clinical panel by risk tier and match staffing intensity</w:t>
            </w:r>
          </w:p>
        </w:tc>
        <w:tc>
          <w:tcPr>
            <w:tcW w:w="2736"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3" w:type="dxa"/>
          </w:tcPr>
          <w:p>
            <w:pPr>
              <w:pStyle w:val="Compact"/>
              <w:jc w:val="left"/>
            </w:pPr>
            <w:r>
              <w:rPr>
                <w:sz w:val="18"/>
              </w:rPr>
              <w:t xml:space="preserve">How panel design changes when staffing follows risk rather than volume.</w:t>
            </w:r>
          </w:p>
        </w:tc>
      </w:tr>
      <w:tr>
        <w:trPr/>
        <w:tc>
          <w:tcPr>
            <w:tcW w:w="3312" w:type="dxa"/>
          </w:tcPr>
          <w:p>
            <w:pPr>
              <w:pStyle w:val="Compact"/>
              <w:jc w:val="left"/>
            </w:pPr>
            <w:r>
              <w:rPr>
                <w:sz w:val="18"/>
              </w:rPr>
              <w:t xml:space="preserve">Model HEDIS measure performance against NCQA benchmarks</w:t>
            </w:r>
          </w:p>
        </w:tc>
        <w:tc>
          <w:tcPr>
            <w:tcW w:w="2736"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3" w:type="dxa"/>
          </w:tcPr>
          <w:p>
            <w:pPr>
              <w:pStyle w:val="Compact"/>
              <w:jc w:val="left"/>
            </w:pPr>
            <w:r>
              <w:rPr>
                <w:sz w:val="18"/>
              </w:rPr>
              <w:t xml:space="preserve">Which measures move population outcomes vs. which only move scores.</w:t>
            </w:r>
          </w:p>
        </w:tc>
      </w:tr>
      <w:tr>
        <w:trPr>
          <w:cantSplit/>
        </w:trPr>
        <w:tc>
          <w:tcPr>
            <w:tcW w:w="3312" w:type="dxa"/>
          </w:tcPr>
          <w:p>
            <w:pPr>
              <w:pStyle w:val="Compact"/>
              <w:jc w:val="left"/>
            </w:pPr>
            <w:r>
              <w:rPr>
                <w:sz w:val="18"/>
              </w:rPr>
              <w:t xml:space="preserve">Run risk stratification on a live panel rather than reading the methodology</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8.7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line="240" w:lineRule="auto"/>
        <w:rPr>
          <w:sz w:val="16"/>
        </w:rPr>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650"/>
        <w:gridCol w:w="1260"/>
        <w:gridCol w:w="2925"/>
        <w:gridCol w:w="3225"/>
      </w:tblGrid>
      <w:tr>
        <w:trPr>
          <w:tblHeader w:val="on"/>
          <w:cantSplit/>
        </w:trPr>
        <w:tc>
          <w:tcPr>
            <w:shd w:val="clear" w:color="auto" w:fill="1B3A6B"/>
            <w:tcW w:w="1650" w:type="dxa"/>
          </w:tcPr>
          <w:p>
            <w:pPr>
              <w:pStyle w:val="Compact"/>
              <w:jc w:val="left"/>
            </w:pPr>
            <w:r>
              <w:rPr>
                <w:b/>
                <w:color w:val="FFFFFF"/>
                <w:sz w:val="18"/>
              </w:rPr>
              <w:t xml:space="preserve">CoCM Component</w:t>
            </w:r>
          </w:p>
        </w:tc>
        <w:tc>
          <w:tcPr>
            <w:shd w:val="clear" w:color="auto" w:fill="1B3A6B"/>
            <w:tcW w:w="1260" w:type="dxa"/>
          </w:tcPr>
          <w:p>
            <w:pPr>
              <w:pStyle w:val="Compact"/>
              <w:jc w:val="left"/>
            </w:pPr>
            <w:r>
              <w:rPr>
                <w:b/>
                <w:color w:val="FFFFFF"/>
                <w:sz w:val="18"/>
              </w:rPr>
              <w:t xml:space="preserve">Role</w:t>
            </w:r>
          </w:p>
        </w:tc>
        <w:tc>
          <w:tcPr>
            <w:shd w:val="clear" w:color="auto" w:fill="1B3A6B"/>
            <w:tcW w:w="2925" w:type="dxa"/>
          </w:tcPr>
          <w:p>
            <w:pPr>
              <w:pStyle w:val="Compact"/>
              <w:jc w:val="left"/>
            </w:pPr>
            <w:r>
              <w:rPr>
                <w:b/>
                <w:color w:val="FFFFFF"/>
                <w:sz w:val="18"/>
              </w:rPr>
              <w:t xml:space="preserve">What they do</w:t>
            </w:r>
          </w:p>
        </w:tc>
        <w:tc>
          <w:tcPr>
            <w:shd w:val="clear" w:color="auto" w:fill="1B3A6B"/>
            <w:tcW w:w="3225" w:type="dxa"/>
          </w:tcPr>
          <w:p>
            <w:pPr>
              <w:pStyle w:val="Compact"/>
              <w:jc w:val="left"/>
            </w:pPr>
            <w:r>
              <w:rPr>
                <w:b/>
                <w:color w:val="FFFFFF"/>
                <w:sz w:val="18"/>
              </w:rPr>
              <w:t xml:space="preserve">Vermont application</w:t>
            </w:r>
          </w:p>
        </w:tc>
      </w:tr>
      <w:tr>
        <w:trPr>
          <w:cantSplit/>
        </w:trPr>
        <w:tc>
          <w:tcPr>
            <w:tcW w:w="1650" w:type="dxa"/>
          </w:tcPr>
          <w:p>
            <w:pPr>
              <w:pStyle w:val="Compact"/>
              <w:jc w:val="left"/>
            </w:pPr>
            <w:r>
              <w:rPr>
                <w:sz w:val="18"/>
              </w:rPr>
              <w:t xml:space="preserve">Primary Care Provider (PCP)</w:t>
            </w:r>
          </w:p>
        </w:tc>
        <w:tc>
          <w:tcPr>
            <w:tcW w:w="1260" w:type="dxa"/>
          </w:tcPr>
          <w:p>
            <w:pPr>
              <w:pStyle w:val="Compact"/>
              <w:jc w:val="left"/>
            </w:pPr>
            <w:r>
              <w:rPr>
                <w:sz w:val="18"/>
              </w:rPr>
              <w:t xml:space="preserve">Treating and billing provider</w:t>
            </w:r>
          </w:p>
        </w:tc>
        <w:tc>
          <w:tcPr>
            <w:tcW w:w="2925" w:type="dxa"/>
          </w:tcPr>
          <w:p>
            <w:pPr>
              <w:pStyle w:val="Compact"/>
              <w:jc w:val="left"/>
            </w:pPr>
            <w:r>
              <w:rPr>
                <w:sz w:val="18"/>
              </w:rPr>
              <w:t xml:space="preserve">Identifies patients through validated screening (PHQ-9, GAD-7); refers to BHCM; provides warm handoffs; bills CoCM codes monthly</w:t>
            </w:r>
          </w:p>
        </w:tc>
        <w:tc>
          <w:tcPr>
            <w:tcW w:w="322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50" w:type="dxa"/>
          </w:tcPr>
          <w:p>
            <w:pPr>
              <w:pStyle w:val="Compact"/>
              <w:jc w:val="left"/>
            </w:pPr>
            <w:r>
              <w:rPr>
                <w:sz w:val="18"/>
              </w:rPr>
              <w:t xml:space="preserve">Behavioral Health Care Manager (BHCM)</w:t>
            </w:r>
          </w:p>
        </w:tc>
        <w:tc>
          <w:tcPr>
            <w:tcW w:w="1260" w:type="dxa"/>
          </w:tcPr>
          <w:p>
            <w:pPr>
              <w:pStyle w:val="Compact"/>
              <w:jc w:val="left"/>
            </w:pPr>
            <w:r>
              <w:rPr>
                <w:sz w:val="18"/>
              </w:rPr>
              <w:t xml:space="preserve">Day-to-day care coordinator</w:t>
            </w:r>
          </w:p>
        </w:tc>
        <w:tc>
          <w:tcPr>
            <w:tcW w:w="2925"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22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50" w:type="dxa"/>
          </w:tcPr>
          <w:p>
            <w:pPr>
              <w:pStyle w:val="Compact"/>
              <w:jc w:val="left"/>
            </w:pPr>
            <w:r>
              <w:rPr>
                <w:sz w:val="18"/>
              </w:rPr>
              <w:t xml:space="preserve">Psychiatric Consultant</w:t>
            </w:r>
          </w:p>
        </w:tc>
        <w:tc>
          <w:tcPr>
            <w:tcW w:w="1260" w:type="dxa"/>
          </w:tcPr>
          <w:p>
            <w:pPr>
              <w:pStyle w:val="Compact"/>
              <w:jc w:val="left"/>
            </w:pPr>
            <w:r>
              <w:rPr>
                <w:sz w:val="18"/>
              </w:rPr>
              <w:t xml:space="preserve">Clinical supervision</w:t>
            </w:r>
          </w:p>
        </w:tc>
        <w:tc>
          <w:tcPr>
            <w:tcW w:w="2925"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322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line="240" w:lineRule="auto"/>
        <w:rPr>
          <w:sz w:val="16"/>
        </w:rPr>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AHEAD EAST Fund;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Optimize HEDIS, Star Ratings, and MIPS performance with payment-adjustment estimates</w:t>
            </w:r>
          </w:p>
        </w:tc>
        <w:tc>
          <w:tcPr>
            <w:tcW w:w="2736"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3" w:type="dxa"/>
          </w:tcPr>
          <w:p>
            <w:pPr>
              <w:pStyle w:val="Compact"/>
              <w:jc w:val="left"/>
            </w:pPr>
            <w:r>
              <w:rPr>
                <w:sz w:val="18"/>
              </w:rPr>
              <w:t xml:space="preserve">The payment consequence of each quality decision under value-based contracts.</w:t>
            </w:r>
          </w:p>
        </w:tc>
      </w:tr>
      <w:tr>
        <w:trPr/>
        <w:tc>
          <w:tcPr>
            <w:tcW w:w="3312" w:type="dxa"/>
          </w:tcPr>
          <w:p>
            <w:pPr>
              <w:pStyle w:val="Compact"/>
              <w:jc w:val="left"/>
            </w:pPr>
            <w:r>
              <w:rPr>
                <w:sz w:val="18"/>
              </w:rPr>
              <w:t xml:space="preserve">Separate high-value from low-value care across services</w:t>
            </w:r>
          </w:p>
        </w:tc>
        <w:tc>
          <w:tcPr>
            <w:tcW w:w="2736"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3" w:type="dxa"/>
          </w:tcPr>
          <w:p>
            <w:pPr>
              <w:pStyle w:val="Compact"/>
              <w:jc w:val="left"/>
            </w:pPr>
            <w:r>
              <w:rPr>
                <w:sz w:val="18"/>
              </w:rPr>
              <w:t xml:space="preserve">Where reducing volume improves both margin and outcomes.</w:t>
            </w:r>
          </w:p>
        </w:tc>
      </w:tr>
      <w:tr>
        <w:trPr>
          <w:cantSplit/>
        </w:trPr>
        <w:tc>
          <w:tcPr>
            <w:tcW w:w="3312" w:type="dxa"/>
          </w:tcPr>
          <w:p>
            <w:pPr>
              <w:pStyle w:val="Compact"/>
              <w:jc w:val="left"/>
            </w:pPr>
            <w:r>
              <w:rPr>
                <w:sz w:val="18"/>
              </w:rPr>
              <w:t xml:space="preserve">Run risk stratification against a panel and compare tiers to current care-management assignment</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9.6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Uninsured rate, Essex County (NE Kingdom) 8% vs. 3% statewide — nearly 3x the state average despite Vermont’s near-universal coverage</w:t>
            </w:r>
          </w:p>
        </w:tc>
        <w:tc>
          <w:tcPr>
            <w:shd w:val="clear" w:color="auto" w:fill="EDF2F9"/>
            <w:tcW w:w="4536" w:type="dxa"/>
          </w:tcPr>
          <w:p>
            <w:pPr>
              <w:pStyle w:val="Compact"/>
              <w:jc w:val="left"/>
            </w:pPr>
            <w:r>
              <w:rPr>
                <w:b/>
                <w:color w:val="111111"/>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line="240" w:lineRule="auto"/>
        <w:rPr>
          <w:sz w:val="16"/>
        </w:rPr>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Compute the HEROI composite across access, quality, outcome, SDOH burden, and trust</w:t>
            </w:r>
          </w:p>
        </w:tc>
        <w:tc>
          <w:tcPr>
            <w:tcW w:w="2736"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3" w:type="dxa"/>
          </w:tcPr>
          <w:p>
            <w:pPr>
              <w:pStyle w:val="Compact"/>
              <w:jc w:val="left"/>
            </w:pPr>
            <w:r>
              <w:rPr>
                <w:sz w:val="18"/>
              </w:rPr>
              <w:t xml:space="preserve">Whether an intervention closes the gap or just raises the average while the gap persists.</w:t>
            </w:r>
          </w:p>
        </w:tc>
      </w:tr>
      <w:tr>
        <w:trPr/>
        <w:tc>
          <w:tcPr>
            <w:tcW w:w="3312" w:type="dxa"/>
          </w:tcPr>
          <w:p>
            <w:pPr>
              <w:pStyle w:val="Compact"/>
              <w:jc w:val="left"/>
            </w:pPr>
            <w:r>
              <w:rPr>
                <w:sz w:val="18"/>
              </w:rPr>
              <w:t xml:space="preserve">Model disease progression and intervention ROI for a defined cohort</w:t>
            </w:r>
          </w:p>
        </w:tc>
        <w:tc>
          <w:tcPr>
            <w:tcW w:w="2736"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3"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10.7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10.8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Equity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10.9 — Equity pillar implementation matrix. Sources: Vermont Department of Health Health Equity Data Report (January 2025); Act 68 of 2025.</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10.10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10.11 — Vermont equity analytics: current data sources by equity dimension. Sources: GMCB; VDH; Blueprint for Health; DVHA; AHS.</w:t>
      </w:r>
    </w:p>
    <w:p>
      <w:pPr>
        <w:pStyle w:val="Heading2"/>
        <w:pBdr>
          <w:top w:val="single" w:sz="6" w:space="10" w:color="C9D2DF"/>
        </w:pBdr>
      </w:pPr>
      <w:r>
        <w:rPr>
          <w:color w:val="161B22"/>
        </w:rPr>
        <w:t xml:space="preserve">10.19  </w:t>
      </w:r>
      <w:bookmarkStart w:id="1310" w:name="_Toc1309"/>
      <w:r>
        <w:rPr>
          <w:b/>
          <w:bCs/>
          <w:color w:val="161B22"/>
        </w:rPr>
        <w:t xml:space="preserve">Implications for You</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line="240" w:lineRule="auto"/>
        <w:rPr>
          <w:sz w:val="16"/>
        </w:rPr>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Primary care physician shortfall by 2030 370 FTEs 112 family medicine, 190 other primary care (RHT application)</w:t>
            </w:r>
          </w:p>
        </w:tc>
        <w:tc>
          <w:tcPr>
            <w:shd w:val="clear" w:color="auto" w:fill="EDF2F9"/>
            <w:tcW w:w="4536" w:type="dxa"/>
          </w:tcPr>
          <w:p>
            <w:pPr>
              <w:pStyle w:val="Compact"/>
              <w:jc w:val="left"/>
            </w:pPr>
            <w:r>
              <w:rPr>
                <w:b/>
                <w:color w:val="111111"/>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six-pillar transformation status against baseline and target</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Whether operational capacity is keeping pace with the statutory execution timeline.</w:t>
            </w:r>
          </w:p>
        </w:tc>
      </w:tr>
      <w:tr>
        <w:trPr/>
        <w:tc>
          <w:tcPr>
            <w:tcW w:w="3312" w:type="dxa"/>
          </w:tcPr>
          <w:p>
            <w:pPr>
              <w:pStyle w:val="Compact"/>
              <w:jc w:val="left"/>
            </w:pPr>
            <w:r>
              <w:rPr>
                <w:sz w:val="18"/>
              </w:rPr>
              <w:t xml:space="preserve">Project physician and nurse supply/demand and the cost of turnover</w:t>
            </w:r>
          </w:p>
        </w:tc>
        <w:tc>
          <w:tcPr>
            <w:tcW w:w="2736"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3" w:type="dxa"/>
          </w:tcPr>
          <w:p>
            <w:pPr>
              <w:pStyle w:val="Compact"/>
              <w:jc w:val="left"/>
            </w:pPr>
            <w:r>
              <w:rPr>
                <w:sz w:val="18"/>
              </w:rPr>
              <w:t xml:space="preserve">The workforce gap that the $1,303 per-discharge administrative-cost gap must fund closing.</w:t>
            </w:r>
          </w:p>
        </w:tc>
      </w:tr>
      <w:tr>
        <w:trPr/>
        <w:tc>
          <w:tcPr>
            <w:tcW w:w="3312" w:type="dxa"/>
          </w:tcPr>
          <w:p>
            <w:pPr>
              <w:pStyle w:val="Compact"/>
              <w:jc w:val="left"/>
            </w:pPr>
            <w:r>
              <w:rPr>
                <w:sz w:val="18"/>
              </w:rPr>
              <w:t xml:space="preserve">Model the RHT-funded CIN’s shared services against the $1,303/discharge administrative premium</w:t>
            </w:r>
          </w:p>
        </w:tc>
        <w:tc>
          <w:tcPr>
            <w:tcW w:w="2736"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3" w:type="dxa"/>
          </w:tcPr>
          <w:p>
            <w:pPr>
              <w:pStyle w:val="Compact"/>
              <w:jc w:val="left"/>
            </w:pPr>
            <w:r>
              <w:rPr>
                <w:sz w:val="18"/>
              </w:rPr>
              <w:t xml:space="preserve">Where consolidating billing, coding, credentialing, HR, and IT across the 14 hospitals reaches the scale that pays for itself.</w:t>
            </w:r>
          </w:p>
        </w:tc>
      </w:tr>
      <w:tr>
        <w:trPr/>
        <w:tc>
          <w:tcPr>
            <w:tcW w:w="3312" w:type="dxa"/>
          </w:tcPr>
          <w:p>
            <w:pPr>
              <w:pStyle w:val="Compact"/>
              <w:jc w:val="left"/>
            </w:pPr>
            <w:r>
              <w:rPr>
                <w:sz w:val="18"/>
              </w:rPr>
              <w:t xml:space="preserve">Model regionalizing Vermont’s 31 EMS agencies and community-paramedicine ED diversion</w:t>
            </w:r>
          </w:p>
        </w:tc>
        <w:tc>
          <w:tcPr>
            <w:tcW w:w="2736"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3" w:type="dxa"/>
          </w:tcPr>
          <w:p>
            <w:pPr>
              <w:pStyle w:val="Compact"/>
              <w:jc w:val="left"/>
            </w:pPr>
            <w:r>
              <w:rPr>
                <w:sz w:val="18"/>
              </w:rPr>
              <w:t xml:space="preserve">How treat-and-refer and regionalization convert fragmentation into margin under global budgets.</w:t>
            </w:r>
          </w:p>
        </w:tc>
      </w:tr>
      <w:tr>
        <w:trPr>
          <w:cantSplit/>
        </w:trPr>
        <w:tc>
          <w:tcPr>
            <w:tcW w:w="3312" w:type="dxa"/>
          </w:tcPr>
          <w:p>
            <w:pPr>
              <w:pStyle w:val="Compact"/>
              <w:jc w:val="left"/>
            </w:pPr>
            <w:r>
              <w:rPr>
                <w:sz w:val="18"/>
              </w:rPr>
              <w:t xml:space="preserve">Stress-test a hospital’s finances through the transition years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11.8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11.9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line="240" w:lineRule="auto"/>
        <w:rPr>
          <w:sz w:val="16"/>
        </w:rPr>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11.10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11.19  </w:t>
      </w:r>
      <w:bookmarkStart w:id="1354" w:name="_Toc1353"/>
      <w:r>
        <w:rPr>
          <w:b/>
          <w:bCs/>
          <w:color w:val="161B22"/>
        </w:rPr>
        <w:t xml:space="preserve">Implications for You</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Search the evidence base behind a claim before you cite it in your own work</w:t>
            </w:r>
          </w:p>
        </w:tc>
        <w:tc>
          <w:tcPr>
            <w:tcW w:w="2736" w:type="dxa"/>
          </w:tcPr>
          <w:p>
            <w:pPr>
              <w:pStyle w:val="Compact"/>
              <w:jc w:val="left"/>
            </w:pPr>
            <w:hyperlink r:id="rId407">
              <w:r>
                <w:rPr>
                  <w:rStyle w:val="Hyperlink"/>
                  <w:b/>
                  <w:bCs/>
                </w:rPr>
                <w:t xml:space="preserve">Evidence Library</w:t>
              </w:r>
            </w:hyperlink>
          </w:p>
        </w:tc>
        <w:tc>
          <w:tcPr>
            <w:tcW w:w="3023"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3312" w:type="dxa"/>
          </w:tcPr>
          <w:p>
            <w:pPr>
              <w:pStyle w:val="Compact"/>
              <w:jc w:val="left"/>
            </w:pPr>
            <w:r>
              <w:rPr>
                <w:sz w:val="18"/>
              </w:rPr>
              <w:t xml:space="preserve">Assemble your own analysis using the book’s frameworks rather than reading someone else’s</w:t>
            </w:r>
          </w:p>
        </w:tc>
        <w:tc>
          <w:tcPr>
            <w:tcW w:w="2736" w:type="dxa"/>
          </w:tcPr>
          <w:p>
            <w:pPr>
              <w:pStyle w:val="Compact"/>
              <w:jc w:val="left"/>
            </w:pPr>
            <w:hyperlink r:id="rId408">
              <w:r>
                <w:rPr>
                  <w:rStyle w:val="Hyperlink"/>
                  <w:b/>
                  <w:bCs/>
                </w:rPr>
                <w:t xml:space="preserve">Research Workspace</w:t>
              </w:r>
            </w:hyperlink>
          </w:p>
        </w:tc>
        <w:tc>
          <w:tcPr>
            <w:tcW w:w="3023" w:type="dxa"/>
          </w:tcPr>
          <w:p>
            <w:pPr>
              <w:pStyle w:val="Compact"/>
              <w:jc w:val="left"/>
            </w:pPr>
            <w:r>
              <w:rPr>
                <w:sz w:val="18"/>
              </w:rPr>
              <w:t xml:space="preserve">How quickly a framework you understood abstractly becomes concrete once you supply your own organization’s numbers.</w:t>
            </w:r>
          </w:p>
        </w:tc>
      </w:tr>
      <w:tr>
        <w:trPr>
          <w:cantSplit/>
        </w:trPr>
        <w:tc>
          <w:tcPr>
            <w:tcW w:w="3312" w:type="dxa"/>
          </w:tcPr>
          <w:p>
            <w:pPr>
              <w:pStyle w:val="Compact"/>
              <w:jc w:val="left"/>
            </w:pPr>
            <w:r>
              <w:rPr>
                <w:sz w:val="18"/>
              </w:rPr>
              <w:t xml:space="preserve">Ask a question in plain language and get routed to the framework, chapter, and tool that answer it</w:t>
            </w:r>
          </w:p>
        </w:tc>
        <w:tc>
          <w:tcPr>
            <w:tcW w:w="2736" w:type="dxa"/>
          </w:tcPr>
          <w:p>
            <w:pPr>
              <w:pStyle w:val="Compact"/>
              <w:jc w:val="left"/>
            </w:pPr>
            <w:hyperlink r:id="rId24">
              <w:r>
                <w:rPr>
                  <w:rStyle w:val="Hyperlink"/>
                  <w:b/>
                  <w:bCs/>
                </w:rPr>
                <w:t xml:space="preserve">AI Analyst</w:t>
              </w:r>
            </w:hyperlink>
          </w:p>
        </w:tc>
        <w:tc>
          <w:tcPr>
            <w:tcW w:w="3023"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12.4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line="240" w:lineRule="auto"/>
        <w:rPr>
          <w:sz w:val="16"/>
        </w:rPr>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Vermont’s six-pillar status as it moves, rather than at the single April 2026 snapshot this chapter reports</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3312" w:type="dxa"/>
          </w:tcPr>
          <w:p>
            <w:pPr>
              <w:pStyle w:val="Compact"/>
              <w:jc w:val="left"/>
            </w:pPr>
            <w:r>
              <w:rPr>
                <w:sz w:val="18"/>
              </w:rPr>
              <w:t xml:space="preserve">Compare Vermont against the other states pursuing structural reform</w:t>
            </w:r>
          </w:p>
        </w:tc>
        <w:tc>
          <w:tcPr>
            <w:tcW w:w="2736" w:type="dxa"/>
          </w:tcPr>
          <w:p>
            <w:pPr>
              <w:pStyle w:val="Compact"/>
              <w:jc w:val="left"/>
            </w:pPr>
            <w:hyperlink r:id="rId427">
              <w:r>
                <w:rPr>
                  <w:rStyle w:val="Hyperlink"/>
                  <w:b/>
                  <w:bCs/>
                </w:rPr>
                <w:t xml:space="preserve">Innovation Leaderboard</w:t>
              </w:r>
            </w:hyperlink>
          </w:p>
        </w:tc>
        <w:tc>
          <w:tcPr>
            <w:tcW w:w="3023"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3312" w:type="dxa"/>
          </w:tcPr>
          <w:p>
            <w:pPr>
              <w:pStyle w:val="Compact"/>
              <w:jc w:val="left"/>
            </w:pPr>
            <w:r>
              <w:rPr>
                <w:sz w:val="18"/>
              </w:rPr>
              <w:t xml:space="preserve">Follow the policy and regulatory record as it is made</w:t>
            </w:r>
          </w:p>
        </w:tc>
        <w:tc>
          <w:tcPr>
            <w:tcW w:w="2736" w:type="dxa"/>
          </w:tcPr>
          <w:p>
            <w:pPr>
              <w:pStyle w:val="Compact"/>
              <w:jc w:val="left"/>
            </w:pPr>
            <w:hyperlink r:id="rId428">
              <w:r>
                <w:rPr>
                  <w:rStyle w:val="Hyperlink"/>
                  <w:b/>
                  <w:bCs/>
                </w:rPr>
                <w:t xml:space="preserve">The Wire</w:t>
              </w:r>
            </w:hyperlink>
          </w:p>
        </w:tc>
        <w:tc>
          <w:tcPr>
            <w:tcW w:w="3023"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3312" w:type="dxa"/>
          </w:tcPr>
          <w:p>
            <w:pPr>
              <w:pStyle w:val="Compact"/>
              <w:jc w:val="left"/>
            </w:pPr>
            <w:r>
              <w:rPr>
                <w:sz w:val="18"/>
              </w:rPr>
              <w:t xml:space="preserve">Score a state’s readiness on the six pillars and test the chapter’s scenarios yourself</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13.5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line="240" w:lineRule="auto"/>
        <w:rPr>
          <w:sz w:val="16"/>
        </w:rPr>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Watch the statutory and regulatory record for the early-warning signals this chapter names</w:t>
            </w:r>
          </w:p>
        </w:tc>
        <w:tc>
          <w:tcPr>
            <w:tcW w:w="2736" w:type="dxa"/>
          </w:tcPr>
          <w:p>
            <w:pPr>
              <w:pStyle w:val="Compact"/>
              <w:jc w:val="left"/>
            </w:pPr>
            <w:hyperlink r:id="rId428">
              <w:r>
                <w:rPr>
                  <w:rStyle w:val="Hyperlink"/>
                  <w:b/>
                  <w:bCs/>
                </w:rPr>
                <w:t xml:space="preserve">The Wire</w:t>
              </w:r>
            </w:hyperlink>
          </w:p>
        </w:tc>
        <w:tc>
          <w:tcPr>
            <w:tcW w:w="3023"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3312" w:type="dxa"/>
          </w:tcPr>
          <w:p>
            <w:pPr>
              <w:pStyle w:val="Compact"/>
              <w:jc w:val="left"/>
            </w:pPr>
            <w:r>
              <w:rPr>
                <w:sz w:val="18"/>
              </w:rPr>
              <w:t xml:space="preserve">Model what happens to the transformation if one pillar’s political support is withdrawn</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3312" w:type="dxa"/>
          </w:tcPr>
          <w:p>
            <w:pPr>
              <w:pStyle w:val="Compact"/>
              <w:jc w:val="left"/>
            </w:pPr>
            <w:r>
              <w:rPr>
                <w:sz w:val="18"/>
              </w:rPr>
              <w:t xml:space="preserve">Quantify where reform is losing momentum before it becomes a political story</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14.3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line="240" w:lineRule="auto"/>
        <w:rPr>
          <w:sz w:val="16"/>
        </w:rPr>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line="240" w:lineRule="auto"/>
        <w:rPr>
          <w:sz w:val="16"/>
        </w:rPr>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Identify which pillar is the binding constraint on the whole portfolio right now</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3312" w:type="dxa"/>
          </w:tcPr>
          <w:p>
            <w:pPr>
              <w:pStyle w:val="Compact"/>
              <w:jc w:val="left"/>
            </w:pPr>
            <w:r>
              <w:rPr>
                <w:sz w:val="18"/>
              </w:rPr>
              <w:t xml:space="preserve">Track the capital committed against each pillar and see where funding and dependency order disagree</w:t>
            </w:r>
          </w:p>
        </w:tc>
        <w:tc>
          <w:tcPr>
            <w:tcW w:w="2736" w:type="dxa"/>
          </w:tcPr>
          <w:p>
            <w:pPr>
              <w:pStyle w:val="Compact"/>
              <w:jc w:val="left"/>
            </w:pPr>
            <w:hyperlink r:id="rId462">
              <w:r>
                <w:rPr>
                  <w:rStyle w:val="Hyperlink"/>
                  <w:b/>
                  <w:bCs/>
                </w:rPr>
                <w:t xml:space="preserve">Investment Tracker</w:t>
              </w:r>
            </w:hyperlink>
          </w:p>
        </w:tc>
        <w:tc>
          <w:tcPr>
            <w:tcW w:w="3023"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3312" w:type="dxa"/>
          </w:tcPr>
          <w:p>
            <w:pPr>
              <w:pStyle w:val="Compact"/>
              <w:jc w:val="left"/>
            </w:pPr>
            <w:r>
              <w:rPr>
                <w:sz w:val="18"/>
              </w:rPr>
              <w:t xml:space="preserve">Watch the six-pillar status of a transformation move over time rather than at a single reporting date</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a pillar’s status is improving, flat, or decaying between reporting intervals — the trend a monthly report cannot show.</w:t>
            </w:r>
          </w:p>
        </w:tc>
      </w:tr>
      <w:tr>
        <w:trPr/>
        <w:tc>
          <w:tcPr>
            <w:tcW w:w="3312" w:type="dxa"/>
          </w:tcPr>
          <w:p>
            <w:pPr>
              <w:pStyle w:val="Compact"/>
              <w:jc w:val="left"/>
            </w:pPr>
            <w:r>
              <w:rPr>
                <w:sz w:val="18"/>
              </w:rPr>
              <w:t xml:space="preserve">Test what happens to composite readiness when one component slips</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Technology score and watch Economics and Clinical fall with it. This is the risk register’s R-01 in visual form.</w:t>
            </w:r>
          </w:p>
        </w:tc>
      </w:tr>
      <w:tr>
        <w:trPr/>
        <w:tc>
          <w:tcPr>
            <w:tcW w:w="3312" w:type="dxa"/>
          </w:tcPr>
          <w:p>
            <w:pPr>
              <w:pStyle w:val="Compact"/>
              <w:jc w:val="left"/>
            </w:pPr>
            <w:r>
              <w:rPr>
                <w:sz w:val="18"/>
              </w:rPr>
              <w:t xml:space="preserve">Score the portfolio’s six-pillar status the way an outside reviewer would</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Divergence between the PMO’s status reporting and the scorecard is itself a governance finding.</w:t>
            </w:r>
          </w:p>
        </w:tc>
      </w:tr>
      <w:tr>
        <w:trPr>
          <w:cantSplit/>
        </w:trPr>
        <w:tc>
          <w:tcPr>
            <w:tcW w:w="3312" w:type="dxa"/>
          </w:tcPr>
          <w:p>
            <w:pPr>
              <w:pStyle w:val="Compact"/>
              <w:jc w:val="left"/>
            </w:pPr>
            <w:r>
              <w:rPr>
                <w:sz w:val="18"/>
              </w:rPr>
              <w:t xml:space="preserve">Model what a single component slipping does to the rest of the portfolio</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15.8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line="240" w:lineRule="auto"/>
        <w:rPr>
          <w:sz w:val="16"/>
        </w:rPr>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16.5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Map the redesigned AHS operating model onto the six pillars and check for uncovered functions</w:t>
            </w:r>
          </w:p>
        </w:tc>
        <w:tc>
          <w:tcPr>
            <w:tcW w:w="2736" w:type="dxa"/>
          </w:tcPr>
          <w:p>
            <w:pPr>
              <w:pStyle w:val="Compact"/>
              <w:jc w:val="left"/>
            </w:pPr>
            <w:hyperlink r:id="rId479">
              <w:r>
                <w:rPr>
                  <w:rStyle w:val="Hyperlink"/>
                  <w:b/>
                  <w:bCs/>
                </w:rPr>
                <w:t xml:space="preserve">Six-Pillar Map</w:t>
              </w:r>
            </w:hyperlink>
          </w:p>
        </w:tc>
        <w:tc>
          <w:tcPr>
            <w:tcW w:w="3023" w:type="dxa"/>
          </w:tcPr>
          <w:p>
            <w:pPr>
              <w:pStyle w:val="Compact"/>
              <w:jc w:val="left"/>
            </w:pPr>
            <w:r>
              <w:rPr>
                <w:sz w:val="18"/>
              </w:rPr>
              <w:t xml:space="preserve">A pillar with no named organizational owner in the restructuring. That is the gap this chapter’s design is meant to close.</w:t>
            </w:r>
          </w:p>
        </w:tc>
      </w:tr>
      <w:tr>
        <w:trPr/>
        <w:tc>
          <w:tcPr>
            <w:tcW w:w="3312" w:type="dxa"/>
          </w:tcPr>
          <w:p>
            <w:pPr>
              <w:pStyle w:val="Compact"/>
              <w:jc w:val="left"/>
            </w:pPr>
            <w:r>
              <w:rPr>
                <w:sz w:val="18"/>
              </w:rPr>
              <w:t xml:space="preserve">Track AHS’s delivery against the statutory deadlines this chapter enumerates</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Operations-pillar capacity is rising fast enough to meet the December 2028 Strategic Plan obligation.</w:t>
            </w:r>
          </w:p>
        </w:tc>
      </w:tr>
      <w:tr>
        <w:trPr>
          <w:cantSplit/>
        </w:trPr>
        <w:tc>
          <w:tcPr>
            <w:tcW w:w="3312" w:type="dxa"/>
          </w:tcPr>
          <w:p>
            <w:pPr>
              <w:pStyle w:val="Compact"/>
              <w:jc w:val="left"/>
            </w:pPr>
            <w:r>
              <w:rPr>
                <w:sz w:val="18"/>
              </w:rPr>
              <w:t xml:space="preserve">Test what the restructuring is worth by removing it</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16.6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Figure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B.2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Figure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line="240" w:lineRule="auto"/>
        <w:rPr>
          <w:sz w:val="16"/>
        </w:rPr>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line="240" w:lineRule="auto"/>
        <w:rPr>
          <w:sz w:val="16"/>
        </w:rPr>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line="240" w:lineRule="auto"/>
        <w:rPr>
          <w:sz w:val="16"/>
        </w:rPr>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line="240" w:lineRule="auto"/>
        <w:rPr>
          <w:sz w:val="16"/>
        </w:rPr>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1.9 — Hands-on platform tools for Chapter 1: working the execution-sequence argument on the HTR platform.</w:t>
      </w:r>
    </w:p>
    <w:p>
      <w:pPr>
        <w:pStyle w:val="Caption"/>
      </w:pPr>
      <w:r>
        <w:t xml:space="preserve">Figure T.1 — Vermont Healthcare Transformation Timeline: 2022–2035. Sources: Vermont Legislature, CMS, AHS, GMCB.</w:t>
      </w:r>
    </w:p>
    <w:p>
      <w:pPr>
        <w:pStyle w:val="Caption"/>
      </w:pPr>
      <w:r>
        <w:t xml:space="preserve">Figure 2.1 — Common perceptions of Vermont’s health system versus the data. Source: Oliver Wyman Act 167 Report; GMCB.</w:t>
      </w:r>
    </w:p>
    <w:p>
      <w:pPr>
        <w:pStyle w:val="Caption"/>
      </w:pPr>
      <w:r>
        <w:t xml:space="preserve">Figure 2.2 — Proposed Centers of Excellence assignments by hospital. Source: Oliver Wyman regionalization blueprint.</w:t>
      </w:r>
    </w:p>
    <w:p>
      <w:pPr>
        <w:pStyle w:val="Caption"/>
      </w:pPr>
      <w:r>
        <w:t xml:space="preserve">Figure 2.3 — Act 68 statutory implementation timeline. Source: Act 68 of 2025.</w:t>
      </w:r>
    </w:p>
    <w:p>
      <w:pPr>
        <w:pStyle w:val="Caption"/>
      </w:pPr>
      <w:r>
        <w:t xml:space="preserve">Figure 2.4 — State reference-based pricing and rate-setting programs compared. Sources: state program documentation; RAND; GMCB.</w:t>
      </w:r>
    </w:p>
    <w:p>
      <w:pPr>
        <w:pStyle w:val="Caption"/>
      </w:pPr>
      <w:r>
        <w:t xml:space="preserve">Figure 2.5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CMMI models most relevant to Vermont’s transformation. Source: CMS Innovation Center.</w:t>
      </w:r>
    </w:p>
    <w:p>
      <w:pPr>
        <w:pStyle w:val="Caption"/>
      </w:pPr>
      <w:r>
        <w:t xml:space="preserve">Figure 3.3 — Policy strategy functions for healthcare organizations. Source: HTR Advisory framework.</w:t>
      </w:r>
    </w:p>
    <w:p>
      <w:pPr>
        <w:pStyle w:val="Caption"/>
      </w:pPr>
      <w:r>
        <w:t xml:space="preserve">Figure 3.4 — H.R. 1 Medicaid provisions: timeline, financial impact, and Vermont implications. Sources: KFF analysis; CBO estimates; Pew Charitable Trusts (January 2026).</w:t>
      </w:r>
    </w:p>
    <w:p>
      <w:pPr>
        <w:pStyle w:val="Caption"/>
      </w:pPr>
      <w:r>
        <w:t xml:space="preserve">Figure 3.5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The UHDS three-layer architecture. Each layer is dependent on the one below it. Sources: Vermont UHDS Transition Plan; DVHA HIE program documentation.</w:t>
      </w:r>
    </w:p>
    <w:p>
      <w:pPr>
        <w:pStyle w:val="Caption"/>
      </w:pPr>
      <w:r>
        <w:t xml:space="preserve">Figure 4.5 — Vermont statewide EHR: case for and against. The feasibility assessment underway will weigh these factors against Vermont’s specific cost, disruption tolerance, and FHIR interoperability capacity.</w:t>
      </w:r>
    </w:p>
    <w:p>
      <w:pPr>
        <w:pStyle w:val="Caption"/>
      </w:pPr>
      <w:r>
        <w:t xml:space="preserve">Figure 4.6 — Vermont FHIR compliance landscape (estimated as of 2026). Sources: AHS Legislative Presentation January 2025; Vermont RHT Program Application; GMCB HIE connectivity criteria.</w:t>
      </w:r>
    </w:p>
    <w:p>
      <w:pPr>
        <w:pStyle w:val="Caption"/>
      </w:pPr>
      <w: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4.8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5.4 — Hands-on platform tools for the Technology Pillar in practice.</w:t>
      </w:r>
    </w:p>
    <w:p>
      <w:pPr>
        <w:pStyle w:val="Caption"/>
      </w:pPr>
      <w:r>
        <w:t xml:space="preserve">Figure 6.1 — Vermont hospital commercial pricing vs. Medicare and break-even benchmarks. Sources: GMCB Act 68 RBP Update (February 2026); RAND Hospital Price Transparency Study.</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6.3 — Cross-state reference-based pricing and rate regulation: design and outcomes. Sources: GMCB Act 68 Update (February 2026); Health Affairs; Commonwealth Fund; CMS.</w:t>
      </w:r>
    </w:p>
    <w:p>
      <w:pPr>
        <w:pStyle w:val="Caption"/>
      </w:pPr>
      <w:r>
        <w:t xml:space="preserve">Figure 6.4 — Vermont RBP and global budget implementation phases. Source: GMCB Act 68 Update, February 2026.</w:t>
      </w:r>
    </w:p>
    <w:p>
      <w:pPr>
        <w:pStyle w:val="Caption"/>
      </w:pPr>
      <w:r>
        <w:t xml:space="preserve">Figure 6.5 — Five dimensions of global budget design with Vermont’s current direction. Source: GMCB Act 68 Update (February 2026); Act 68 of 2025.</w:t>
      </w:r>
    </w:p>
    <w:p>
      <w:pPr>
        <w:pStyle w:val="Caption"/>
      </w:pPr>
      <w:r>
        <w:t xml:space="preserve">Figure 6.6 — Vermont global budget history: four attempts and the central lesson. Sources: GMCB Act 68 Update (February 2026); Oliver Wyman Act 167 Report.</w:t>
      </w:r>
    </w:p>
    <w:p>
      <w:pPr>
        <w:pStyle w:val="Caption"/>
      </w:pPr>
      <w:r>
        <w:t xml:space="preserve">Figure 6.7 — Maryland All-Payer Global Budget Model results summary. Sources: HSCRC; CMS; Commonwealth Fund; Milbank Memorial Fund.</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6.13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7.3 — APM contract review framework: provisions and key questions. Source: HTR Advisory framework.</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7.6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8.7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9.6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six pillars. Sources: Act 67 of 2025; Oliver Wyman Act 167 Report; six-pillar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10.7 — Hands-on platform tools for the Equity Pillar.</w:t>
      </w:r>
    </w:p>
    <w:p>
      <w:pPr>
        <w:pStyle w:val="Caption"/>
      </w:pPr>
      <w:r>
        <w:t xml:space="preserve">Figure 10.8 — Vermont HEDIS equity stratification framework. Sources: NCQA HEDIS Technical Specifications; AHS Health Equity Data Report (January 2025); Blueprint for Health data.</w:t>
      </w:r>
    </w:p>
    <w:p>
      <w:pPr>
        <w:pStyle w:val="Caption"/>
      </w:pPr>
      <w:r>
        <w:t xml:space="preserve">Figure 10.9 — Equity pillar implementation matrix. Sources: Vermont Department of Health Health Equity Data Report (January 2025); Act 68 of 2025.</w:t>
      </w:r>
    </w:p>
    <w:p>
      <w:pPr>
        <w:pStyle w:val="Caption"/>
      </w:pPr>
      <w:r>
        <w:t xml:space="preserve">Figure 10.10 — Five-step disparity closure process with Vermont applications. Source: HTR’s Health Equity Studio methodology.</w:t>
      </w:r>
    </w:p>
    <w:p>
      <w:pPr>
        <w:pStyle w:val="Caption"/>
      </w:pPr>
      <w:r>
        <w:t xml:space="preserve">Figure 10.11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11.8 — Hands-on platform tools for the Operations Pillar.</w:t>
      </w:r>
    </w:p>
    <w:p>
      <w:pPr>
        <w:pStyle w:val="Caption"/>
      </w:pPr>
      <w:r>
        <w:t xml:space="preserve">Figure 11.9 — Attribution error taxonomy and remediation. Source: HTR’s Operations pillar framework; ACO REACH and MSSP operational guidance.</w:t>
      </w:r>
    </w:p>
    <w:p>
      <w:pPr>
        <w:pStyle w:val="Caption"/>
      </w:pPr>
      <w:r>
        <w:t xml:space="preserve">Figure 11.10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12.4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13.5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14.3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15.8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Key parameters for the Strategic Plan. Sources: Act 68; VTDigger; Oliver Wyman Act 167 Report; Vermont RHT Program Application.</w:t>
      </w:r>
    </w:p>
    <w:p>
      <w:pPr>
        <w:pStyle w:val="Caption"/>
      </w:pPr>
      <w:r>
        <w:t xml:space="preserve">Figure 16.6 — Hands-on platform tools for Chapter 16: testing the AHS restructuring design.</w:t>
      </w:r>
    </w:p>
    <w:p>
      <w:pPr>
        <w:pStyle w:val="Caption"/>
      </w:pPr>
      <w:r>
        <w:t xml:space="preserve">Figure A.1 — Vermont demographic transformation. Sources: Oliver Wyman Act 167 Report (2024); Vermont RHT Program Application; KFF.</w:t>
      </w:r>
    </w:p>
    <w:p>
      <w:pPr>
        <w:pStyle w:val="Caption"/>
      </w:pPr>
      <w:r>
        <w:t xml:space="preserve">Figure A.2 — GMCB regulatory functions. Sources: GMCB Hospital Budget Review Guide; Acts 167 and 68; GMCB Annual Report 2024.</w:t>
      </w:r>
    </w:p>
    <w:p>
      <w:pPr>
        <w:pStyle w:val="Caption"/>
      </w:pPr>
      <w:r>
        <w:t xml:space="preserve">Figure A.3 — Vermont’s 14 hospitals: typology, grant status, focus, and challenges. Sources: AHS Hospital Tracking data (January 2026); individual transformation plans (January 15, 2026); GMCB FY26 Budget Orders.</w:t>
      </w:r>
    </w:p>
    <w:p>
      <w:pPr>
        <w:pStyle w:val="Caption"/>
      </w:pPr>
      <w:r>
        <w:t xml:space="preserve">Figure A.4 — Vermont hospital transformation initiative themes, January 2026 (148 initiatives). Source: AHS Transformation Plans Analysis (January 2026).</w:t>
      </w:r>
    </w:p>
    <w:p>
      <w:pPr>
        <w:pStyle w:val="Caption"/>
      </w:pPr>
      <w:r>
        <w:t xml:space="preserve">Figure B.1 — Act 68 statutory timeline and milestones. Source: Act 68 of 2025.</w:t>
      </w:r>
    </w:p>
    <w:p>
      <w:pPr>
        <w:pStyle w:val="Caption"/>
      </w:pPr>
      <w:r>
        <w:t xml:space="preserve">Figure B.2 — Policy-pillar implementation matrix. Sources: HTR Advisory methodology; Vermont RHT Program Application (2025); GMCB rate-setting documentation.</w:t>
      </w:r>
    </w:p>
    <w:p>
      <w:pPr>
        <w:pStyle w:val="Caption"/>
      </w:pPr>
      <w:r>
        <w:t xml:space="preserve">Figure D.1 — AHEAD State Agreement key terms and Vermont-specific provisions. Source: Vermont AHEAD State Agreement (January 2025).</w:t>
      </w:r>
    </w:p>
    <w:p>
      <w:pPr>
        <w:pStyle w:val="Caption"/>
      </w:pPr>
      <w:r>
        <w:t xml:space="preserve">Figure F.1 — Policy-pillar scorecard. Sources: Act 68 of 2025; Oliver Wyman Act 167 Report; CMS AHEAD documentation; Vermont RHT Program Application.</w:t>
      </w:r>
    </w:p>
    <w:p>
      <w:pPr>
        <w:pStyle w:val="Caption"/>
      </w:pPr>
      <w:r>
        <w:t xml:space="preserve">Figure F.2 — Technology-pillar scorecard. Sources: GMCB VHCURES; VITL; Vermont DOH Health Equity Data Report (January 2025); Vermont RHT Application.</w:t>
      </w:r>
    </w:p>
    <w:p>
      <w:pPr>
        <w:pStyle w:val="Caption"/>
      </w:pPr>
      <w:r>
        <w:t xml:space="preserve">Figure F.3 — Economics-pillar scorecard. Sources: Oliver Wyman Act 167 Report; AHS November 2025 Report; GMCB price-transparency data; CMS AHEAD.</w:t>
      </w:r>
    </w:p>
    <w:p>
      <w:pPr>
        <w:pStyle w:val="Caption"/>
      </w:pPr>
      <w:r>
        <w:t xml:space="preserve">Figure F.4 — Clinical-pillar scorecard. Sources: Vermont Blueprint Annual Report 2024; Vermont AHS; GMCB quality reporting; Oliver Wyman workforce analysis.</w:t>
      </w:r>
    </w:p>
    <w:p>
      <w:pPr>
        <w:pStyle w:val="Caption"/>
      </w:pPr>
      <w:r>
        <w:t xml:space="preserve">Figure F.5 — Equity-pillar scorecard. Sources: Vermont DOH Health Equity Data Report (January 2025); Act 68; GMCB equity reporting; HTR HEROI framework.</w:t>
      </w:r>
    </w:p>
    <w:p>
      <w:pPr>
        <w:pStyle w:val="Caption"/>
      </w:pPr>
      <w:r>
        <w:t xml:space="preserve">Figure F.6 — Operations-pillar scorecard. Sources: AHS Transformation Reports (August, November 2025); RHRC; Vermont RHT Program Application; Act 68.</w:t>
      </w:r>
    </w:p>
    <w:p>
      <w:pPr>
        <w:pStyle w:val="Caption"/>
      </w:pPr>
      <w:r>
        <w:t xml:space="preserve">Figure I.1 — The HTR Lab Workbook maps each of the six pillars to a working platform tool, in the book’s execution sequence.</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2026-08-06T20:10:34Z</dcterms:created>
  <dcterms:modified xsi:type="dcterms:W3CDTF">2026-08-06T20:10:34Z</dcterms:modified>
</cp:coreProperties>
</file>

<file path=docProps/custom.xml><?xml version="1.0" encoding="utf-8"?>
<Properties xmlns="http://schemas.openxmlformats.org/officeDocument/2006/custom-properties" xmlns:vt="http://schemas.openxmlformats.org/officeDocument/2006/docPropsVTypes"/>
</file>