
<file path=[Content_Types].xml><?xml version="1.0" encoding="utf-8"?>
<Types xmlns="http://schemas.openxmlformats.org/package/2006/content-types">
  <Default Extension="png" ContentType="image/png"/>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Primary Care Investment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ds4cejh4b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April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April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Program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Five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April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median household income grew 22% in the four years to 2022.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Vermont now ranks second-oldest in the country by median age (43.6), tied with New Hampshire and behind only Maine (44.8); West Virginia (43.0) is next.</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and roughly 768 are at risk of closing, 315 of them within three years (Center for Healthcare Quality and Payment Reform).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monthly hospital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open-source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nearly forty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a </w:t>
      </w:r>
      <w:r w:rsidDel="00000000" w:rsidR="00000000" w:rsidRPr="00000000">
        <w:rPr>
          <w:i w:val="1"/>
          <w:iCs w:val="1"/>
          <w:rtl w:val="0"/>
        </w:rPr>
        <w:t xml:space="preserve">“Work This Chapter on the Platform”</w:t>
      </w:r>
      <w:r w:rsidDel="00000000" w:rsidR="00000000" w:rsidRPr="00000000">
        <w:rPr>
          <w:rtl w:val="0"/>
        </w:rPr>
        <w:t xml:space="preserve"> guide that maps the chapter’s argument to the specific tools that let you manipulate it; the Academy’s companion course follows the same sequence and teaches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silver exchange plan premium had risen from $456 per month in 2018 to $948 in 2024 — a 108% increase. Median household income had grown 22% between 2018 and 2022. Out-of-pocket maximums had more than doubled. The University of Vermont Medical Center, with approximately 50% of the state’s hospital market share, was charging commercial payers roughly 358% of Medicare rates — RAND’s published figure for inpatient and outpatient services combined, drawn from 2018–2020 claims — making it, by RAND’s own accounting, the most expensive hospital in Vermont.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regulatory brakes.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community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nine years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Acts 167 and 68 require hospitals to participate in global budgets and reference-based pricing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Acts 167 and 68 remained fully in force, and the reform continued without missing a step.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chiefly Rural Health Transformation Program funds, now that Vermont has left AHEAD and CMS has halted the Medicaid hospital global budget — which determines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appeal of that enforcement — Vermont’s largest, most powerful hospital system testing GMCB’s authority directly — ended in April 2025, when UVMMC dismissed its appeals under a settlement that left the enforcement order in place. That outcome is the strongest available evidence that “mandatory” in this book’s framework describes a regime that has been challenged by its most resourced potential opponent and held — though, because the challenge ended in settlement, no court has yet ruled on how far GMCB’s authority reaches.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Vermont’s primary care access rate is roughly 91% — four points above the national benchmark and a genuine achievement. Yet that aggregate figure conceals an 11-point gap between white Vermont adults and BIPOC Vermont adults (Vermont Department of Health, Health Equity Data Report). The gap becomes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w:t>
            </w:r>
            <w:hyperlink r:id="rId18">
              <w:r w:rsidDel="00000000" w:rsidR="00000000" w:rsidRPr="00000000">
                <w:rPr>
                  <w:rtl w:val="0"/>
                </w:rPr>
                <w:t xml:space="preserve">Research Lab</w:t>
              </w:r>
            </w:hyperlink>
            <w:r w:rsidDel="00000000" w:rsidR="00000000" w:rsidRPr="00000000">
              <w:rPr>
                <w:sz w:val="18"/>
                <w:szCs w:val="18"/>
                <w:rtl w:val="0"/>
              </w:rPr>
              <w:t xml:space="preserve"> of nearly forty interactive analytical tools,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“Work This Chapter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 </w:t>
            </w:r>
            <w:r w:rsidDel="00000000" w:rsidR="00000000" w:rsidRPr="00000000">
              <w:rPr>
                <w:i w:val="1"/>
                <w:iCs w:val="1"/>
                <w:sz w:val="18"/>
                <w:szCs w:val="18"/>
                <w:rtl w:val="0"/>
              </w:rPr>
              <w:t xml:space="preserve">“Go Deeper — Academy”</w:t>
            </w:r>
            <w:r w:rsidDel="00000000" w:rsidR="00000000" w:rsidRPr="00000000">
              <w:rPr>
                <w:sz w:val="18"/>
                <w:szCs w:val="18"/>
                <w:rtl w:val="0"/>
              </w:rPr>
              <w:t xml:space="preserve"> guide naming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every hub and tool.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EXPLORE ON THE PLATFORM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then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GO DEEPER — ACADEMY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and shorter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w:t>
      </w:r>
      <w:hyperlink r:id="rId38">
        <w:r w:rsidDel="00000000" w:rsidR="00000000" w:rsidRPr="00000000">
          <w:rPr>
            <w:rtl w:val="0"/>
          </w:rPr>
          <w:t xml:space="preserve">/academy</w:t>
        </w:r>
      </w:hyperlink>
      <w:r w:rsidDel="00000000" w:rsidR="00000000" w:rsidRPr="00000000">
        <w:rPr>
          <w:rtl w:val="0"/>
        </w:rPr>
        <w:t xml:space="preserve">.</w:t>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launched more than seventy models, investing billions of dollars and attracting the attention of thousands of healthcare organizations. A 2023 Congressional Budget Office analysis found that the vast majority had not achieved statistically significant reductions in spending or improvements in quality — and that CMMI’s models, taken together, had not saved money at all: they cost $7.9 billion to operate,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twelve years, founded in 2013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That legal limitation became a concrete failure on January 1, 2023, when Blue Cross Blue Shield of Vermont—the state’s largest private insurer—exercised its legal right to opt out and refused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and global budgets are not optional — every Vermont hospital is in.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makes global budgets binding on every Vermont hospital — the one lever state law can pull, since federal law cannot compel insurers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FY2028),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Auditor Findings: A state audit revealed the utilization signature of a population managed reactively rather than proactively—patients attributed to OneCare visited the emergency department 36% more frequently than peer ACOs nationally, while recording 18% fewer primary care visits.</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pattern—auditor-documented 36% higher ED visits and 18% lower primary care visits than national peer ACOs.</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2017–2025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(FY2027),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14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twelve years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is mandatory for all Vermont hospitals beginning FY2027, and global budgets are mandatory beginning FY2028.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essentially every hospital in the state — 52 of them — under global budgets beginning in 2014, mandatorily,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fell 2.8% against a comparison group, driven by a 4.1% reduction in hospital expenditures — more than $780 million saved. Potentially preventable admissions fell 16.1%, unplanned readmissions 9.5%.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beginning in FY2028, to set prospective annual hospital global budgets based on historical spending adjusted for population risk.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primary care access rate and the 11-point white/BIPOC gap behind it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Vermont Department of Health’s Health Equity Data Report (January 2025) documents this limitation explicitly.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 HSCRC early period: global budgets without adequate primary care produced pressure without sustainable improvement.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budget guidance (-1% commercial rate); Act 55 drug cap ($135M savings)</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(4 of 5 planned new entities certified July 1,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represents the primary source of the $100 million or more in projected direct savings from shared services and administrative simplification.</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at 200% of Medicare or less; EAST Fund (roughly $138M expected; lost when a CMS cap near $10M led Vermont to withdraw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11-point primary care access gap between white and BIPOC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(FY2027) and global budgets (FY2028).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AHS-GMCB analytics capability being stood up. Vermont CIN under development. VHCURES attribution modeling in progress. AI-scribe ($1.03M) and remote-monitoring ($0.9M) grant programs funded in the first RHT budget period.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mandatory beginning FY2027, global budgets mandatory beginning FY2028.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holds up all three programs that converge on it (§1.6).</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highest-ROI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constitute the most comprehensive state-level healthcare reform mandate in the United States since Maryland’s all-payer model in the 1970s.</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Commissioned Oliver Wyman analysis; mandated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award application; 19 HTR tools; 370-FTE workforce plan</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its Cohort 2 performance period (Jan 2028) ever began.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Statutory deadline for the first mandatory all-payer price cap in modern Vermont history; GMCB sets the maximum by rule in 2027, effective hospital FY2028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mandatory (non-CAH hospitals)</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mandatory — all 14 hospitals</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Full all-payer global budget coverage; complete transition from fee-for-service signal</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all of Vermont’s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compounded to 38% from FY2018 to FY2024. The gap is structural: premium growth has been running at two to three times the annual pace of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premium data from Vermont Blue Cross Blue Shield confirms and extends this picture. Average annual per-member-per-month medical and pharmacy costs rose from $481 in 2020 to $812 in 2024 for local claims — a 69% increase in four years. A 2025 state survey found that many Vermonters, even those with insurance, delay care due to fears of medical debt.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realistic assumptions (10% labor, 7-8% other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 suggesting the conservative scenario is already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from FY2018 to FY2024; median household income grew 22% from 2018 to 2022</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As the Preface notes, Vermont already has more residents over 65 than under 18.</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 It covers a minority of total healthcare spending.</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Only a handful of Vermont areas meet HRSA’s geographic criteria for a primary care Health Professional Shortage Area.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at a fixed price of $1,050,000 for work running from August 2023 through September 2024. The scale of the engagement was unusual for a state of Vermont’s size: over 230 meetings across all of Vermont’s Hospital Service Areas, involving more than 3,100 participants from over 100 organizations. Meeting types included 57 sessions with hospital leadership and boards, 45 sessions with state partners, 50 public HSA-level community meetings with an estimated 1,947 attendees in all (roughly 39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legislative changes for the Vermont General Assembly:</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how AHS organizes itself to deliver Act 68’s Strategic Plan.</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13 current Hospital Service Areas across its list of surgical, specialty, mental-health, and elder-care specialties.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(non-complex), geriatric care, orthopedics, rheumatology,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(White River Junction)</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 the more than $100 million in direct savings projected from administrative consolidation and shared services.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savings sources break down as follows:</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Reference-based pricing mandatory for all commercial payers</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non-Critical Access Hospitals</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one or more non-critical access hospitals by FY2028 and all hospitals by FY2030, resources permitting. Oliver Wyman recommended that GMCB add a Division of Planning and Effectiveness; Act 68 authorized three new permanent classified positions at GMCB, all for reference-based pricing.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published 2018–2020 data — the highest of any hospital in Vermont. Hospitals are not clustered near a rational break-even point of 136% of Medicare; they are distributed across a range from roughly profitable to wildly extractive, with no relationship between price and quality.</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in 2027; maximum allowable payments effective from hospital FY2028 (statutory deadline: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 — the first negative benchmark in Vermont history</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effective April 2025, generating estimated $135M in annual savings</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 (2027)</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Reference-based prices take effect (hospital FY2028) — maximum amounts hospitals can charge commercial payers, set by GMCB rule</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and among the highest per-capita awards nationally.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four of which were certified on July 1,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recommendations — that AHS align its sub-units with Hospital Service Areas and review its structure to better coordinate health and social service needs at the community level, and that GMCB add a Division of Planning and Effectiveness to assist AHS — are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the Oliver Wyman benchmark GMCB is working from is 200% of Medicare or less.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order standing.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term for the five interconnected challenge domains — decreasing affordability, deteriorating sustainability, demographic trap, interconnected failure system, and equity gaps — that collectively make structural transformation unavoidable for Vermont.</w:t>
      </w:r>
      <w:r w:rsidDel="00000000" w:rsidR="00000000" w:rsidRPr="00000000">
        <w:rPr>
          <w:rtl w:val="0"/>
        </w:rPr>
      </w:r>
    </w:p>
    <w:p w:rsidR="00000000" w:rsidDel="00000000" w:rsidP="00000000" w:rsidRDefault="00000000" w:rsidRPr="00000000">
      <w:pPr>
        <w:spacing w:after="120" w:before="160" w:lineRule="auto"/>
        <w:rPr/>
      </w:pPr>
      <w:r w:rsidDel="00000000" w:rsidR="00000000" w:rsidRPr="00000000">
        <w:rPr>
          <w:rFonts w:ascii="Calibri" w:cs="Calibri" w:eastAsia="Calibri" w:hAnsi="Calibri"/>
          <w:b w:val="1"/>
          <w:bCs w:val="1"/>
          <w:color w:val="2e74b5"/>
          <w:sz w:val="20"/>
          <w:szCs w:val="20"/>
          <w:rtl w:val="0"/>
        </w:rPr>
        <w:t xml:space="preserve">The three imperatives</w:t>
      </w:r>
      <w:r w:rsidDel="00000000" w:rsidR="00000000" w:rsidRPr="00000000">
        <w:rPr>
          <w:rFonts w:ascii="Calibri" w:cs="Calibri" w:eastAsia="Calibri" w:hAnsi="Calibri"/>
          <w:color w:val="000000"/>
          <w:sz w:val="18"/>
          <w:szCs w:val="18"/>
          <w:rtl w:val="0"/>
        </w:rPr>
        <w:t xml:space="preserve"> 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at 10 of 13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The Vermont Department of Health defines 13 HSAs for Vermont’s 14 hospitals; Grace Cottage’s Townshend area falls within the Brattleboro HSA.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14:paraId="0000058D">
            <w:pPr>
              <w:jc w:val="left"/>
              <w:rPr/>
            </w:pPr>
            <w:r w:rsidDel="00000000" w:rsidR="00000000" w:rsidRPr="00000000">
              <w:rPr>
                <w:sz w:val="18"/>
                <w:szCs w:val="18"/>
                <w:rtl w:val="0"/>
              </w:rPr>
              <w:t xml:space="preserve">AHEAD (Achieving Healthcare Efficiency through Accountable Design)</w:t>
            </w:r>
            <w:r w:rsidDel="00000000" w:rsidR="00000000" w:rsidRPr="00000000">
              <w:rPr>
                <w:rtl w:val="0"/>
              </w:rPr>
            </w:r>
          </w:p>
        </w:tc>
        <w:tc>
          <w:tcPr/>
          <w:p w:rsidR="00000000" w:rsidDel="00000000" w:rsidP="00000000" w:rsidRDefault="00000000" w:rsidRPr="00000000" w14:paraId="0000058E">
            <w:pPr>
              <w:jc w:val="left"/>
              <w:rPr/>
            </w:pPr>
            <w:r w:rsidDel="00000000" w:rsidR="00000000" w:rsidRPr="00000000">
              <w:rPr>
                <w:sz w:val="18"/>
                <w:szCs w:val="18"/>
                <w:rtl w:val="0"/>
              </w:rPr>
              <w:t xml:space="preserve">Five-state voluntary total cost of care model (Maryland, Connecticut, Hawaii, Rhode Island, New York). Hospital global budgets for Medicare FFS. Enhanced primary care payments. Vermont signed for Cohort 2 in January 2025 but withdrew in July 2026 after CMS cut the expected EAST Fund from an estimated ~$138M in the first performance 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federal ACO option through its final performance year, 2026; CMS’s voluntary LEAD model succeeds it in January 2027.</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launched in 2024 in an 8-state cohort as a 10-year model, with a three-stage progression from basic to advanced primary care capabilities. CMS ended it early, on December 31, 2025.</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launch postponed by CMS in April 2026, with a temporary Medicare GLP-1 Bridge demonstration in its place.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Ended December 31, 2025; CMS’s mandatory Transforming Episode Accountability Model (TEAM, 2026–2030) now carries episode-based risk for selected surgical episodes.</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requires work requirements for Medicaid expansion enrollees beginning January 1, 2027. As an expansion state, Vermont must apply them from that date; DVHA has begun notifying members.</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a January 2025 amendment.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skipping that negotiation: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did not include prior authorization reform; proposals for public reporting of PA denial rates by service type, required disclosure of clinical criteria used in PA decisions, and stronger external appeal rights for denied requests remain pending legislation, not law.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the Department of Financial Regulation to analyze insurers’ prior authorization data and, with GMCB, to recommend statutory changes to align and streamline prior authorization across insurers. Vermont’s Health Care Advocate has documented PA denial rates and challenged insurance rate filings that include excessive PA complexity costs.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 In July 2026, after CMS cut the expected EAST Fund, Vermont withdrew.</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for FY2027; Act 68 hospital global budget preparation (FY2028);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January 1, 2027</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Mandatory for Vermont’s expansion adults (ages 19–64) from January 1, 2027; DVHA has begun notifying members.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January 2027</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beginning in hospital FY2028. The single most consequential preparation step is HCC documentation accuracy. Under Act 68’s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under state authority, and the RBP price constraint that prevents high-cost providers from offsetting global-budget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Has launched 70+ models since 2010;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directed state work on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launched in 2024 and ended early by CMS on December 31, 2025.</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Claims Run-Out Before Analysis</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comes from Oliver Wyman’s analysis of 2020–2022 VUHDDS and VHCURES data); hospital price transparency analysis (the GMCB’s February 2026 Act 68 update to the legislature, drawing on 2024 claims data from its forthcoming hospital price transparency tool, showed commercial outpatient prices ranging from about 279% to 697% of Medicare by hospital (specific high-cost lines such as imaging run higher — see Chapter 2)); and prescription drug affordability analysis (GMCB’s prescription drug affordability work used VHCURES with the Medicare negotiated-price lists to estimate what Vermont could save by using those prices as payment limits).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roughly 40% of commercially insured Vermonters missing from VHCURES are mostly members of self-insured employer plans, which are not in VHCURES unless the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measured in quarters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VHCURES is collected quarterly, and analysts typically allow about six months for late-adjudicated claims to arrive before analyzing a period (GMCB). Published measures run further behind still: the November 2025 AHS transformation report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a 60–90 day path from date of service to usable data</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VITL also connects Vermont to national exchange: in 2024 it established an eHealth Exchange connection to deliver Continuity of Care Documents into UVM Health Network’s EHR.</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Transfers HIE Authority to DVHA</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Moving HIT plan responsibility to DVHA aligns the technology strategy with the healthcare delivery transformation authority. It also means that Vermont’s global budget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Vermont statute — 18 V.S.A. § 9352 — designates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when it was made. Vermont was standing up an exchange from nothing, federal HITECH money was flowing, and a single designated nonprofit was a reasonable way to get an exchange built. More than fifteen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In state fiscal year 2027 alone, the State’s agreements with VITL total about $12 million — roughly $7.0 million for core operations and $5.0 million for exchange design and development.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 was linked to Blueprint clinical-registry data (fed through VITL) for HbA1c and blood-pressure measures in 2013–2018 Blueprint profiles;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16)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Act 68 §10 directs AHS to develop for that integration.</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directed AHS to develop the UHDS and to decide whether to integrate clinical, claims, and SDOH data into a single record — integration may not begin before January 1, 2027, and only on a majority vote of the HIE Steering Committee —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AHS’s January 2026 report to the Legislature puts it plainly: without an integrated dataset, provider groups and payers “must resort to manual chart abstraction” to obtain blood pressures, HbA1c results, and depression-screening follow-up</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which began a rolling go-live in November 2025 and went live in early January 2026, rather than through VHCURES. The reason is timeliness: MDWAS links Medicaid members’ VHIE clinical data with Medicaid claims inside the State’s own system, where VHCURES runs on quarterly collection and a six-month claims run-out, is de-identified for end users, and — because of ERISA preemption — excludes large segments of the commercially insured population. For retrospective research VHCURES remains serviceable. For intervening in a patient’s care, data that are months old before anyone can query them are not a data source; they are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as AHS laid them out for the Legislature in January 2026: Medicaid linked clinical and claims data went live in January 2026; Medicare claims, statewide clinical data, and health-related social needs data are planned for 2028–2029; and commercial claims for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is the primary coverage of roughly 24% of Vermonters and Medicare of 21% (2021 Vermont Household Health Insurance Survey), with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the design AHS has described applies protection by data sensitivity rather than a single blanket policy. General medical information flows under the opt-out consent model that Act 53 of 2019 established for the exchange. Substance use disorder records governed by 42 CFR Part 2 require granular opt-in consent, with role-based access and an audit trail for every access. Public reports withhold statistics for groups small enough to risk re-identification, consistent with State and CMS cell-size suppression policies. And payer and provider proprietary prices can be converted into price-standardized utilization units — HealthPartners’ Total Cost of Care resource-use units, already used by the Blueprint for Health — rather than exposing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of the concentration risk. In October 2020 a ransomware attack on the University of Vermont Health Network encrypted some 1,300 servers, put UVM Medical Center’s clinicians on paper for nearly a month — restoring the electronic record took 28 days — and cost the network an estimated $63 million to $65 million against $30 million of cyber insurance. A consolidated statewide data asset raises the stakes of exactly that kind of event, which is why the tiered privacy design above has to be matched by the shared cybersecurity capability described in Chapter 5 (§5.5).</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first-year $195 million RHT award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do not share an EHR: UVM Health Network consolidated its hospitals onto Epic under a $151.7 million project the GMCB approved, while the independent community hospitals run a mix of other vendors’ certified systems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near-real-time population health data that VHCURES’s quarterly, run-out-delayed claims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Vermont’s RHT application funds incentives for voluntary adoption of a shared EMR that keeps contributing data to the VHIE</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EHR platforms at an acceptable implementation cost, the case for a single statewide EHR weakens significantly. §4.5 develops the FHIR picture. AHS’s feasibility assessment should produce a clear answer on this question by 2026–2027 — in time to inform the 2028 Strategic Plan. The state has not waited for it: the RHT application funds incentives for voluntary adoption of a shared EMR, and AHS posted the solicitation for that program’s manager and implementation lead in May 2026.</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its first-year $195M award: a Clinically Integrated Network (CIN) linking Vermont’s hospitals and community providers into a coordinated clinical and data-sharing infrastructure. CMS’s published abstract of the application lists “Establishing a Clinically Integrated Network of Shared Services” as one of Vermont’s five core initiatives; Ohio’s application likewise builds rural innovation hubs around clinically integrated networks.</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federal rules made mandatory on two fronts: CMS’s 2020 Interoperability and Patient Access rule required Medicare Advantage, Medicaid, CHIP, and federally facilitated exchange plans to offer a FHIR Patient Access API from July 2021, and ONC’s Cures Act certification rule required certified EHRs to offer a standardized FHIR API by December 31,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Reliable matching across organizations depends on a shared identity service. The VHIE has one — its Verato-based master patient index (§4.3.6) — but providers who are not connected to the exchange sit outside it. (Community meeting participants also described contacting 31 separate EMS agencies to arrange patient transfers; that is a coordination failure the RHT-funded centralized transfer center in §4.3.10 is designed to fix, not a FHIR problem.)</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UVM Health Network’s, on Epic, in particular — run EHRs certified to ONC’s standardized FHIR API criterion (§170.315(g)(10)), which every certified EHR has had to support since the end of 2022. The payer-side FHIR APIs — Patient Access, Provider Access, Payer-to-Payer, and Prior Authorization — are obligations of payers, not hospitals (Chapter 5, Figure 5.1). The critical gap is at community-based providers — designated mental health agencies, skilled nursing facilities, home health agencies — that were never eligible for the federal EHR incentive programs and often lack certified systems, and at smaller hospitals whose certified APIs exist but are not yet configured for exchange.</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Certified FHIR R4 API in production</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Hospitals running a (g)(10)-certified EHR version with FHIR endpoints in use — including UVM Health Network’s hospitals on Epic. Any hospital’s certified version can be checked on ONC’s Certified Health IT Product List.</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Certified API, not yet configured for exchange</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Hospitals whose certified products include the FHIR API but whose endpoints are not yet used for cross-organization exchange</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Most designated mental health agencies; many skilled nursing facilities and home health agencies; independent practices on older, uncertified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50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 The State’s own grant terms will not test that figure: KFF Health News reported in 2026 that Vermont’s AI-scribe funding opportunity asks recipients to report how many clinicians and patients the technology serves, not how much time it saves.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documentation burden is a primary driver of clinician burnout and attrition, and it reduces Vermont’s effective primary care capacity at a moment when the primary care FTE shortage is already projected at 370 by 2030. Even the modest savings the best evidence supports — roughly 15 to 30 minutes per clinician per day — add clinical capacity without new hiring.</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is real but far more modest than the State’s two-hour figure. The largest study to date, published in JAMA in 2026, followed 8,581 ambulatory clinicians at five academic health systems and found ambient-scribe adoption associated with 16 fewer minutes of documentation time per eight scheduled patient hours — about a 10% reduction — and roughly 27 fewer minutes among clinicians who used the tool in at least half their visits, with no significant change in after-hours EHR time. A randomized trial at UCLA (NEJM AI, 2025) found that one of two scribe products cut the time spent writing each note by 9.5% while the other produced no significant change. The planning number for Vermont should be minutes, not hours.</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funds telehealth and e-Consult technology (its four access initiatives are listed below). This is a technology enabler for Oliver Wyman’s regionalization blueprint: rather than requiring every COE specialty to maintain physical presence at every community hospital, e-Consults and telehealth let COE specialists advise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Vermonters living outside Chittenden County have broadband access, compared to 85% inside it. The gap, while relatively small by national rural standards, means that home-based telehealth cannot reach all Vermont patients. Vermont’s proposed broadband expansion (one of Oliver Wyman’s priority legislative-change recommendations) is the infrastructure prerequisite for telehealth reaching the communities that need it most.</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application funds four technology-enabled access initiatives: a statewide e-Consult platform giving primary care an interoperable route to specialists, with real-time psychiatric consultation for pediatric and perinatal providers; grants to rural independent practices for secure telehealth platforms and connected diagnostic tools (explicitly not broadband); remote patient monitoring grants for home health, primary care, and community paramedicine settings; and a mobile integrated health and community paramedicine model — specially trained paramedics, Advanced EMTs, and EMTs delivering protocol-driven post-discharge and primary-care follow-up in patients’ homes under physician or nurse-practitioner oversight.</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Chapter 13’s discussion of diagnostic AI maturation (§13.3.2)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The strongest evidence is in breast screening. In Sweden’s MASAI randomized trial of more than 100,000 women, AI-supported reading cut radiologists’ screen-reading workload by 44% in an early analysis, detected 29% more cancers than standard double reading with no rise in false positives in a 2025 analysis, and in its final results (The Lancet, 2026) was followed by 12% fewer interval cancers. Evidence of that quality does not yet exist for most other modalities, but where it does, AI support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GMCB’s hospital price transparency project, built with Onpoint Health Data (its VHCURES vendor), has moved into public release — the methods documentation for its second release was published on July 9, 2026.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Chapter 5 (§5.3) traces AI governance moving from a quality initiative to a regulatory requirement as FDA, ONC, HHS’s Office for Civil Rights, and CMS write rules for clinical algorithms. That shift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yet have a statewide governance framework for clinical AI, though the Legislature has started. Act 156 of 2026 makes it unprofessional conduct for a mental health professional to deliver therapy through AI systems alone, and Act 101 of 2026 adds the Secretary of Human Services and a Vermont Medical Society appointee to the State’s Artificial Intelligence Advisory Council and directs it to recommend statutory changes — including on generative AI in the regulated professions and AI in insurance utilization review — by January 15, 2027.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Chapter 5 sets out the full lifecycle a clinical AI program needs. Three requirements belong in Vermont’s grant terms and Strategic Plan now, because public money is already buying the tools. First, pre-deployment bias testing — which is no longer only good practice: since May 1, 2025, the federal Section 1557 nondiscrimination rule (45 CFR § 92.210) has required covered health programs to make reasonable efforts to identify patient care decision support tools that use race, color, national origin, sex, age, or disability as inputs, and to mitigate the risk of discrimination from each; that provision was not among those a federal court vacated in October 2025. Second, patient notice whenever AI is involved in a patient’s care. Third, vendor accountability written into contracts — performance monitoring, bias-testing disclosure, and incident reporting, with remedies for underperformance.</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ONC-certified EHR APIs; CMS-0057-F payer APIs from 2027;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National networks (eHealth Exchange, Carequality, CommonWell) and TEFCA: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across UVM Health Network; a mix of other certified vendors at independent hospitals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Act 68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pPr>
        <w:keepNext w:val="0"/>
        <w:rPr/>
      </w:pPr>
      <w:r w:rsidDel="00000000" w:rsidR="00000000" w:rsidRPr="00000000">
        <w:rPr>
          <w:rtl w:val="0"/>
        </w:rPr>
        <w:t xml:space="preserve">In the Academy: Track 3 of the companion course, Five Pillars, One Imperative — “Technology — Build the Substrate” — works this chapter in three lessons: “Data Infrastructure as the Gate,” “FHIR, Interoperability, and the Compliance Path,” and “AI Governance and Clinical Decision Support” (/academy/tracks/five-pillars-one-imperative). For depth, the Healthcare Interoperability &amp; Data Exchange course (/academy/tracks/interoperability-data-exchange) covers FHIR, SMART on FHIR, Bulk FHIR, the CMS interoperability rules, and HIE data governance lesson by lesson.</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The population data your first global-budget year depends on already exists in VHCURES, which GMCB makes available to approved users through its data-release process. If you have not analyzed it — understood which patients use your hospital, what their HCC profiles look like, what their utilization patterns are — you are operating without the most important information your first Act 68 global budget year will depend on. The hospitals that invest in VHCURES analytics capability now will enter the FY2028 global budget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Act 68 global budgets take effect in FY2028: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first-year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Federal rules require it of certified EHRs (ONC §170.315(g)(10), since 2022) and of Medicare Advantage, Medicaid, CHIP, and federally facilitated exchange plans (CMS Patient Access API since 2021; expanded payer APIs under CMS-0057-F from 2027).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The February 2024 Part 2 final rule (compliance required by February 16, 2026) aligned it more closely with HIPAA, including a single patient consent for all future treatment, payment, and health care operations uses.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transferred responsibility for the statewide Health Information Technology Plan from GMCB to DVHA, effective July 1, 2025. Aligns HIT strategy coordination with DVHA’s operational relationships with providers through Medicaid and Blueprint.</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Rotenstein et al., JAMA (2026), ambient AI scribes at five academic health systems; Lukac et al., NEJM AI (2025), randomized trial of two ambient scribes; KFF Health News on Vermont’s AI-scribe grants (2026); MASAI trial (Lancet Oncology 2023; Lancet Digital Health 2025; The Lancet 2026); AHS, Act 68 §10 report on integration of health care data (January 15, 2026); Vermont Health IT-Fund Annual Report (2026); VITL 2024 Annual Report and VITL Platform RFP (May 2025); CMS Rural Health Transformation Program state abstracts; 45 CFR § 92.210 and HHS Notice of Vacatur (June 2026); Vermont Acts 101 and 156 of 2026; Vermont Household Health Insurance Survey (2021);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global budgets take effect in FY2028.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FY2028 global budget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(ONC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 and the apps they choose — retrieve their records through a standardized FHIR R4 / US Core API. Every certified EHR must offer it, and Medicare’s Promoting Interoperability program requires hospitals to use certified technology.</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version certified to (g)(10) on ONC’s Certified Health IT Product List; SMART App Launch authorization configured; published FHIR endpoint. Patient apps are not certified — the patient chooses them.</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Baseline compliance for every Vermont hospital. Check smaller CAHs’ certified versions on the CHPL.</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Provider-to-provider query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query capability; master patient index for matching across organizations; a trust framework — eHealth Exchange, Carequality, CommonWell, or TEFCA, whose designated QHINs must support facilitated FHIR exchange;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 APIs — Provider Access and Prior Authorization (CMS-0057-F)</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Impacted payers must expose FHIR APIs that let in-network providers retrieve a patient’s claims and clinical data and request prior authorization electronically (Da Vinci CRD, DTR, and PAS guides), generally by January 1, 2027.</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support for CRD, DTR, and PAS. Impacted payers in Vermont are Vermont Medicaid and Medicare Advantage plans; commercial plans sold through Vermont Health Connect — a state-based exchange — are not “impacted payers” under the rule.</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Because Vermont’s commercial exchange plans fall outside CMS-0057-F, GMCB could require carriers to match the federal API standard as a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VHIE runs a Verato-based master patient index for 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extend that identity service to every CIN member rather than build a second one — a single patient identity management system that all members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 regulates AI-enabled device software, including through its December 2024 final guidance on predetermined change control plans for models that are updated after clearance. ONC’s HTI-1 rule required certified EHRs to disclose source attributes for predictive decision support from 2025 — though ASTP/ONC’s December 2025 HTI-5 proposal would remove most of that requirement. The Section 1557 nondiscrimination rule has, since May 1, 2025, required covered health programs to identify and mitigate discrimination risk in patient care decision support tools (45 CFR § 92.210). And CMS told Medicare Advantage plans in February 2024 that algorithms cannot replace the individualized medical-necessity review coverage rules require. Federal expectations are real but unsettled, which is why a state framework cannot simply defer to them.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most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 Vermont has its own case: the October 2020 ransomware attack on UVM Health Network (§4.3.9) put UVM Medical Center on paper for nearly a month. Federal policy is moving unevenly — HHS published voluntary Cybersecurity Performance Goals for the health sector in January 2024, while its January 2025 proposal to strengthen the HIPAA Security Rule was still unfinalized in 2026, with final action listed for July 2027.</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ONC §170.315(g)(10) certification; CMS-0057-F payer APIs from 2027</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~16 fewer documentation minutes per 8 patient hours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pre-global-budget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UVM Health Network 2020 ransomware: 28 days to restore the EHR; ~$63–65M cost</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Plan a FHIR rollout: certified APIs, provider-to-provider exchange, and the 2027 payer APIs</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FHIR Implementation Guide</w:t>
            </w:r>
            <w:r w:rsidDel="00000000" w:rsidR="00000000" w:rsidRPr="00000000">
              <w:rPr>
                <w:sz w:val="18"/>
                <w:szCs w:val="18"/>
                <w:rtl w:val="0"/>
              </w:rPr>
              <w:t xml:space="preserve"> — /research-lab/interoperability?tab=fhir-guide</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obligations fall on your EHR vendor, which on you, and which on your payers — and the CHPL and CMS-0057-F checks to run first.</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pPr>
        <w:keepNext w:val="0"/>
        <w:rPr/>
      </w:pPr>
      <w:r w:rsidDel="00000000" w:rsidR="00000000" w:rsidRPr="00000000">
        <w:rPr>
          <w:rtl w:val="0"/>
        </w:rPr>
        <w:t xml:space="preserve">In the Academy: Track 3’s lessons on FHIR and on AI governance (/academy/tracks/five-pillars-one-imperative) follow this chapter’s implementation sequence, and the AI &amp; Machine Learning in Healthcare course (/academy/tracks/ai-machine-learning-healthcare) goes deeper on FDA regulation of clinical AI and on a governance framework for responsible deployment.</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Your EHR must be certified to ONC’s standardized FHIR API criterion to count as certified technology, and Medicare’s Promoting Interoperability program reduces payment to hospitals that do not use certified technology meaningfully. More practically: by January 2027 Vermont Medicaid and Medicare Advantage plans must offer FHIR APIs for provider data access and electronic prior authorization (CMS-0057-F). A hospital whose EHR cannot consume them will keep doing prior authorization by fax and phone. And the State’s own integration path runs through the VHIE and MDWAS: clinical data your EHR does not send to the exchange will not be in the population picture the global-budget system is being built on.</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and the Legislature has already asked for the blueprint. Act 101 of 2026 requires the State’s Artificial Intelligence Advisory Council to recommend statutory changes by January 15, 2027. The opportunity is to make sure that report covers clinical AI bought with public money — the RHT scribe, diagnostic, and monitoring tools — and not only mental-health chatbots and utilization review. Vermont has the regulatory infrastructure — GMCB, DVHA, AHS — to set standards most states lack. The alternative — deploying AI tools without governance and writing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 required of certified EHRs (ONC §170.315(g)(10)) and of public-program and federally facilitated exchange plans’ patient-access APIs since 2021–2022.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with eHealth Exchange, let health systems retrieve one another’s records across organizational boundaries. VITL connected through eHealth Exchange in 2024 to deliver Continuity of Care Documents into UVM Health Network’s EHR.</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TEFCA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Trusted Exchange Framework and Common Agreement — the federal framework connecting national networks through designated Qualified Health Information Networks (QHINs), which must support facilitated FHIR exchange. Participation is voluntary; organizations join through a QHIN.</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CMS-0057-F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2024 Interoperability and Prior Authorization rule. Requires Medicare Advantage, Medicaid, CHIP, and federally facilitated exchange plans to offer Provider Access, Payer-to-Payer, and Prior Authorization FHIR APIs, generally by January 1, 2027. Plans on state-based exchanges such as Vermont Health Connect are not covered.</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45 CFR § 92.210</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Section 1557 nondiscrimination rule’s provision on patient care decision support tools, applicable since May 1, 2025: covered health programs must make reasonable efforts to identify tools that use protected characteristics as inputs and mitigate the risk of discrimination.</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Lukac et al., NEJM AI (2025), randomized trial of two ambient scribes; Rotenstein et al., JAMA (2026), ambient scribes at five academic health systems; CMS Interoperability and Prior Authorization Final Rule (CMS-0057-F, 2024); TEFCA Common Agreement v2.1; ONC HTI-1 Final Rule (2023) and HTI-5 Proposed Rule (2025); FDA final guidance on predetermined change control plans for AI-enabled devices (December 2024); 45 CFR § 92.210; CMS Medicare Advantage FAQs on algorithms in coverage decisions (February 2024); HHS Healthcare and Public Health Cybersecurity Performance Goals (2024); HIPAA Security Rule NPRM (January 2025); VITL 2024 Annual Report; Vermont Act 101 of 2026.</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it signed and then exited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JAMA Network Open study of the Maryland All-Payer Model</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and confirmed by independent analyses, is among the most extreme in the country: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 2018–2020 data) — the highest in Vermont</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moves with hospital charge growth (38% from FY2018 to FY2024, Chapter 2) but far faster, because premiums also absorb utilization and the cost shifted onto a shrinking commercial base.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average monthly silver marketplace premium (2018–2024)</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0"/>
          <w:tblHeader w:val="0"/>
        </w:trPr>
        <w:tc>
          <w:tcPr/>
          <w:p w:rsidR="00000000" w:rsidDel="00000000" w:rsidP="00000000" w:rsidRDefault="00000000" w:rsidRPr="00000000" w14:paraId="00000811">
            <w:pPr>
              <w:jc w:val="left"/>
              <w:rPr/>
            </w:pPr>
            <w:r w:rsidDel="00000000" w:rsidR="00000000" w:rsidRPr="00000000">
              <w:rPr>
                <w:sz w:val="18"/>
                <w:szCs w:val="18"/>
                <w:rtl w:val="0"/>
              </w:rPr>
              <w:t xml:space="preserve">2021</w:t>
            </w:r>
            <w:r w:rsidDel="00000000" w:rsidR="00000000" w:rsidRPr="00000000">
              <w:rPr>
                <w:rtl w:val="0"/>
              </w:rPr>
            </w:r>
          </w:p>
        </w:tc>
        <w:tc>
          <w:tcPr/>
          <w:p w:rsidR="00000000" w:rsidDel="00000000" w:rsidP="00000000" w:rsidRDefault="00000000" w:rsidRPr="00000000" w14:paraId="00000812">
            <w:pPr>
              <w:jc w:val="left"/>
              <w:rPr/>
            </w:pPr>
            <w:r w:rsidDel="00000000" w:rsidR="00000000" w:rsidRPr="00000000">
              <w:rPr>
                <w:sz w:val="18"/>
                <w:szCs w:val="18"/>
                <w:rtl w:val="0"/>
              </w:rPr>
              <w:t xml:space="preserve">$580</w:t>
            </w:r>
            <w:r w:rsidDel="00000000" w:rsidR="00000000" w:rsidRPr="00000000">
              <w:rPr>
                <w:rtl w:val="0"/>
              </w:rPr>
            </w:r>
          </w:p>
        </w:tc>
      </w:tr>
      <w:tr>
        <w:trPr>
          <w:cantSplit w:val="0"/>
          <w:tblHeader w:val="0"/>
        </w:trPr>
        <w:tc>
          <w:tcPr/>
          <w:p w:rsidR="00000000" w:rsidDel="00000000" w:rsidP="00000000" w:rsidRDefault="00000000" w:rsidRPr="00000000" w14:paraId="00000813">
            <w:pPr>
              <w:jc w:val="left"/>
              <w:rPr/>
            </w:pPr>
            <w:r w:rsidDel="00000000" w:rsidR="00000000" w:rsidRPr="00000000">
              <w:rPr>
                <w:sz w:val="18"/>
                <w:szCs w:val="18"/>
                <w:rtl w:val="0"/>
              </w:rPr>
              <w:t xml:space="preserve">2022</w:t>
            </w:r>
            <w:r w:rsidDel="00000000" w:rsidR="00000000" w:rsidRPr="00000000">
              <w:rPr>
                <w:rtl w:val="0"/>
              </w:rPr>
            </w:r>
          </w:p>
        </w:tc>
        <w:tc>
          <w:tcPr/>
          <w:p w:rsidR="00000000" w:rsidDel="00000000" w:rsidP="00000000" w:rsidRDefault="00000000" w:rsidRPr="00000000" w14:paraId="00000814">
            <w:pPr>
              <w:jc w:val="left"/>
              <w:rPr/>
            </w:pPr>
            <w:r w:rsidDel="00000000" w:rsidR="00000000" w:rsidRPr="00000000">
              <w:rPr>
                <w:sz w:val="18"/>
                <w:szCs w:val="18"/>
                <w:rtl w:val="0"/>
              </w:rPr>
              <w:t xml:space="preserve">$730</w:t>
            </w:r>
            <w:r w:rsidDel="00000000" w:rsidR="00000000" w:rsidRPr="00000000">
              <w:rPr>
                <w:rtl w:val="0"/>
              </w:rPr>
            </w:r>
          </w:p>
        </w:tc>
      </w:tr>
      <w:tr>
        <w:trPr>
          <w:cantSplit w:val="0"/>
          <w:tblHeader w:val="0"/>
        </w:trPr>
        <w:tc>
          <w:tcPr/>
          <w:p w:rsidR="00000000" w:rsidDel="00000000" w:rsidP="00000000" w:rsidRDefault="00000000" w:rsidRPr="00000000" w14:paraId="00000815">
            <w:pPr>
              <w:jc w:val="left"/>
              <w:rPr/>
            </w:pPr>
            <w:r w:rsidDel="00000000" w:rsidR="00000000" w:rsidRPr="00000000">
              <w:rPr>
                <w:sz w:val="18"/>
                <w:szCs w:val="18"/>
                <w:rtl w:val="0"/>
              </w:rPr>
              <w:t xml:space="preserve">2023</w:t>
            </w:r>
            <w:r w:rsidDel="00000000" w:rsidR="00000000" w:rsidRPr="00000000">
              <w:rPr>
                <w:rtl w:val="0"/>
              </w:rPr>
            </w:r>
          </w:p>
        </w:tc>
        <w:tc>
          <w:tcPr/>
          <w:p w:rsidR="00000000" w:rsidDel="00000000" w:rsidP="00000000" w:rsidRDefault="00000000" w:rsidRPr="00000000" w14:paraId="00000816">
            <w:pPr>
              <w:jc w:val="left"/>
              <w:rPr/>
            </w:pPr>
            <w:r w:rsidDel="00000000" w:rsidR="00000000" w:rsidRPr="00000000">
              <w:rPr>
                <w:sz w:val="18"/>
                <w:szCs w:val="18"/>
                <w:rtl w:val="0"/>
              </w:rPr>
              <w:t xml:space="preserve">$875</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Sources: Oliver Wyman Act 167 Report; GMCB analysis.</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every commercial payer, by FY2027</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to date. 7% reduction in hospital admissions. $800M reduction in hospital spending. Model extended and expanded.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Methodology set by rule in 2027, effective hospital FY2028;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recommends -1% commercial rate growth benchmark — first negative benchmark in Vermont history.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2028.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Non-CAH global hospital budgets by FY28. All-hospital global budgets by FY30.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The Maryland regulator quoted at the opening of this chapter described the result plainly: hospitals had to transition from business strategies that chase volume to ones that focused on population health management.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Medicare budgets under models such as AHEAD,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Hospital opposition and implementation complexity prevented launch.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design and implement mandatory global budgets: non-CAH hospitals by FY2028, all hospitals by FY2030</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1971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to date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hospital spending $800M Medicare Part A and B combined (CMS evaluation)</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linked hospital global budgets with the Equity, Access, and Statewide Transformation (EAST) Fund — funded from an estimated $138.9 million first-year increase in Vermont’s Medicare spending target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was, from the beginning, meant to be paired with the community investment that Maryland added only after its first years of operation; with the EAST Fund gone, the Rural Health Transformation award is the only part of that pairing still in place.</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the Burlington area),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Final RBP methodology released March 2027 for FY2028 rates; Act 68 hospital global budgets take effect FY2028</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non-CAH hospitals; Statewide Strategic Plan delivered January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global budgets take effect in FY2028.</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non-CAH global budgets take effect in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to be set by GMCB rule in March 2027, with 200% of Medicare the benchmark most often modeled — is the most specific mandatory statewide price ceiling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The model Vermont’s GMCB-designed commercial global budgets will most closely follow.</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mandate is designed to achieve this across commercial payers and Medicaid by FY2028-2030, with Medicare alignment now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receive most of an estimated $138.9M first-year increase in Vermont’s Medicare spending target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14:paraId="000009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AHEAD (Achieving Healthcare Efficiency through Accountable Design)</w:t>
      </w:r>
      <w:r w:rsidDel="00000000" w:rsidR="00000000" w:rsidRPr="00000000">
        <w:rPr>
          <w:rtl w:val="0"/>
        </w:rPr>
      </w:r>
    </w:p>
    <w:p w:rsidR="00000000" w:rsidDel="00000000" w:rsidP="00000000" w:rsidRDefault="00000000" w:rsidRPr="00000000" w14:paraId="000009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CMMI’s voluntary state total cost of care model, now operating in five states (Maryland, Connecticut, Hawaii, Rhode Island, and New York).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global budget baselines for hospitals from their historical Medicare FFS spending, with adjustments; Act 68’s global budgets inherit the same benchmark logic.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Vermont’s Act 68 global budgets for non-CAH hospitals must specify how the prospective budget is set and adjusted for patient complexity — the risk adjustment methodology is a key design question currently under development.</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tracked total cost of care for Medicare FFS beneficiaries attributed to Vermont hospitals across all payer settings; Act 68’s global budgets apply the same all-payer accounting.</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(typically 2-3.5%) before the organization shares in them</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 and Act 68’s state-level global budget targets apply the minimum threshold concept the same way.</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typically 50-75% for one-sided models, and reaches 100% in global-risk models such as ACO REACH.</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100% of premium passthrough per GMCB monitoring requirement.</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and the Care Management ROI Calculation</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Inpatient Cost Prevented</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Preventable ED Visit</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ROI Range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Year 1: 3-8% RAF improvement</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Vermont CAHs: avg 12% HCC gap (2025 RHRC assessment)</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FY2028: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effective FY2028; Oliver Wyman: $300M+ annual projection</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11 (§11.11–11.12).</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Vermont-specific benchmarks: Blueprint-participating PCMH practices with active CHT support typically score 40-60% in Domain 3 (care delivery) — strong by national standards. Most Vermont hospitals score 25-45% in Domain 2 (data and technology). The RHRC engagement’s explicit focus on developing analytic dashboards for hospitals reflects the recognition that Domain 2 is the binding constraint for most Vermont providers.</w:t>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(an upper scenario GMCB modeled in its December 2024 RBP report)?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2027–2031,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245.5 suicide/SH ED visits per 10,000 — each prevented = $1,800 saved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MHI pilot: 80% of administrative entities increased CHT staffing. Every MH-related hospitalization prevented saves $15,000 on average — a material offset against the cost of a CoCM behavioral health care manager.</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Literature suggests 5-15% reduction in total cost of care for high-SDOH-burden populations receiving coordinated SDOH intervention.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Blueprint primary care investment: PCMH investment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at $10,000/year RPM program cost.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Primary Care Investment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 data confirms the 5.8:1 ROI.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statewide payment model in a small state — is the challenge every state that attempts mandatory payment reform will face. Vermont’s approach: VHCURES for population data, external analytics vendor for modeling capability, Rural Health Transformation Program funds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Typically 50-75% for one-sided risk models, and reaches 100% in global-risk models such as ACO REACH.</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typically 2-3.5% of benchmark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An overall readiness score below 60% indicates the organization is not yet ready for full-risk VBC;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Medicaid and commercial payers (Medicare’s share ended in December 2025; see Section 8.2.3), embedded in primary care practices across all 13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Medicaid and commercial insurers — and from Medicare until the All-Payer ACO Model agreement ended in December 2025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VITL’s health information exchange for clinical data, plus Blueprint practice profiles produced from the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Transition Left Unresolved</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Medicare participation ended in December 2025 with the All-Payer ACO Model agreement, and the State proposed $10.8 million in interim Global Commitment funding to cover the Medicare share of Blueprint PCMH, Community Health Team, and SASH payments in calendar 2026. The AHEAD State Agreement was meant to resolve this transition risk: Primary Care AHEAD would have given primary care practices enhanced prospective, risk-adjusted Medicare payments for coordinated care, with four payment pathway options including fully prospective models. Vermont’s July 2026 withdrawal from AHEAD (Chapter 6) closed that route.</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loss of the Medicare Blueprint payment is operationally significant. Practices that received Blueprint PMPM payments for Medicare patients no longer have the Primary Care AHEAD pathway that was meant to restore Medicare’s contribution, and interim state funding is a bridge, not a replacement — a gap that matters because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Medicare quality reporting,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Medicare,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(Act 68’s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4 new entities certified July 1, 2026 (of 5 planned), bringing the state to six —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80% of administrative entities reporting increased CHT staffing. The 2025 evaluation found improved access and engagement but sustainability concerns when temporary funding ends — a direct argument for making MHI permanent — a case made harder by the loss of the Primary Care AHEAD funding once expected to sustain it.</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planned to certify five additional CCBHC entities by July 2026 — Health Care and Rehabilitation Services (Springfield), Howard Center (Burlington), Northwest Counseling and Support Services (St. Albans), Northeast Kingdom Human Services (Newport), and Washington County Mental Health Services (Barre). The Department of Mental Health certified four of them — all but Washington County — on July 1, 2026, bringing Vermont to six CCBHCs.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given the evidence base and Medicare billing codes described above.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Vermont Medicaid’s coverage of CoCM codes is a prerequisite for practices serving high-Medicaid rural populations to implement the model — and DVHA’s coordination with the Blueprint is the mechanism for ensuring that coverage is in place. With the AHEAD EAST Fund lost to Vermont’s July 2026 withdrawal, Medicaid coverage and RHT-funded BHCM workforce training are the remaining vehicles for funding the BHCM positions that primary care practices need to implement CoCM at scale.</w:t>
      </w:r>
    </w:p>
    <w:p w:rsidR="00000000" w:rsidDel="00000000" w:rsidP="00000000" w:rsidRDefault="00000000" w:rsidRPr="00000000" w14:paraId="00000A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7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substance use disorder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Only a handful of Vermont areas meet HRSA’s geographic criteria for a primary care Health Professional Shortage Area.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the Blueprint’s PMPM payments and RHT workforce investment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(funding vehicle unresolved after the AHEAD withdrawal);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Act 68 global budget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using Oliver Wyman’s analysis of 2020–2022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The AHEAD EAST Fund, with its explicit investment priority in primary care, was meant to accelerate this investment, but Vermont withdrew from AHEAD in July 2026 before receiving it.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Medicare MIPS reporting,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59% of primary care practices accepting new Medicaid patients — significant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the five-step framework from performance baseline through root cause analysis to sustainable systems design, laid out in Chapter 9 (§9.4.1) — applies directly to Vermont primary care practices and hospitals participating in Blueprint.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Medicare’s Merit-based Incentive Payment System, which larger Vermont practices must join from 2026, adds its own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toward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is projected to affect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(4 new CCBHCs certified July 1)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through the CoCM billing codes,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Act 68’s global budgets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with AHEAD gone, will have to come from Vermont’s own Blueprint and VHCURES evaluation.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the Blueprint.</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the Blueprint’s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13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payment transition support — helping practices absorb the loss of Medicare’s Blueprint payments, which ended with the All-Payer Model in 2025 and which state funds are offsetting in 2026 after Vermont withdrew from AHEAD — is the most operationally significant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the Blueprint and their payer contracts.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value-based contract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The practice’s own EHR registry provides this patient-level gap analysis; Blueprint practice profiles built from VHCURES claims add summary-level, risk-adjusted context on utilization and cost.</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applying that Blueprint-measured rate to the statewide population implies on the order of 13,000-15,400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Blueprint practice profiles built from VHCURES claims show, in summary form, the utilization the practice’s attributed patients incur outside its own walls — emergency department visits, hospitalizations, specialist encounters. The patient-level view needed to act on it comes through VITL’s health information exchange: clinicians viewing records from other settings in the VITLAccess portal, or receiving admission, discharge, and transfer alerts built on VITL’s ADT feed.</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under Act 68 global budgets.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population health management under global budgets.</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documenting the complications it has caused — diabetic CKD, for example, carries its own HCC — is leaving RAF value uncaptured — which translates directly into a lower global budget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global budget implementation and Statewide Strategic Plan development. Global budgets’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Act 68 global budgets provide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AHS</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take effect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global budget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hospital global budget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6 certified CCBHCs (4 added July 1, 2026); enhanced Medicaid FMAP for the 4-year demonstration</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hospital transformation planning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the transformation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global budget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global budget levels.</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9-to-11-point primary care access gap by race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in coverage, primary care access, and cost-related delays in care, detailed below.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8% Essex County Uninsured — nearly 3x State Avg</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6-8% NE Kingdom Uninsurance Rate</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coverage and poverty disparities, while behavioral health crisis burdens concentrate elsewhere:</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4536"/>
        <w:gridCol w:w="4536"/>
        <w:tblGridChange w:id="0">
          <w:tblGrid>
            <w:gridCol w:w="4536"/>
            <w:gridCol w:w="4536"/>
          </w:tblGrid>
        </w:tblGridChange>
      </w:tblGrid>
      <w:tr>
        <w:trPr>
          <w:cantSplit w:val="1"/>
          <w:tblHeader w:val="0"/>
        </w:trPr>
        <w:tc>
          <w:tcPr/>
          <w:p w:rsidR="00000000" w:rsidDel="00000000" w:rsidP="00000000" w:rsidRDefault="00000000" w:rsidRPr="00000000" w14:paraId="00000BE7">
            <w:pPr>
              <w:jc w:val="left"/>
              <w:rPr/>
            </w:pPr>
            <w:r w:rsidDel="00000000" w:rsidR="00000000" w:rsidRPr="00000000">
              <w:rPr>
                <w:sz w:val="18"/>
                <w:szCs w:val="18"/>
                <w:rtl w:val="0"/>
              </w:rPr>
              <w:t xml:space="preserve">Uninsured rate, Essex County (NE Kingdom) 8% vs. 3% statewide — nearly 3x the state average despite Vermont’s near-universal coverage</w:t>
            </w:r>
            <w:r w:rsidDel="00000000" w:rsidR="00000000" w:rsidRPr="00000000">
              <w:rPr>
                <w:rtl w:val="0"/>
              </w:rPr>
            </w:r>
          </w:p>
        </w:tc>
        <w:tc>
          <w:tcPr/>
          <w:p w:rsidR="00000000" w:rsidDel="00000000" w:rsidP="00000000" w:rsidRDefault="00000000" w:rsidRPr="00000000" w14:paraId="00000BE8">
            <w:pPr>
              <w:jc w:val="left"/>
              <w:rPr/>
            </w:pPr>
            <w:r w:rsidDel="00000000" w:rsidR="00000000" w:rsidRPr="00000000">
              <w:rPr>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Essex + Windham + Orleans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2024 Vermont Department of Health equity report shows that statewide, 94% of Vermont adults have health insurance (BRFSS self-report)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second highest nationally</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Vermonters outside Chittenden County have broadband vs. 85% inside it (RHT application); statewide, 9.9% of locations lack 100/20 Mbps service (Department of Public Service, 2025)</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(an Oliver Wyman priority legislative change);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Blueprint HRSN universal screening with warm handoffs to community resources; AHS HSA Coordinator model linking health and social services;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is among the Tier 3 hospitals whose future the Oliver Wyman regionalization blueprint leaves for further assessment, while Northeastern Vermont Regional is assigned a focused (Tier 2) scope — meaning North Country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October 2025: four states eliminated coverage in response to budget pressure, while North Carolina reinstated coverage it had briefly dropped. Vermont Medicaid covers GLP-1s for medically accepted FDA-approved indications but expressly excludes coverage for weight loss under its State Plan.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no earlier than 2028 (CMS postponed its planned January 2027 start),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the most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State applications due July 31, 2026 (BALANCE RFA); coverage starts between May 2026 and January 1, 2027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certification of Northeast Kingdom Human Services (certified July 1,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July 2026 (CCBHC certified);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AHS HSA Coordinator model linking health and social services at community level;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from 8% toward statewide 3%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BIPOC adult rate: reduce gap from 79-81% toward 90% statewide average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July 31, 2026 (state application deadline);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platform’s Health Equity Studio applies this stratification logic to data a user enters or to its example presets; it does not connect to VHCURES or Blueprint data.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(FUM); follow-up after ED visit for substance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HEROI: 13 HSA-level equity scores once computed; candidate GMCB reporting metric</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90% statewide access vs. 79-81% BIPOC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global budgets: open SRA design question</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HSA Coordinators track progress; GMCB analytics vendor enables 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GMCB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its health equity benchmark adjustment, which raises benchmarks for ACOs serving underserved beneficiaries. Vermont’s Act 68 global budget design must incorporate social risk adjustment at the hospital level — ensuring that hospitals serving the Northeast Kingdom’s high-SDOH populations are not penalized relative to Burlington-area hospitals with more favorable social risk profiles. This is an open design question in Vermont’s global budget methodology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9-to-11-point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Vermont’s global budget methodology should incorporate equity performance — stratified HEDIS measures by race, income, and geography.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HEROI scoring is a framework Vermont should adopt and protect. It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9-to-11-point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RHT Program’s community health investment capacity is the right vehicle.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RHT Program’s community health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Health Equity Advisory Commission, the equity metrics Acts 167 and 68 mandate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postponed from January 2027, no earlier than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Operational throughout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AHS has statutory deadlines — hospital transformation plans by early 2026, RBP by FY2027, global budgets by FY2028, the Statewide Strategic Plan by January 2028. It has a constrained budget ($4.2M in appropriated state funds, plus $195M in RHT Program capital). It had a contracted operational partner in the Rural Health Redesign Center through October 2025.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Act 68 established a four-actor governance architecture for Vermont’s transformation that is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Health Care Reform Office (recently reorganized); contracted RHRC through October 2025; hiring additional staff with RHT Program funds</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the Medicaid global budget (halted by CMS, July 2026);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Post-AHEAD Medicaid transition (Vermont withdrew July 2026);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Newly established under Act 68; initial composition and operating procedures being developed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develops a written outline of its proposed transformation strategy, mapping short-term (within 1 year), medium-term (1-3 years), and long-term actions to Act 167 outcome objectives</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work is ongoing and evolving. Based on hospital feedback and changes in state and federal policy, AHS is continuing to adapt our approach to ensure planning is coordinated, responsive, and effective.”</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RHRC worked with each of Vermont’s 14 hospitals through four parallel workstreams, adapted to each hospital’s specific position and needs: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59%</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59%</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(4 new entities certified July 1, 2026, of 5 planned) and the RHT Program’s behavioral health investments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Oliver Wyman’s regionalization blueprint organized Vermont’s hospital network around three facility types,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Copley Hospital (Morrisville), and Mt. Ascutney (Windsor)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and North Country Hospital are among the facilities whose futures require further discussion as part of Vermont’s regionalization planning. Porter Medical Center’s centers-of-excellence designations are also still under discussion, but it retains inpatient care as a Tier 2 facility within the UVM Health Network.</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opioid overdose rates.</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Washington County (Barre/Montpelier) is second most populous HSA.</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highest uninsurance rates (6-8%)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(Windsor)</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Porter Medical Center (Middlebury)</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TBD</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Tier 2 — Focused scope</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UVM Health Network affiliate; COE designations still under discussion. Oliver Wyman’s long-term recommendation is to grow surgical services; interim options include converting inpatient beds to mental-health, geri-psych, or memory care.</w:t>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including 112 family medicine, 190 other primary care (RHT application)</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Physician shortage cited in Oliver Wyman operational challenges for every HSA</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with a substantial share dedicated to workforce — tuition assistance, recruitment,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made a counterintuitive finding that Vermont’s primary care shortage is partly a productivity issue, not purely a headcount problem: only a handful of Vermont areas meet HRSA’s geographic criteria for a primary care Health Professional Shortage Area,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included five workforce investment areas,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and loan forgiveness for nurses, physicians, APRNs, LNAs, home health aides, and other providers, with 5-year service obligations in Vermont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training and support for APRNs, physician assistants, pharmacists, and EMTs — enabling Vermont to use its existing workforce at maximum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health worker training and deployment — building the SDOH navigation and care coordination workforce that population health management requires, drawing from the communities being served</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Interstate Medical Licensure Compact (IMLC) participation — enabling out-of-state providers to practice via telehealth in Vermont, reducing specialist access gaps without requiring physical relocation</w:t>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Oliver Wyman’s five Act 167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59%. Avoidable ED visits: reduce from 32.3%. 30-day MH follow-up: increase from 76%</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slow the growth trend.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and the political will — demonstrated through the extraordinary legislative sequence of Acts 167, 51, 55,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Action for Every Vermont Hospital Before Global Budgets</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alone (one diabetes HCC) versus ‘diabetes with diabetic CKD’ (the diabetes HCC plus a separate CKD HCC,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Vermont hospitals entering global budgets under Act 68 in FY2028 will have their budgets set based on historical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reduce credentialing cycle time from 90-120 days to 45-60 days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AHS and GMCB have identified three administrative simplification priorities that must be addressed in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global budgets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Vermont Act 68 CON streamlining;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RHT-funded; shared analytics, IT, care management for 14 hospitals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regionalizing Vermont’s 31 EMS agencies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was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Vermont’s Tier 1 hospitals under the Oliver Wyman regionalization blueprint.</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typically 2-3x the cost of permanent hires. Heavy travel nursing dependence is a primary driver of hospital financial distress across Vermont’s system.</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this chapter calls for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Foundation and advanced courses in APM mechanics, HEDIS, and global budgets,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Continuously updated synthesis, with a daily briefing,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technical infrastructure framework documentation.</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Act 68 global budgets in FY2028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$700M–$2.4B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decisions (CMS’s July 2026 finding that Vermont’s Medicaid hospital global budget was not approved under Global Commitment terms was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in the Research Lab:</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pointers to where Epic, Oracle Health, MEDITECH, and TruBridge document their certified APIs.</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9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9F">
      <w:pPr>
        <w:pStyle w:val="Heading2"/>
        <w:pBdr>
          <w:top w:color="c9d2df" w:space="10" w:sz="6" w:val="single"/>
        </w:pBdr>
        <w:rPr/>
      </w:pPr>
      <w:bookmarkStart w:colFirst="0" w:colLast="0" w:name="_dyds4cejh4b8"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A0">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The knowledge transfer infrastructure this chapter calls for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global budgets depend on,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described in Chapter 15 is the operational spine of Vermont’s transformation program. Without a function that tracks milestones across all five pillars, manages dependencies between the analytics vendor, the hospital transformation plans,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calls for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The Wire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continuously updated policy and practice intelligence feed, with a daily briefing,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and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April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April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only; no price regulation; no federal agreement</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(FY2027) and global budgets (FY2028) enacted; AHEAD signed Jan 2025 (withdrawn July 2026);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All hospitals under Act 68 global budgets;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but published measures ran about two years behind;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procurement underway; CIN in development; AI-scribe grants funded; FHIR upgrades in progress</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mandatory FY2027 enacted; global-budget methodology under design; 6 of 14 hospitals in losses (FY2024, improved from 9); five-year deficit trajectory unchanged</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90%+ PCMH; BH follow-up 76% (mental health), 68% (SUD); readmission 14.8%; 370-FTE primary-care gap projected by 2030; zero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5 CCBHCs planned (4 certified July 1, 2026); CoCM pilots underway; team-based care deploying; readmission at 14.8% (minimal change from the 14.8% baseline)</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(contract concluded October 2025); PMO being established; CIN under development; two AHS transformation reports delivered</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hospital plans continue after the RHRC engagement concluded (October 2025)</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April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front-loaded; does not offset the Medicaid cuts</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covers roughly 19% of the state’s insured population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 Secretary Jenney Samuelson’s framing — that the RHT funding is a tool for executing reform, not a substitute for reform — is the analytical frame every state should adopt. Vermont is directing its first-year $195 million toward infrastructure that reduces ongoing structural costs: a $15 million transformation-analytics and support contract, grants for AI scribes ($1.03 million) and remote patient monitoring ($0.9 million) that expand provider capacity and prevent hospitalizations,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JUNE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the largest study to date (JAMA, 2026) finding real but modest savings — about 16 fewer minutes of documentation per eight scheduled patient hours (§4.6.1).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Federal rules are moving in both directions — the Section 1557 rule’s decision-support provision now binds covered providers, while ASTP/ONC’s HTI-5 proposal would roll back HTI-1’s transparency requirements (§5.3) — and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the most ambitious federal payment reform currently operating.</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 form the most complete state reform mandate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Published VHCURES-based measures about two years behind;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IT grants funding FHIR upgrades;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(FY2028). National: VBC ~58% commercial; global budgets rare outside VT/MD.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ACO REACH maturing.</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VBC ~70–75% commercial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strongest in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plans in development; AHS restructuring underway;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plans at varying stages;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joint AHS-GMCB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for the first time in a decade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 for the first time.</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Medicare alignment left unresolved by the AHEAD withdrawal;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RHT funding is a tool that lets us put affordability plans into action. 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Jenney Samuelson, Vermont AHS Secretary, January 2026</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read against CMS’s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April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optimistic scenario rather than the pessimistic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optimistic and pessimistic scenario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was signed, and the mandatory RBP and global-budget architecture is in place. That is analytically correct as of April 2026. It is also politically provisional in a way practitioners and organizational leaders must account for. Vermont’s withdrawal from AHEAD in July 2026 (§6.6) showed how quickly a settled element can change.</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 the counter-example. The AHEAD State Agreement, signed with CMS in January 2025, was expected to be the most durable element: a binding federal-state agreement with an eight-year performance period and enhanced federal funding attached. It proved the least durable. After a CMS renegotiation cut the expected EAST Fund from about $138 million to a cap near $10 million, Vermont formally notified CMS and exited in July 2026, before the performance period began (§6.6). A federal agreement insulates a reform only while its economics hold for both parties; what carried Vermont’s reform through the exit was Act 68’s state authority.</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Vermont’s investments in primary care, behavioral health, and long-term care are partly financed through federal Medicaid matching funds; if federal Medicaid funding falls significantly, those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Hospital Association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Figure 14.1’s signals are instances of four broader categories — a change in the governing party’s posture toward the reform, a high-profile enforcement challenge, a hospital-sector coalition campaign, and a federal policy shift that changes the reform’s financial assumptions — and those same four categories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which federal model, if any, follows AHEAD. Blueprint PCMHs that deploy the Collaborative Care Model build capability that produces value under any payment model. HCC gap closure improves Medicare and commercial risk adjustment alike.</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 — as Vermont’s July 2026 withdrawal showed.</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exposed to Act 68’s timelines should maintain scenario plans for at least three disruptions: RBP delayed 18+ months; global-budget levels set within 5% of current commercial rates (effectively removing budget pressure); and a 30%+ cut to expected federal transformation funding — a scenario the EAST Fund has already realized. These are planning inputs, not predictions. Figures 14.1 and 14.2 record HTR’s April 2026 assessment; their AHEAD-linked signals and scenarios were overtaken in July 2026, when CMS’s renegotiation capped the EAST Fund near $10 million and Vermont withdrew from AHEAD (§6.6).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organizational level, the political sustainability of Vermont’s reform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is usually visible in the operating data a year before it becomes a legislative problem.</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and staggered effective dates.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and statutory deadlines survive changes of government; federal-state agreements last only while their economics hold, and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Program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10</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(PMBOK Guide, 6th ed.)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Scored risks in the portfolio register (Figure 15.6)</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Hospital transformation plans the portfolio must coordinate</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(13 HSA projects); global-budget design and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 The chapter in parentheses after each component is where the book analyses it.</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 (Ch. 2)</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 (Ch. 3)</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 (Ch. 2)</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 (Ch. 16)</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 (Ch. 4)</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 (Ch. 4)</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 (Chs. 4–5)</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 (Ch. 5)</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 (Ch. 6)</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 (Ch. 6)</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 (Ch. 2)</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 (Ch. 10)</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 (Ch. 8)</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 (Ch. 8)</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4 of 5 certified Jul 2026 → fifth pending</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 (Ch. 9)</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 (Ch. 10)</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 (Ch. 11)</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Final plans Mar 2026 → implementation</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(HSA-coordinator model) (Ch. 16)</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In progress → FY2027 staffed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 (Ch. 12)</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Q2 2027 operational</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Program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Program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Program Manager — in PMI’s terms (Figure 15.2), each pillar is a program.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closeout</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fifth new CCBHC certified;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implemented; HSA coordinators staffed (FY2027); PMO operational (Q2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knowledge areas of the PMBOK Guide’s sixth edition (2017) to Vermont’s situation reveals a consistent gap (Figure 15.5): the book addresses each area analytically, but Vermont lacks the operational infrastructure to manage it. The 2025 eighth edition reorganizes the same ground into principles and performance domains; the ten areas remain the clearest checklist of what a PMO has to run.</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00"/>
        <w:gridCol w:w="6775"/>
        <w:tblGridChange w:id="0">
          <w:tblGrid>
            <w:gridCol w:w="2300"/>
            <w:gridCol w:w="6775"/>
          </w:tblGrid>
        </w:tblGridChange>
      </w:tblGrid>
      <w:tr>
        <w:trPr>
          <w:cantSplit w:val="1"/>
          <w:tblHeader w:val="1"/>
        </w:trPr>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Knowledge area</w:t>
            </w:r>
          </w:p>
        </w:tc>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Vermont’s operational gap</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Integration</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The dependency map, execution sequence, and scorecard exist analytically; operational integration does not yet exist.</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Scope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No formal work-breakdown structure for any pillar.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Schedule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Statutory deadlines tracked in isolation, not as an integrated master schedule.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Cost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RHT spending tracked for federal compliance, not portfolio performance.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Quality</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Measured program by program, with no portfolio aggregation.</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Resource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AHS staff overcommitted, with no formal resource leveling.</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Communications</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Reporting runs component by component; no portfolio-level communications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Risk</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Analyzed in this book but not managed operationally through a maintained register.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Procurement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Contracts — analytics, technical assistance — are let one component at a time; no portfolio-level procurement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Stakeholder</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Hospitals, GMCB, HCAC, the Legislature and CMS are engaged component by component; no portfolio-level stakeholder strategy.</w:t>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implementation, RHT Program deployment — cannot be productively worked before the Technology components that make them measurable; only their design runs in parallel (Economics-as-design, Section 1.11.2).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1.4’s gate definition: open means the enabling work is finished, not that a milestone was declared. Design work, and care-model work that produces value on its own, does not wait: Section 1.11.2, Figure 1.8.)</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 PCMH expansion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Q2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12.5</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constrain Medicaid-funded Clinical investments; no EAST Fund backstop after the AHEAD withdrawal</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Portfolio Manager in seat by Jan 2027; PMO operational by Q2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rPr/>
      </w:pPr>
      <w:r w:rsidDel="00000000" w:rsidR="00000000" w:rsidRPr="00000000">
        <w:rPr>
          <w:rtl w:val="0"/>
        </w:rPr>
        <w:t xml:space="preserve">Plotted by probability and impact (Figure 15.7), the register’s shape is clearer than its rows: the two risks scored 20 share the critical corner, and one of them is the absence of the portfolio function itself. Social-risk adjustment (R-08) sits mid-map at 12 — a reminder that a moderate score is not a licence to wait, since the sequencing test above says it should already be running.</w:t>
      </w:r>
    </w:p>
    <w:p>
      <w:pPr>
        <w:jc w:val="center"/>
      </w:pPr>
      <w:r>
        <w:rPr>
          <w:noProof/>
        </w:rPr>
        <w:drawing>
          <wp:inline xmlns:wp="http://schemas.openxmlformats.org/drawingml/2006/wordprocessingDrawing" distT="0" distB="0" distL="0" distR="0">
            <wp:extent cx="5669280" cy="3830595"/>
            <wp:docPr id="1002" name="Figure 15.7 risk map"/>
            <a:graphic xmlns:a="http://schemas.openxmlformats.org/drawingml/2006/main">
              <a:graphicData uri="http://schemas.openxmlformats.org/drawingml/2006/picture">
                <pic:pic xmlns:pic="http://schemas.openxmlformats.org/drawingml/2006/picture">
                  <pic:nvPicPr>
                    <pic:cNvPr id="0" name="figure_15_7_risk_map.png"/>
                    <pic:cNvPicPr/>
                  </pic:nvPicPr>
                  <pic:blipFill>
                    <a:blip xmlns:r="http://schemas.openxmlformats.org/officeDocument/2006/relationships" r:embed="rId82"/>
                    <a:stretch>
                      <a:fillRect/>
                    </a:stretch>
                  </pic:blipFill>
                  <pic:spPr>
                    <a:xfrm>
                      <a:off x="0" y="0"/>
                      <a:ext cx="5669280" cy="3830595"/>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15.9</w:t>
      </w:r>
      <w:r w:rsidDel="00000000" w:rsidR="00000000" w:rsidRPr="00000000">
        <w:rPr>
          <w:rtl w:val="0"/>
        </w:rPr>
        <w:t xml:space="preserve"> answers that objection directly. The ~$4–6.4M cost of a staffed PMO over four to five years is less than 2% of a single year of the value it protects — $195M a year in RHT funds and $300M+ a year in projected RBP savings.</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$195M/yr in RHT capital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&lt;2% of one year’s value managed: $195M/yr RHT + $300M+/yr projected RBP savings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pPr>
        <w:rPr/>
      </w:pPr>
      <w:r w:rsidDel="00000000" w:rsidR="00000000" w:rsidRPr="00000000">
        <w:rPr>
          <w:rtl w:val="0"/>
        </w:rPr>
        <w:t xml:space="preserve">The roadmap is anchored to the one date that cannot move: the Statewide Strategic Plan, due January 15, 2028. AHS’s March 2026 Act 68 report lists contracted transformation support (Manatt, Phelps &amp; Phillips; a new hospital technical-assistance vendor; an analytics contract for regional planning still under negotiation) but describes no portfolio-management function. Figure 15.10 schedules the recommended build-out backward from that deadline and against the components it exists to sequence. A Portfolio Manager hired by January 2027 has nine months before FY2028 hospital budgets take effect in October 2027 — enough only if the PMO is running before the Technology gate it is meant to protect.</w:t>
      </w:r>
    </w:p>
    <w:p>
      <w:pPr>
        <w:jc w:val="center"/>
      </w:pPr>
      <w:r>
        <w:rPr>
          <w:noProof/>
        </w:rPr>
        <w:drawing>
          <wp:inline xmlns:wp="http://schemas.openxmlformats.org/drawingml/2006/wordprocessingDrawing" distT="0" distB="0" distL="0" distR="0">
            <wp:extent cx="5669280" cy="4033911"/>
            <wp:docPr id="1003" name="Figure 15.10 roadmap Gantt"/>
            <a:graphic xmlns:a="http://schemas.openxmlformats.org/drawingml/2006/main">
              <a:graphicData uri="http://schemas.openxmlformats.org/drawingml/2006/picture">
                <pic:pic xmlns:pic="http://schemas.openxmlformats.org/drawingml/2006/picture">
                  <pic:nvPicPr>
                    <pic:cNvPr id="0" name="figure_15_10_gantt.png"/>
                    <pic:cNvPicPr/>
                  </pic:nvPicPr>
                  <pic:blipFill>
                    <a:blip xmlns:r="http://schemas.openxmlformats.org/officeDocument/2006/relationships" r:embed="rId83"/>
                    <a:stretch>
                      <a:fillRect/>
                    </a:stretch>
                  </pic:blipFill>
                  <pic:spPr>
                    <a:xfrm>
                      <a:off x="0" y="0"/>
                      <a:ext cx="5669280" cy="4033911"/>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From mid-2027 the PMO runs on a fixed cadence: monthly governance reviews, quarterly performance reviews against the Vermont Scorecard, and annual portfolio rebalancing. The January 2028 Strategic Plan should arrive with portfolio-management evidence — benefits tracked, risks managed, resources deployed in dependency order — after which the PMO carries the portfolio into the plan’s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Five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less than 2% of a single year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pPr>
        <w:keepLines w:val="0"/>
        <w:numPr>
          <w:ilvl w:val="0"/>
          <w:numId w:val="6"/>
        </w:numPr>
        <w:ind w:left="720" w:hanging="360"/>
        <w:rPr/>
      </w:pPr>
      <w:r w:rsidDel="00000000" w:rsidR="00000000" w:rsidRPr="00000000">
        <w:rPr>
          <w:rtl w:val="0"/>
        </w:rPr>
        <w:t xml:space="preserve">“AHS already has expert help — consultants, a technical-assistance vendor, an analytics contractor.” It does: AHS’s March 2026 Act 68 report lists contracted transformation support from Manatt, Phelps &amp; Phillips, a new hospital technical-assistance vendor, and analytics support under negotiation. But a contractor delivers a defined scope. It cannot hold a state component back until its upstream gate opens, reassign AHS staff between components, or answer to the Legislature for the portfolio as a whole. Contracted support adds capacity, not authority — and every new contract is one more component, with its own deliverables and deadline, that someone has to sequence.</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Run the sequencing test on Figure 15.3 — or on your own register</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Portfolio Sequencing Test</w:t>
            </w:r>
            <w:r w:rsidDel="00000000" w:rsidR="00000000" w:rsidRPr="00000000">
              <w:rPr>
                <w:sz w:val="18"/>
                <w:szCs w:val="18"/>
                <w:rtl w:val="0"/>
              </w:rPr>
              <w:t xml:space="preserve"> — /portfolio-sequencing-test</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components are correctly waiting, which are late by dependency order, which are running ahead of a closed gate — and the unfinished components where schedule pressure belongs.</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(4th ed.) and the PMBOK Guide (6th and 7th eds.),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4th ed. (2017); PMBOK Guide, 6th ed. (2017), 7th ed. (2021) and 8th ed. (2025); PMI Standard for Program Management, 4th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 AHS Act 68 Health Care System Transformation Report (March 2026).</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statute does not itself order AHS to reorganize — that recommendation is Oliver Wyman’s — but the obligations it does impose cannot be met by the agency as it is organized today.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plan that promotes universal access across acute, primary, mental-health, substance-use, long-term, and emergency services; sets shared goals and benchmarks; identifies resources, gaps, duplication, and barriers; and gives a phased timeline with milestones (18 V.S.A. § 9403(b)). Updated every three years from December 1, 2030.</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Annual total-cost-of-care targets for the whole system, used to allocate resources across the State (§ 9403(b)(7)).</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Reported monthly through January 1, 2027;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Targets for the share of total spending on primary care (including mental health) and on preventive care, aligned with the total-cost-of-care targets (§ 9403(b)(7)); delivered through Blueprint, CCBHC, and CoCM expansion.</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Statutory plan element; no longer tied to AHEAD after the July 2026 withdrawal</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Act 68’s goal of a system that attracts and retains health professionals,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chaired by the Secretary of Human Services and representing GMCB, the Health Care Advocate, primary care, hospitals, health centers, insurers, physicians and nurse practitioners, mental-health and home-health providers,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recommendations point directly at AHS’s own organization: review the agency structure for overlaps, align its agencies with Hospital Service Areas, integrate its subunits, and fund the staff that AHS and GMCB lack for transformation work — paired with a new GMCB Division of Planning and Effectiveness to assist AHS’s calculations.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Build AHS’s planning function jointly with the Division of Planning and Effectiveness Oliver Wyman recommended at GMCB; share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AHS must simultaneously wind down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link social-service utilization to healthcare outcomes through the Unified Health Data Space;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pPr>
        <w:pStyle w:val="Heading3"/>
        <w:keepNext w:val="0"/>
        <w:rPr/>
      </w:pPr>
      <w:r w:rsidDel="00000000" w:rsidR="00000000" w:rsidRPr="00000000">
        <w:rPr>
          <w:color w:val="161b22"/>
          <w:rtl w:val="0"/>
        </w:rPr>
        <w:t xml:space="preserve">16.2.2  </w:t>
      </w:r>
      <w:r w:rsidDel="00000000" w:rsidR="00000000" w:rsidRPr="00000000">
        <w:rPr>
          <w:b w:val="1"/>
          <w:bCs w:val="1"/>
          <w:color w:val="161b22"/>
          <w:rtl w:val="0"/>
        </w:rPr>
        <w:t xml:space="preserve">What AHS’s Own Review Concluded — Act 119</w:t>
      </w: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The Legislature had already asked AHS to examine its own structure. Act 119 of 2024 directed the Agency to consider options for re-envisioning itself, with final recommendations due November 1, 2025. The review drew on more than 1,000 participants through discussion groups, surveys, and interviews, and AHS presented it to the Senate Committee on Government Operations in February 2026. Its headline recommendation was to keep AHS together and strengthen it as a unified agency, because “feedback consistently favored better coordination over restructuring.” Its structural changes were narrow: integrate clinical substance-use functions into the Department of Mental Health, strengthen DCF as a unified department, and enhance AHS support for Corrections. The rest became operational themes for executive leadership — strengthen alignment and capacity, connect and coordinate services, modernize technology and systems — and AHS sought no legislation that session.</w:t>
      </w:r>
    </w:p>
    <w:p w:rsidR="00000000" w:rsidDel="00000000" w:rsidP="00000000" w:rsidRDefault="00000000" w:rsidRPr="00000000">
      <w:pPr>
        <w:keepNext w:val="0"/>
        <w:rPr/>
      </w:pPr>
      <w:r w:rsidDel="00000000" w:rsidR="00000000" w:rsidRPr="00000000">
        <w:rPr>
          <w:rtl w:val="0"/>
        </w:rPr>
        <w:t xml:space="preserve">That finding sharpens this chapter’s prescription rather than contradicting it. The operating model below does not split the agency or redraw its departments; it adds the coordination layer Act 119’s participants asked for — HSA-level convening and a planning function — and gives it the authority to act. What the Act 119 presentation does not address is the health-system planning role Act 68 assigns AHS. That role, not the agency’s departmental map, is what the restructuring has to serve.</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immediate load is heavy: unwinding the Medicaid hospital global budget CMS found unapproved under the Global Commitment demonstration (payments stopped July 31, 2026; January–July payments reprocessed as fee-for-service by January 7, 2027), renewing that demonstration before it expires on December 31, 2027, and setting the terms of any federal partnership after the July 2026 AHEAD withdrawal.</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outcome reports Act 68 requires through January 1, 2027, the January 2028 plan, and the three-year updates that begin December 1, 2030. The monthly reporting has been a real accountability mechanism, not a formality; when it ends, the plan’s own reporting calendar has to replace it.</w:t>
      </w:r>
    </w:p>
    <w:p w:rsidR="00000000" w:rsidDel="00000000" w:rsidP="00000000" w:rsidRDefault="00000000" w:rsidRPr="00000000" w14:paraId="000012E2">
      <w:pPr>
        <w:rPr/>
      </w:pPr>
      <w:r w:rsidDel="00000000" w:rsidR="00000000" w:rsidRPr="00000000">
        <w:rPr>
          <w:rtl w:val="0"/>
        </w:rPr>
        <w:t xml:space="preserve">The Health Care Delivery Advisory Committee (18 members, chaired by the Secretary of Human Services: the GMCB Chair, the Chief Health Care Advocate, two members of the primary-care steering committee, and representatives of hospitals, FQHCs, commercial insurers, physicians, independent practices, APRNs, designated agencies, independent mental-health clinicians, home health, long-term care, and small business)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~190K; youngest HSA (19.5% aged 65+); +0.8% since 2020</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16 recommended COEs (OW); admin cost $3,826 per adjusted discharge vs. $1,427 benchmark;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~68K; 23.8% aged 65+; flat since 2020; includes the capital</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COEs: geriatric care, infusion, neurology, adult psych, radiation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~60K; 28.0% aged 65+; −1.2% since 2020</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COEs: acute general and minimally invasive surgery, geriatric care, neurology, adult psych (OW); suicide and self-harm ED visits above the state rate (AHS)</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White River Junction</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~50K; 26.6% aged 65+; Dartmouth Health affiliate</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Rehabilitation COE (OW); OW options: rehab and ambulatory-surgery focus, or REH designation (“may be difficult”); shared leadership with Valley Regional</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~47K; 21.4% aged 65+; +1.8% since 2020;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COEs: non-complex cancer surgery, infusion, neurology, radiation (OW)</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~40K; 28.1% aged 65+; −1.5% since 2020</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recommended COEs, the most outside Burlington (OW) — secondary RSC role; adult and adolescent psych COEs</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~29K; 26.1% aged 65+;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COE designations need further discussion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~33K including Townshend; 27.8% aged 65+; −1.4% since 2020</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6 recommended COEs incl. acute general surgery (OW); Windham suicide and self-harm ED visits above the state rate (AHS);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~28K; 26.3% aged 65+; Northeast Kingdom</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One of OW’s four at-risk hospitals; OW calls REH “likely not supportable in the area”; back-office consolidation with NVRH; new EHR</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~28K; 25.7% aged 65+; Northeast Kingdom</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COEs: non-complex cancer surgery, infusion, minimally invasive surgery, radiation (OW); regionalization with North Country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~28K; oldest HSA (29.5% aged 65+); −1.8% since 2020, the steepest decline</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COEs: memory care, adult psych (OW); one of OW’s four at-risk hospitals; plan needed follow-up (January 2026)</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~28K; 23.6% aged 65+; +2.3% since 2020, the fastest growth</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COEs: orthopedics, rheumatology (OW)</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~15K, the smallest HSA; 28.4% aged 65+;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One of OW’s four at-risk hospitals; COE designations need further discussion; also an FQHC, which complicates REH (OW); CAH global budgets by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Brattleboro (Townshend)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Counted within the Brattleboro HSA in VDH estimates; Vermont’s smallest hospital</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One of OW’s four at-risk hospitals, now turning toward FY2026 break-even (Appendix A); OW’s options for it do not include REH — eldercare use of beds, or an ambulatory role with Brattleboro Memorial</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federal strategy after the AHEAD withdrawal (unwinding the Medicaid hospital global budget under CMS’s July 7, 2026 notice, renewing the Global Commitment demonstration before it expires December 31, 2027, terms for any successor federal agreement); Act 68 compliance tracking (RBP by FY2027, global budgets for one or more non-CAH hospitals by FY2028 and all hospitals by FY2030, resources permitting,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or earlier data, about two years behind); HIE strategic development (the Unified Health Data Space, built with the HIE Steering Committee — clinical–claims integration cannot begin before January 1, 2027, and only on a Steering Committee majority vote — the statewide-EHR feasibility and readiness assessment, and the RHT-funded voluntary shared EMR whose program-manager solicitation AHS posted in May 2026); analytics-vendor implementation (the near-term investment with the shortest path to usable output);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the lost federal upside (the EAST Fund cut to a cap near $10M against the ~$138M originally expected, then forgone with the July 2026 AHEAD withdrawal);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(4 of 5 planned new entities certified July 1, 2026,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Awarded to 12 hospitals; Springfield needed follow-up; UVMMC not eligible (Appendix A)</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RFP posted October 21, 2025; contracts nearing completion spring 2026</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new entities (4 of 5 planned certified July 1, 2026)</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Four certified July 2026; fifth pending</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CMS notice July 7, 2026; payments stopped July 31; January–July payments reprocessed as fee-for-service by January 7, 2027</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first-year award (Dec 2025); subrecipient awards began fall 2026</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Draft plans due January 15, 2026; finalized after AHS review</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This chapter’s recommendation, building on Oliver Wyman’s HSA-alignment action;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Oliver Wyman recommended it at GMCB, to assist AHS; this chapter makes it a joint AHS–GMCB function</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Primary-care payment replacement — Medicare’s share ended with OneCare and AHEAD will not restore it</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RHT funds are the interim stopgap; no long-term source identified (AHS, July 2026)</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one or more non-CAH hospitals (resources permitting)</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 (resources permitting)</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first-year award</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December 2025; awards run through FY2030, later years set annually</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an early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falls only by Operations’ own share — no cascade, because Operations is last in the sequence and nothing waits behind it. What weak Operations costs is execution, not score: that gap is this chapter’s argument.</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Act 68 global budgets take effect in FY2028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Vermont hospitals will begin operating under Act 68 global budgets in FY2028. The AHS-GMCB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procurement is underway as of April 2026. The gap between procurement completion and vendor deployment is typically 12 to 18 months for complex health data systems. FY2028 begins in October 2027, 18 months away. This is a manageable timeline that will become an unmanageable one if procurement slips. The people responsible for this procurement — AHS, GMCB, and the legislature that funds them — need to treat October 2027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and reduced ACA premium subsidies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whether GMCB’s budget-order process can serve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April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left the enforcement order in place. Vermont hospitals have contested RBP methodology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draw on an estimated $138.9 million first-year increase in Vermont’s Medicare spending target for a state that invests in population health — a renegotiation cut that to a cap near $10 million before Vermont withdrew from AHEAD in July 2026. Federal capital is available for states that create the regulatory conditions that justify it — but only on terms the federal government can revise. Vermont created those conditions, and the EAST Fund still shrank to a fraction of its promise.</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statutory tools, and the institutional will to enforce budget orders — though, because UVMMC settled rather than litigating to judgment, how far that authority reaches has not been decided by a court.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Act 68’s FY2028 global budgets,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closes when FY2028 begins in October 2027. Everything else is subordinate to having the analytics vendor operational, the global budget methodology finalized, and the first cohort of transformation plans approved before Act 68 global-budget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FY2028?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July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Vermonters outside Chittenden County, leaving one in five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21.7% in 2020 — a roughly 38% increase in the elderly population</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Including 112 family medicine and 190 other primary-care specialties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approved $3.7B (+3.5% vs. 8% requested).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from FY2027,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FY2028–2030; the analytics-vendor procurement (McKinsey, 2025–2026)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Act 68’s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Centralized statewide capacity and interfacility-transfer system;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UVM Health network plan: statewide capacity and transfer system</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UVM Health network plan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oncology expansion;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Cerner CommunityWorks EHR implementation</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EHR implementation cost and staffing; go-live volume disruption</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service repatriation; doc-to-doc telehealth and RPM</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AI scribe and EMR reporting upgrade (2026 grants)</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(posted October 2025; AHS reported in spring 2026 that the analytics contracts were nearing completion)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Act 68’s FY2028 global budgets require.</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NCH Cerner CommunityWorks EHR; UVMH statewide capacity and transfer system; Copley AI charting software; Grace Cottage AI scribe and EMR reporting upgrade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the plans treat it one organization at a time: North Country is replacing its EHR outright, Mt. Ascutney reports that its October 2025 EMR go-live disrupted its data collection, and UVM Health describes advising other organizations on moving to Epic.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(2018–2022),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published data — the highest in the state.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primary-care shortfall by 2030 (including 112 family medicine and 190 other). Oliver Wyman offered an important qualification — only a handful of Vermont areas meet HRSA’s geographic criteria for a primary care Health Professional Shortage Area;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Vermont’s primary-care redesign builds. Vermont’s 11-point white/BIPOC primary-care access gap,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 July 2026 updates)</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Payments stopped July 31, 2026; January–July payments reprocessed as fee-for-service by January 7, 2027 (GCR 26-089)</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implementing -1% commercial-rate benchmark</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($135M savings target)</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approved by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In progress — hospitals in draft-plan phase</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DVHA participation decision pending</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New CCBHC entities certified (RHT target: five)</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Four certified July 1, 2026; fifth pending</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Postponed</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(planned 2027; postponed by CMS in April 2026, no new date)</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non-CAH (PPS) hospitals</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contingent on GMCB resources</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October 1, 2032</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All RHT Program funds must be spent</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$195M award; spending window 2026–2032</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(withdrawn July 2026); HTR APM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annual CMS negotiation</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$48M Vermont savings</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Direct contracting at 110% Medicare; $48M initial savings</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Capital deployment 3–5 yrs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FY2026 award, with annual awards through FY2030,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major specialties incl. cardiac surgery, neurosurgery, complex oncology, NICU, transplant, trauma</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Acute general surgery, cardiology, orthopedics, psychiatry (adult &amp; adolescent), rehab, dermatology, endocrinology, GI, pain</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cardiology, OB/high-risk OB, adult psychiatry, outpatient oncology, GI</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Neurology, adult psychiatry, cancer surgery, radiation therapy, orthopedics</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Radiation therapy, neurology, cardiac, general surgery, obstetrics</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Cancer surgery, radiation oncology, orthopedics, cardiology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Cancer surgery, infusion/chemotherapy, orthopedics, general surgery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care/dementia,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Assessment ongoing — UVM-network affiliation</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Palliative-care specialty worth preserving; 19-bed, Vermont’s smallest</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Among most financially vulnerable — comprehensive assessment needed</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Northeast Kingdom anchor; REH candidacy under assessment</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19 core HTR Research Lab tools referenced throughout the book, plus four technology tools listed after D.2. All are available in the Research Lab at healthtransformationreview.org/research-lab.</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D.2 Risk Stratification Engine — CMS HCC v28 risk adjustment across 20 hierarchical condition categories. Sub-tools: HCC v28 RAF Calculator; Population Risk Segmentation; Custom Risk Model Builder (3 templates); Comorbidity Matrix (Elixhauser 30-condition + Charlson CCI).</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Also on the Interoperability &amp; Risk bench: the EMR/EHR Lab (vendor comparison, five-year adoption-cost model, USCDI data-quality audit, and documentation-workflow simulation); the Statewide EHR Deployment Modeler (ten-year cost, data timeliness, disruption, and vendor lock-in of one statewide EHR versus FHIR exchange across existing platforms); and the FHIR Implementation Guide (the three priority FHIR use cases step by step, with CMS-0057-F and CHPL checks). On the VBC &amp; Clinical Quality bench, Clinical Data Exchange parses HL7 v2 messages, renders FHIR bundles, and browses USCDI data classes side by side.</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D.5 Population Health Modeler — Markov disease progression (5 models, 10-year cohorts); AHRQ Prevention Quality Indicators (10 PQI conditions plus 4 composite measures, AHRQ v2025);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D.6 Health Equity Studio (HEROI) — HEROI composite across five dimensions: Access Equity (25%), Quality Equity (25%), Outcome Equity (25%), SDOH Burden (15%), Trust &amp; Engagement (10%). Sub-tools: Racial/Ethnic Disparity Calculator; Geographic Access Gap Analyzer; SDOH Composite Scoring; Equity-Weighted ICER. Runs on data the user enters or on example presets; it is not connected to VHCURES or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D.7 Policy Simulator — seven 1115 waiver types with six pre-loaded state scenarios; All-Payer Global Budget Designer; Medicaid Expansion Impact Calculator (KFF/CBO methodology);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D.9 Hospital Financial Stress Test — models hospital position under RBP, global-budget, and Medicaid-cut scenarios; 10-year projections under three scenarios with sensitivity analysis. Vermont: GMCB FY2026 data and Oliver Wyman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D.12 AI Clinical Governance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D.13 Digital Health Lab — Remote Patient Monitoring ROI Calculator (CY2026 Medicare rates for CPT 99453, 99454, 99445, 99457, 99470, and 99458; 6 condition modules); Telehealth Utilization Modeler; Patient Engagement Platform Comparison (PAM model, 5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D.14 Evidence Library — CEA/CUA Study Database (25 landmark studies); CMMI Innovation Center Model Tracker (20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D.17 Innovation Leaderboard — State Health Transformation Rankings (50 states + DC); Hospital System VBC Maturity Index (30 systems); Payer Innovation Index (20 payers, 3-year trajectory).</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D.19 The Wire — HTR Intelligence Feed — real-time intelligence across all five pillars.</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early 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only (OneCare ACO)</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Mandatory RBP (FY2027) and global budgets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All hospitals under mandatory global budgets</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No all-payer agreement</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published measures about two years behind</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procurement underway</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 program funded ($1.03M);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6 of 14 in losses (FY2024, GMCB);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FY2025 Hospital Budget Review</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Mandatory RBP (FY2027) enacted;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(267%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$3,826 (unchanged); RHRC engagement underway</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AHEAD not launched; commercial VBC minimal</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Act 68 global budgets take effect FY2028; commercial VBC growing</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90% of PCPs participating</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Blueprint 90%+</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BH ED follow-up (mental health, 30-day)</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76% (unchanged);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BH ED follow-up (SUD, 30-day)</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68% (improving slowly);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0 certified</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5 planned by 2026; 4 certified July 1, 2026 (six statewide)</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Shortage intensifying; 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Blueprint; Oliver Wyman workforce analysis</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14.8% (minimal change)</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GMCB quality data; Blueprint</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BIPOC adults</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79–81% (11–12 pt gap vs. white adults)</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79–81% (gap unchanged)</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BIPOC access</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8% (highest in Vermont)</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8% (unchanged)</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framework developed; scoring underway</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13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Blueprint HRSN screening: 60%+ of practices</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engaged all 14; plans in development</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with approved plans; RHRC engagement complete</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HSA-coordinator model deploying</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PPS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 12+ separate rural agencies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two reports delivered (Aug, Nov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April 2026, and several metrics that show no change in 2026 will shift in 2027–2028 as Act 68 global budgets take effect, RBP takes effect, and the hospital plans move from draft 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 11</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nearly forty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Stress Test, Actuarial Lab, Clinical Quality Optimizer); Population &amp; Equity (Health Equity Studio/HEROI); Technology &amp; AI (HTA Studio, AI Clinical Governance Lab, Digital Health Lab); and Knowledge &amp; Workspace (Evidence Library, Workforce Modeler, Research Workspace, Innovation Leaderboard, VBC Readiness Assessment, CIN &amp; Shared Services Modeler, EMS Transformation Modeler). Specifications for the 19 core tools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(five participating states, and why Vermont withdrew), California CalAIM ($6.7B Medi-Cal transformation),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RHTP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Stress Test, and the Vermont Act 167 and RHTP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24 states have one (APCD Council).</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primary ACO under the All-Payer ACO Model (2017–2025), now wound down.</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Achieving Healthcare Efficiency through Accountable Design model (2024–2035) — federal-state agreements establishing global budgets and a state cost-growth target. Maryland, Connecticut, Hawaii, Rhode Island, and parts of New York participate; Vermont signed in January 2025 and withdrew in July 2026.</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mandatory reference-based pricing by FY2027, global hospital budgets for non-critical-access hospitals by FY2028 and all hospitals by FY2030,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14 sub-state geographic planning units.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AHS-GMCB analytics platform</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Vermont Clinical Transformation Toolkit</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+ 14-hospital regionalization plan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six of fourteen hospitals reporting operating losses in FY2024, down from nine in FY2023,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one now actually applies. The Rural Health Transformation Program provided Vermont $195M for its first year (2026), with amounts for 2027–2030 not yet published — capital funding intended for structural transformation, not operating-loss replacement, and explicitly time-limited. The AHEAD EAST Fund was to draw on an estimated $138.9M first-year increase in Vermont’s Medicare spending target, contingent on Cohort 2 implementation milestones beginning January 2028 — but Vermont withdrew from AHEAD in July 2026, so this funding will not arrive at all (see Chapter 6, §6.6). Medicaid hospital global budgets (HGB) under Vermont’s own design began in January 2026 (in July 2026 CMS ruled them unapproved under the Global Commitment waiver and directed the payments to stop), ahead of the commercial RBP mandate — meaning the Medicaid payer was, perversely, the first to attempt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per year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5-year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 PPS hospitals’ $1,303 per discharge above benchmark)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set Stage 1 to </w:t>
            </w:r>
            <w:r w:rsidDel="00000000" w:rsidR="00000000" w:rsidRPr="00000000">
              <w:rPr>
                <w:i w:val="1"/>
                <w:iCs w:val="1"/>
                <w:sz w:val="20"/>
                <w:szCs w:val="20"/>
                <w:rtl w:val="0"/>
              </w:rPr>
              <w:t xml:space="preserve">voluntary</w:t>
            </w:r>
            <w:r w:rsidDel="00000000" w:rsidR="00000000" w:rsidRPr="00000000">
              <w:rPr>
                <w:sz w:val="20"/>
                <w:szCs w:val="20"/>
                <w:rtl w:val="0"/>
              </w:rPr>
              <w:t xml:space="preserve"> and leave Stage 2 unbuilt. Re-run the </w:t>
            </w:r>
            <w:r w:rsidDel="00000000" w:rsidR="00000000" w:rsidRPr="00000000">
              <w:rPr>
                <w:b w:val="1"/>
                <w:bCs w:val="1"/>
                <w:sz w:val="20"/>
                <w:szCs w:val="20"/>
                <w:rtl w:val="0"/>
              </w:rPr>
              <w:t xml:space="preserve">Transformation Scorecard</w:t>
            </w:r>
            <w:r w:rsidDel="00000000" w:rsidR="00000000" w:rsidRPr="00000000">
              <w:rPr>
                <w:sz w:val="20"/>
                <w:szCs w:val="20"/>
                <w:rtl w:val="0"/>
              </w:rPr>
              <w:t xml:space="preserve">. The composite collapses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Sources: Oliver Wyman Act 167 Report; GMCB analysis.</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 Id="rId82" Type="http://schemas.openxmlformats.org/officeDocument/2006/relationships/image" Target="media/image2.png"/><Relationship Id="rId83"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