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280"/>
      </w:pPr>
    </w:p>
    <w:p>
      <w:pPr>
        <w:jc w:val="center"/>
      </w:pPr>
      <w:r>
        <w:drawing>
          <wp:inline>
            <wp:extent cx="4394423" cy="4343399"/>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4394423" cy="4343399"/>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ON THE PLATFORM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line="240" w:lineRule="auto"/>
        <w:rPr>
          <w:sz w:val="16"/>
        </w:rPr>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brakes.</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line="240" w:lineRule="auto"/>
        <w:rPr>
          <w:sz w:val="16"/>
        </w:rPr>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line="240" w:lineRule="auto"/>
        <w:rPr>
          <w:sz w:val="16"/>
        </w:rPr>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line="240" w:lineRule="auto"/>
        <w:rPr>
          <w:sz w:val="16"/>
        </w:rPr>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the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250"/>
        <w:gridCol w:w="2325"/>
        <w:gridCol w:w="315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250" w:type="dxa"/>
          </w:tcPr>
          <w:p>
            <w:pPr>
              <w:pStyle w:val="Compact"/>
              <w:jc w:val="left"/>
            </w:pPr>
            <w:r>
              <w:rPr>
                <w:b/>
                <w:color w:val="FFFFFF"/>
                <w:sz w:val="18"/>
              </w:rPr>
              <w:t xml:space="preserve">Structural Error</w:t>
            </w:r>
          </w:p>
        </w:tc>
        <w:tc>
          <w:tcPr>
            <w:shd w:val="clear" w:color="auto" w:fill="1B3A6B"/>
            <w:tcW w:w="2325" w:type="dxa"/>
          </w:tcPr>
          <w:p>
            <w:pPr>
              <w:pStyle w:val="Compact"/>
              <w:jc w:val="left"/>
            </w:pPr>
            <w:r>
              <w:rPr>
                <w:b/>
                <w:color w:val="FFFFFF"/>
                <w:sz w:val="18"/>
              </w:rPr>
              <w:t xml:space="preserve">Direct Consequence</w:t>
            </w:r>
          </w:p>
        </w:tc>
        <w:tc>
          <w:tcPr>
            <w:shd w:val="clear" w:color="auto" w:fill="1B3A6B"/>
            <w:tcW w:w="315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250" w:type="dxa"/>
          </w:tcPr>
          <w:p>
            <w:pPr>
              <w:pStyle w:val="Compact"/>
              <w:jc w:val="left"/>
            </w:pPr>
            <w:r>
              <w:rPr>
                <w:sz w:val="18"/>
              </w:rPr>
              <w:t xml:space="preserve">Voluntary participation — no mandate</w:t>
            </w:r>
          </w:p>
        </w:tc>
        <w:tc>
          <w:tcPr>
            <w:tcW w:w="2325" w:type="dxa"/>
          </w:tcPr>
          <w:p>
            <w:pPr>
              <w:pStyle w:val="Compact"/>
              <w:jc w:val="left"/>
            </w:pPr>
            <w:r>
              <w:rPr>
                <w:sz w:val="18"/>
              </w:rPr>
              <w:t xml:space="preserve">High-revenue hospitals opt out; ACO accountable for costs it cannot influence</w:t>
            </w:r>
          </w:p>
        </w:tc>
        <w:tc>
          <w:tcPr>
            <w:tcW w:w="315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250" w:type="dxa"/>
          </w:tcPr>
          <w:p>
            <w:pPr>
              <w:pStyle w:val="Compact"/>
              <w:jc w:val="left"/>
            </w:pPr>
            <w:r>
              <w:rPr>
                <w:sz w:val="18"/>
              </w:rPr>
              <w:t xml:space="preserve">No integrated real-time data; 60–90 day lag</w:t>
            </w:r>
          </w:p>
        </w:tc>
        <w:tc>
          <w:tcPr>
            <w:tcW w:w="23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315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250" w:type="dxa"/>
          </w:tcPr>
          <w:p>
            <w:pPr>
              <w:pStyle w:val="Compact"/>
              <w:jc w:val="left"/>
            </w:pPr>
            <w:r>
              <w:rPr>
                <w:sz w:val="18"/>
              </w:rPr>
              <w:t xml:space="preserve">Payment model assumed risk before technology was ready</w:t>
            </w:r>
          </w:p>
        </w:tc>
        <w:tc>
          <w:tcPr>
            <w:tcW w:w="2325" w:type="dxa"/>
          </w:tcPr>
          <w:p>
            <w:pPr>
              <w:pStyle w:val="Compact"/>
              <w:jc w:val="left"/>
            </w:pPr>
            <w:r>
              <w:rPr>
                <w:sz w:val="18"/>
              </w:rPr>
              <w:t xml:space="preserve">Unexpected losses → cannot demonstrate savings to payers</w:t>
            </w:r>
          </w:p>
        </w:tc>
        <w:tc>
          <w:tcPr>
            <w:tcW w:w="315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250" w:type="dxa"/>
          </w:tcPr>
          <w:p>
            <w:pPr>
              <w:pStyle w:val="Compact"/>
              <w:jc w:val="left"/>
            </w:pPr>
            <w:r>
              <w:rPr>
                <w:sz w:val="18"/>
              </w:rPr>
              <w:t xml:space="preserve">Three gaps mutually reinforcing</w:t>
            </w:r>
          </w:p>
        </w:tc>
        <w:tc>
          <w:tcPr>
            <w:tcW w:w="2325" w:type="dxa"/>
          </w:tcPr>
          <w:p>
            <w:pPr>
              <w:pStyle w:val="Compact"/>
              <w:jc w:val="left"/>
            </w:pPr>
            <w:r>
              <w:rPr>
                <w:sz w:val="18"/>
              </w:rPr>
              <w:t xml:space="preserve">Organizational wind-down after ~10 years</w:t>
            </w:r>
          </w:p>
        </w:tc>
        <w:tc>
          <w:tcPr>
            <w:tcW w:w="315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line="240" w:lineRule="auto"/>
        <w:rPr>
          <w:sz w:val="16"/>
        </w:rPr>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425"/>
        <w:gridCol w:w="3360"/>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425" w:type="dxa"/>
          </w:tcPr>
          <w:p>
            <w:pPr>
              <w:pStyle w:val="Compact"/>
              <w:jc w:val="left"/>
            </w:pPr>
            <w:r>
              <w:rPr>
                <w:b/>
                <w:color w:val="FFFFFF"/>
                <w:sz w:val="18"/>
              </w:rPr>
              <w:t xml:space="preserve">Diagnostic question</w:t>
            </w:r>
          </w:p>
        </w:tc>
        <w:tc>
          <w:tcPr>
            <w:shd w:val="clear" w:color="auto" w:fill="1B3A6B"/>
            <w:tcW w:w="3360"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425" w:type="dxa"/>
          </w:tcPr>
          <w:p>
            <w:pPr>
              <w:pStyle w:val="Compact"/>
              <w:jc w:val="left"/>
            </w:pPr>
            <w:r>
              <w:rPr>
                <w:sz w:val="18"/>
              </w:rPr>
              <w:t xml:space="preserve">Is it permissible?</w:t>
            </w:r>
          </w:p>
        </w:tc>
        <w:tc>
          <w:tcPr>
            <w:tcW w:w="3360"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425" w:type="dxa"/>
          </w:tcPr>
          <w:p>
            <w:pPr>
              <w:pStyle w:val="Compact"/>
              <w:jc w:val="left"/>
            </w:pPr>
            <w:r>
              <w:rPr>
                <w:sz w:val="18"/>
              </w:rPr>
              <w:t xml:space="preserve">Is it possible?</w:t>
            </w:r>
          </w:p>
        </w:tc>
        <w:tc>
          <w:tcPr>
            <w:tcW w:w="3360"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425" w:type="dxa"/>
          </w:tcPr>
          <w:p>
            <w:pPr>
              <w:pStyle w:val="Compact"/>
              <w:jc w:val="left"/>
            </w:pPr>
            <w:r>
              <w:rPr>
                <w:sz w:val="18"/>
              </w:rPr>
              <w:t xml:space="preserve">Is it sustainable?</w:t>
            </w:r>
          </w:p>
        </w:tc>
        <w:tc>
          <w:tcPr>
            <w:tcW w:w="3360"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425" w:type="dxa"/>
          </w:tcPr>
          <w:p>
            <w:pPr>
              <w:pStyle w:val="Compact"/>
              <w:jc w:val="left"/>
            </w:pPr>
            <w:r>
              <w:rPr>
                <w:sz w:val="18"/>
              </w:rPr>
              <w:t xml:space="preserve">Is it effective?</w:t>
            </w:r>
          </w:p>
        </w:tc>
        <w:tc>
          <w:tcPr>
            <w:tcW w:w="3360"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425" w:type="dxa"/>
          </w:tcPr>
          <w:p>
            <w:pPr>
              <w:pStyle w:val="Compact"/>
              <w:jc w:val="left"/>
            </w:pPr>
            <w:r>
              <w:rPr>
                <w:sz w:val="18"/>
              </w:rPr>
              <w:t xml:space="preserve">Is it just?</w:t>
            </w:r>
          </w:p>
        </w:tc>
        <w:tc>
          <w:tcPr>
            <w:tcW w:w="3360"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425" w:type="dxa"/>
          </w:tcPr>
          <w:p>
            <w:pPr>
              <w:pStyle w:val="Compact"/>
              <w:jc w:val="left"/>
            </w:pPr>
            <w:r>
              <w:rPr>
                <w:sz w:val="18"/>
              </w:rPr>
              <w:t xml:space="preserve">Is it executable?</w:t>
            </w:r>
          </w:p>
        </w:tc>
        <w:tc>
          <w:tcPr>
            <w:tcW w:w="3360"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Sources: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accountability mandates</w:t>
            </w:r>
          </w:p>
        </w:tc>
        <w:tc>
          <w:tcPr>
            <w:tcW w:w="1284" w:type="dxa"/>
            <w:vAlign w:val="center"/>
          </w:tcPr>
          <w:p>
            <w:pPr>
              <w:pStyle w:val="Compact"/>
              <w:jc w:val="center"/>
            </w:pPr>
            <w:r>
              <w:rPr>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VBC financial management</w:t>
            </w:r>
          </w:p>
        </w:tc>
        <w:tc>
          <w:tcPr>
            <w:tcW w:w="1284" w:type="dxa"/>
            <w:vAlign w:val="center"/>
          </w:tcPr>
          <w:p>
            <w:pPr>
              <w:pStyle w:val="Compact"/>
              <w:jc w:val="center"/>
            </w:pPr>
            <w:r>
              <w:rPr>
                <w:sz w:val="16"/>
              </w:rPr>
              <w:t xml:space="preserve">[ENABLES] risk stratification</w:t>
            </w:r>
          </w:p>
        </w:tc>
        <w:tc>
          <w:tcPr>
            <w:tcW w:w="1284" w:type="dxa"/>
            <w:vAlign w:val="center"/>
          </w:tcPr>
          <w:p>
            <w:pPr>
              <w:pStyle w:val="Compact"/>
              <w:jc w:val="center"/>
            </w:pPr>
            <w:r>
              <w:rPr>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[DRIVES] financial rationality</w:t>
            </w:r>
          </w:p>
        </w:tc>
        <w:tc>
          <w:tcPr>
            <w:tcW w:w="1284" w:type="dxa"/>
            <w:vAlign w:val="center"/>
          </w:tcPr>
          <w:p>
            <w:pPr>
              <w:pStyle w:val="Compact"/>
              <w:jc w:val="center"/>
            </w:pPr>
            <w:r>
              <w:rPr>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access expansion</w:t>
            </w:r>
          </w:p>
        </w:tc>
        <w:tc>
          <w:tcPr>
            <w:tcW w:w="1284" w:type="dxa"/>
            <w:vAlign w:val="center"/>
          </w:tcPr>
          <w:p>
            <w:pPr>
              <w:pStyle w:val="Compact"/>
              <w:jc w:val="center"/>
            </w:pPr>
            <w:r>
              <w:rPr>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sz w:val="16"/>
              </w:rPr>
              <w:t xml:space="preserve">[ENABLES] data feedback loops</w:t>
            </w:r>
          </w:p>
        </w:tc>
        <w:tc>
          <w:tcPr>
            <w:tcW w:w="1284" w:type="dxa"/>
            <w:vAlign w:val="center"/>
          </w:tcPr>
          <w:p>
            <w:pPr>
              <w:pStyle w:val="Compact"/>
              <w:jc w:val="center"/>
            </w:pPr>
            <w:r>
              <w:rPr>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Sources: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line="240" w:lineRule="auto"/>
        <w:rPr>
          <w:sz w:val="16"/>
        </w:rPr>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line="240" w:lineRule="auto"/>
        <w:rPr>
          <w:sz w:val="16"/>
        </w:rPr>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line="240" w:lineRule="auto"/>
        <w:rPr>
          <w:sz w:val="16"/>
        </w:rPr>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line="240" w:lineRule="auto"/>
        <w:rPr>
          <w:sz w:val="16"/>
        </w:rPr>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line="240" w:lineRule="auto"/>
        <w:rPr>
          <w:sz w:val="16"/>
        </w:rPr>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line="240" w:lineRule="auto"/>
        <w:rPr>
          <w:sz w:val="16"/>
        </w:rPr>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line="240" w:lineRule="auto"/>
        <w:rPr>
          <w:sz w:val="16"/>
        </w:rPr>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line="240" w:lineRule="auto"/>
        <w:rPr>
          <w:sz w:val="16"/>
        </w:rPr>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line="240" w:lineRule="auto"/>
        <w:rPr>
          <w:sz w:val="16"/>
        </w:rPr>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line="240" w:lineRule="auto"/>
        <w:rPr>
          <w:sz w:val="16"/>
        </w:rPr>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line="240" w:lineRule="auto"/>
        <w:rPr>
          <w:sz w:val="16"/>
        </w:rPr>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Sources: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line="240" w:lineRule="auto"/>
        <w:rPr>
          <w:sz w:val="16"/>
        </w:rPr>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line="240" w:lineRule="auto"/>
        <w:rPr>
          <w:sz w:val="16"/>
        </w:rPr>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GO DEEPER —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line="240" w:lineRule="auto"/>
        <w:rPr>
          <w:sz w:val="16"/>
        </w:rPr>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Sources: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140"/>
        <w:gridCol w:w="1185"/>
        <w:gridCol w:w="675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185" w:type="dxa"/>
          </w:tcPr>
          <w:p>
            <w:pPr>
              <w:pStyle w:val="Compact"/>
              <w:jc w:val="left"/>
            </w:pPr>
            <w:r>
              <w:rPr>
                <w:b/>
                <w:color w:val="FFFFFF"/>
                <w:sz w:val="18"/>
              </w:rPr>
              <w:t xml:space="preserve">Status (timeframe)</w:t>
            </w:r>
          </w:p>
        </w:tc>
        <w:tc>
          <w:tcPr>
            <w:shd w:val="clear" w:color="auto" w:fill="1B3A6B"/>
            <w:tcW w:w="6750" w:type="dxa"/>
          </w:tcPr>
          <w:p>
            <w:pPr>
              <w:pStyle w:val="Compact"/>
              <w:jc w:val="left"/>
            </w:pPr>
            <w:r>
              <w:rPr>
                <w:b/>
                <w:color w:val="FFFFFF"/>
                <w:sz w:val="18"/>
              </w:rPr>
              <w:t xml:space="preserve">Where it stands</w:t>
            </w:r>
          </w:p>
        </w:tc>
      </w:tr>
      <w:tr>
        <w:trPr>
          <w:cantSplit/>
        </w:trPr>
        <w:tc>
          <w:tcPr>
            <w:tcW w:w="1140" w:type="dxa"/>
          </w:tcPr>
          <w:p>
            <w:pPr>
              <w:pStyle w:val="Compact"/>
              <w:jc w:val="left"/>
            </w:pPr>
            <w:r>
              <w:rPr>
                <w:b/>
                <w:bCs/>
                <w:sz w:val="18"/>
              </w:rPr>
              <w:t xml:space="preserve">Policy</w:t>
            </w:r>
          </w:p>
        </w:tc>
        <w:tc>
          <w:tcPr>
            <w:tcW w:w="1185" w:type="dxa"/>
          </w:tcPr>
          <w:p>
            <w:pPr>
              <w:pStyle w:val="Compact"/>
              <w:jc w:val="left"/>
            </w:pPr>
            <w:r>
              <w:rPr>
                <w:sz w:val="18"/>
              </w:rPr>
              <w:t xml:space="preserve">Completed (2022–2025)</w:t>
            </w:r>
          </w:p>
        </w:tc>
        <w:tc>
          <w:tcPr>
            <w:tcW w:w="67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140" w:type="dxa"/>
          </w:tcPr>
          <w:p>
            <w:pPr>
              <w:pStyle w:val="Compact"/>
              <w:jc w:val="left"/>
            </w:pPr>
            <w:r>
              <w:rPr>
                <w:b/>
                <w:bCs/>
                <w:sz w:val="18"/>
              </w:rPr>
              <w:t xml:space="preserve">Technology</w:t>
            </w:r>
          </w:p>
        </w:tc>
        <w:tc>
          <w:tcPr>
            <w:tcW w:w="1185" w:type="dxa"/>
          </w:tcPr>
          <w:p>
            <w:pPr>
              <w:pStyle w:val="Compact"/>
              <w:jc w:val="left"/>
            </w:pPr>
            <w:r>
              <w:rPr>
                <w:sz w:val="18"/>
              </w:rPr>
              <w:t xml:space="preserve">In progress (2025–2026)</w:t>
            </w:r>
          </w:p>
        </w:tc>
        <w:tc>
          <w:tcPr>
            <w:tcW w:w="67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140" w:type="dxa"/>
          </w:tcPr>
          <w:p>
            <w:pPr>
              <w:pStyle w:val="Compact"/>
              <w:jc w:val="left"/>
            </w:pPr>
            <w:r>
              <w:rPr>
                <w:b/>
                <w:bCs/>
                <w:sz w:val="18"/>
              </w:rPr>
              <w:t xml:space="preserve">Economics</w:t>
            </w:r>
          </w:p>
        </w:tc>
        <w:tc>
          <w:tcPr>
            <w:tcW w:w="1185" w:type="dxa"/>
          </w:tcPr>
          <w:p>
            <w:pPr>
              <w:pStyle w:val="Compact"/>
              <w:jc w:val="left"/>
            </w:pPr>
            <w:r>
              <w:rPr>
                <w:sz w:val="18"/>
              </w:rPr>
              <w:t xml:space="preserve">Staged (2027–2028)</w:t>
            </w:r>
          </w:p>
        </w:tc>
        <w:tc>
          <w:tcPr>
            <w:tcW w:w="67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140" w:type="dxa"/>
          </w:tcPr>
          <w:p>
            <w:pPr>
              <w:pStyle w:val="Compact"/>
              <w:jc w:val="left"/>
            </w:pPr>
            <w:r>
              <w:rPr>
                <w:b/>
                <w:bCs/>
                <w:sz w:val="18"/>
              </w:rPr>
              <w:t xml:space="preserve">Clinical</w:t>
            </w:r>
          </w:p>
        </w:tc>
        <w:tc>
          <w:tcPr>
            <w:tcW w:w="1185" w:type="dxa"/>
          </w:tcPr>
          <w:p>
            <w:pPr>
              <w:pStyle w:val="Compact"/>
              <w:jc w:val="left"/>
            </w:pPr>
            <w:r>
              <w:rPr>
                <w:sz w:val="18"/>
              </w:rPr>
              <w:t xml:space="preserve">Parallel (2024–2028)</w:t>
            </w:r>
          </w:p>
        </w:tc>
        <w:tc>
          <w:tcPr>
            <w:tcW w:w="67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140" w:type="dxa"/>
          </w:tcPr>
          <w:p>
            <w:pPr>
              <w:pStyle w:val="Compact"/>
              <w:jc w:val="left"/>
            </w:pPr>
            <w:r>
              <w:rPr>
                <w:b/>
                <w:bCs/>
                <w:sz w:val="18"/>
              </w:rPr>
              <w:t xml:space="preserve">Operations</w:t>
            </w:r>
          </w:p>
        </w:tc>
        <w:tc>
          <w:tcPr>
            <w:tcW w:w="1185" w:type="dxa"/>
          </w:tcPr>
          <w:p>
            <w:pPr>
              <w:pStyle w:val="Compact"/>
              <w:jc w:val="left"/>
            </w:pPr>
            <w:r>
              <w:rPr>
                <w:sz w:val="18"/>
              </w:rPr>
              <w:t xml:space="preserve">Building (2025–2028)</w:t>
            </w:r>
          </w:p>
        </w:tc>
        <w:tc>
          <w:tcPr>
            <w:tcW w:w="67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140" w:type="dxa"/>
          </w:tcPr>
          <w:p>
            <w:pPr>
              <w:pStyle w:val="Compact"/>
              <w:jc w:val="left"/>
            </w:pPr>
            <w:r>
              <w:rPr>
                <w:b/>
                <w:bCs/>
                <w:sz w:val="18"/>
              </w:rPr>
              <w:t xml:space="preserve">Equity</w:t>
            </w:r>
          </w:p>
        </w:tc>
        <w:tc>
          <w:tcPr>
            <w:tcW w:w="1185" w:type="dxa"/>
          </w:tcPr>
          <w:p>
            <w:pPr>
              <w:pStyle w:val="Compact"/>
              <w:jc w:val="left"/>
            </w:pPr>
            <w:r>
              <w:rPr>
                <w:sz w:val="18"/>
              </w:rPr>
              <w:t xml:space="preserve">Throughout (2025–2028)</w:t>
            </w:r>
          </w:p>
        </w:tc>
        <w:tc>
          <w:tcPr>
            <w:tcW w:w="67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Sources: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Trace the 15 dependency relationships between the six pillars and see which downstream pillars a given gap disables</w:t>
            </w:r>
          </w:p>
        </w:tc>
        <w:tc>
          <w:tcPr>
            <w:tcW w:w="273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023" w:type="dxa"/>
          </w:tcPr>
          <w:p>
            <w:pPr>
              <w:pStyle w:val="Compact"/>
              <w:jc w:val="left"/>
            </w:pPr>
            <w:r>
              <w:rPr>
                <w:sz w:val="18"/>
              </w:rPr>
              <w:t xml:space="preserve">Click any pillar to highlight what it enables and what it depends on. Confirm visually why Technology sits upstream of Economics.</w:t>
            </w:r>
          </w:p>
        </w:tc>
      </w:tr>
      <w:tr>
        <w:trPr/>
        <w:tc>
          <w:tcPr>
            <w:tcW w:w="3312" w:type="dxa"/>
          </w:tcPr>
          <w:p>
            <w:pPr>
              <w:pStyle w:val="Compact"/>
              <w:jc w:val="left"/>
            </w:pPr>
            <w:r>
              <w:rPr>
                <w:sz w:val="18"/>
              </w:rPr>
              <w:t xml:space="preserve">Score a real organization or state across all six pillars and watch the composite readiness number respond</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312" w:type="dxa"/>
          </w:tcPr>
          <w:p>
            <w:pPr>
              <w:pStyle w:val="Compact"/>
              <w:jc w:val="left"/>
            </w:pPr>
            <w:r>
              <w:rPr>
                <w:sz w:val="18"/>
              </w:rPr>
              <w:t xml:space="preserve">Quantify where reform is losing momentum and which pillar is the binding constraint</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3312" w:type="dxa"/>
          </w:tcPr>
          <w:p>
            <w:pPr>
              <w:pStyle w:val="Compact"/>
              <w:jc w:val="left"/>
            </w:pPr>
            <w:r>
              <w:rPr>
                <w:sz w:val="18"/>
              </w:rPr>
              <w:t xml:space="preserve">Model how one pillar’s shortfall propagates through the other five over time</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1.9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line="240" w:lineRule="auto"/>
        <w:rPr>
          <w:sz w:val="16"/>
        </w:rPr>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t xml:space="preserve"> </w:t>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t xml:space="preserve"> </w:t>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t xml:space="preserve"> </w:t>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t xml:space="preserve"> </w:t>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t xml:space="preserve"> </w:t>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t xml:space="preserve"> </w:t>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t xml:space="preserve"> </w:t>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t xml:space="preserve"> </w:t>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t xml:space="preserve"> </w:t>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t xml:space="preserve"> </w:t>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t xml:space="preserve"> </w:t>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t xml:space="preserve"> </w:t>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line="240" w:lineRule="auto"/>
        <w:rPr>
          <w:sz w:val="16"/>
        </w:rPr>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line="240" w:lineRule="auto"/>
        <w:rPr>
          <w:sz w:val="16"/>
        </w:rPr>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line="240" w:lineRule="auto"/>
        <w:rPr>
          <w:sz w:val="16"/>
        </w:rPr>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2625"/>
        <w:gridCol w:w="6450"/>
      </w:tblGrid>
      <w:tr>
        <w:trPr>
          <w:tblHeader w:val="on"/>
          <w:cantSplit/>
        </w:trPr>
        <w:tc>
          <w:tcPr>
            <w:shd w:val="clear" w:color="auto" w:fill="1B3A6B"/>
            <w:tcW w:w="2625" w:type="dxa"/>
          </w:tcPr>
          <w:p>
            <w:pPr>
              <w:pStyle w:val="Compact"/>
              <w:jc w:val="left"/>
            </w:pPr>
            <w:r>
              <w:rPr>
                <w:b/>
                <w:color w:val="FFFFFF"/>
                <w:sz w:val="18"/>
              </w:rPr>
              <w:t xml:space="preserve">Common perception</w:t>
            </w:r>
          </w:p>
        </w:tc>
        <w:tc>
          <w:tcPr>
            <w:shd w:val="clear" w:color="auto" w:fill="1B3A6B"/>
            <w:tcW w:w="6450" w:type="dxa"/>
          </w:tcPr>
          <w:p>
            <w:pPr>
              <w:pStyle w:val="Compact"/>
              <w:jc w:val="left"/>
            </w:pPr>
            <w:r>
              <w:rPr>
                <w:b/>
                <w:color w:val="FFFFFF"/>
                <w:sz w:val="18"/>
              </w:rPr>
              <w:t xml:space="preserve">What the data actually shows</w:t>
            </w:r>
          </w:p>
        </w:tc>
      </w:tr>
      <w:tr>
        <w:trPr>
          <w:cantSplit/>
        </w:trPr>
        <w:tc>
          <w:tcPr>
            <w:tcW w:w="2625"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6450"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2625" w:type="dxa"/>
          </w:tcPr>
          <w:p>
            <w:pPr>
              <w:pStyle w:val="Compact"/>
              <w:jc w:val="left"/>
            </w:pPr>
            <w:r>
              <w:rPr>
                <w:sz w:val="18"/>
              </w:rPr>
              <w:t xml:space="preserve">Vermont has a statewide ACO (OneCare)</w:t>
            </w:r>
          </w:p>
        </w:tc>
        <w:tc>
          <w:tcPr>
            <w:tcW w:w="6450"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2625" w:type="dxa"/>
          </w:tcPr>
          <w:p>
            <w:pPr>
              <w:pStyle w:val="Compact"/>
              <w:jc w:val="left"/>
            </w:pPr>
            <w:r>
              <w:rPr>
                <w:sz w:val="18"/>
              </w:rPr>
              <w:t xml:space="preserve">Vermont has a functioning State HIE (VITL)</w:t>
            </w:r>
          </w:p>
        </w:tc>
        <w:tc>
          <w:tcPr>
            <w:tcW w:w="6450"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2625" w:type="dxa"/>
          </w:tcPr>
          <w:p>
            <w:pPr>
              <w:pStyle w:val="Compact"/>
              <w:jc w:val="left"/>
            </w:pPr>
            <w:r>
              <w:rPr>
                <w:sz w:val="18"/>
              </w:rPr>
              <w:t xml:space="preserve">Vermont does not have enough primary care providers</w:t>
            </w:r>
          </w:p>
        </w:tc>
        <w:tc>
          <w:tcPr>
            <w:tcW w:w="6450"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Figure 2.1 — Common perceptions of Vermont’s health system versus the data. Sources: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line="240" w:lineRule="auto"/>
        <w:rPr>
          <w:sz w:val="16"/>
        </w:rPr>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Figure 2.2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line="240" w:lineRule="auto"/>
        <w:rPr>
          <w:sz w:val="16"/>
        </w:rPr>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2.3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010"/>
        <w:gridCol w:w="7065"/>
      </w:tblGrid>
      <w:tr>
        <w:trPr>
          <w:tblHeader w:val="on"/>
          <w:cantSplit/>
        </w:trPr>
        <w:tc>
          <w:tcPr>
            <w:shd w:val="clear" w:color="auto" w:fill="1B3A6B"/>
            <w:tcW w:w="2010" w:type="dxa"/>
          </w:tcPr>
          <w:p>
            <w:pPr>
              <w:pStyle w:val="Compact"/>
              <w:jc w:val="left"/>
            </w:pPr>
            <w:r>
              <w:rPr>
                <w:b/>
                <w:color w:val="FFFFFF"/>
                <w:sz w:val="18"/>
              </w:rPr>
              <w:t xml:space="preserve">State / Program</w:t>
            </w:r>
          </w:p>
        </w:tc>
        <w:tc>
          <w:tcPr>
            <w:shd w:val="clear" w:color="auto" w:fill="1B3A6B"/>
            <w:tcW w:w="7065" w:type="dxa"/>
          </w:tcPr>
          <w:p>
            <w:pPr>
              <w:pStyle w:val="Compact"/>
              <w:jc w:val="left"/>
            </w:pPr>
            <w:r>
              <w:rPr>
                <w:b/>
                <w:color w:val="FFFFFF"/>
                <w:sz w:val="18"/>
              </w:rPr>
              <w:t xml:space="preserve">Key design features and outcomes</w:t>
            </w:r>
          </w:p>
        </w:tc>
      </w:tr>
      <w:tr>
        <w:trPr>
          <w:cantSplit/>
        </w:trPr>
        <w:tc>
          <w:tcPr>
            <w:tcW w:w="2010" w:type="dxa"/>
          </w:tcPr>
          <w:p>
            <w:pPr>
              <w:pStyle w:val="Compact"/>
              <w:jc w:val="left"/>
            </w:pPr>
            <w:r>
              <w:rPr>
                <w:sz w:val="18"/>
              </w:rPr>
              <w:t xml:space="preserve">Vermont Act 68</w:t>
            </w:r>
          </w:p>
        </w:tc>
        <w:tc>
          <w:tcPr>
            <w:tcW w:w="7065"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010" w:type="dxa"/>
          </w:tcPr>
          <w:p>
            <w:pPr>
              <w:pStyle w:val="Compact"/>
              <w:jc w:val="left"/>
            </w:pPr>
            <w:r>
              <w:rPr>
                <w:sz w:val="18"/>
              </w:rPr>
              <w:t xml:space="preserve">Oregon (2019)</w:t>
            </w:r>
          </w:p>
        </w:tc>
        <w:tc>
          <w:tcPr>
            <w:tcW w:w="7065"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010" w:type="dxa"/>
          </w:tcPr>
          <w:p>
            <w:pPr>
              <w:pStyle w:val="Compact"/>
              <w:jc w:val="left"/>
            </w:pPr>
            <w:r>
              <w:rPr>
                <w:sz w:val="18"/>
              </w:rPr>
              <w:t xml:space="preserve">Montana (2016)</w:t>
            </w:r>
          </w:p>
        </w:tc>
        <w:tc>
          <w:tcPr>
            <w:tcW w:w="7065"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010" w:type="dxa"/>
          </w:tcPr>
          <w:p>
            <w:pPr>
              <w:pStyle w:val="Compact"/>
              <w:jc w:val="left"/>
            </w:pPr>
            <w:r>
              <w:rPr>
                <w:sz w:val="18"/>
              </w:rPr>
              <w:t xml:space="preserve">Washington (2021)</w:t>
            </w:r>
          </w:p>
        </w:tc>
        <w:tc>
          <w:tcPr>
            <w:tcW w:w="7065"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010" w:type="dxa"/>
          </w:tcPr>
          <w:p>
            <w:pPr>
              <w:pStyle w:val="Compact"/>
              <w:jc w:val="left"/>
            </w:pPr>
            <w:r>
              <w:rPr>
                <w:sz w:val="18"/>
              </w:rPr>
              <w:t xml:space="preserve">Maryland (2014–present)</w:t>
            </w:r>
          </w:p>
        </w:tc>
        <w:tc>
          <w:tcPr>
            <w:tcW w:w="7065"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Figure 2.4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line="240" w:lineRule="auto"/>
        <w:rPr>
          <w:sz w:val="16"/>
        </w:rPr>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Model an 1115 waiver or all-payer global budget design against a pre-loaded state scenario</w:t>
            </w:r>
          </w:p>
        </w:tc>
        <w:tc>
          <w:tcPr>
            <w:tcW w:w="2736"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3"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312" w:type="dxa"/>
          </w:tcPr>
          <w:p>
            <w:pPr>
              <w:pStyle w:val="Compact"/>
              <w:jc w:val="left"/>
            </w:pPr>
            <w:r>
              <w:rPr>
                <w:sz w:val="18"/>
              </w:rPr>
              <w:t xml:space="preserve">Trace how a statutory mandate cascades into operational deadlines</w:t>
            </w:r>
          </w:p>
        </w:tc>
        <w:tc>
          <w:tcPr>
            <w:tcW w:w="2736"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3" w:type="dxa"/>
          </w:tcPr>
          <w:p>
            <w:pPr>
              <w:pStyle w:val="Compact"/>
              <w:jc w:val="left"/>
            </w:pPr>
            <w:r>
              <w:rPr>
                <w:sz w:val="18"/>
              </w:rPr>
              <w:t xml:space="preserve">Map each statutory deadline to the pillar it gates.</w:t>
            </w:r>
          </w:p>
        </w:tc>
      </w:tr>
    </w:tbl>
    <w:p>
      <w:pPr>
        <w:pStyle w:val="Caption"/>
        <w:spacing w:before="120"/>
      </w:pPr>
      <w:r>
        <w:rPr>
          <w:i/>
          <w:iCs/>
        </w:rPr>
        <w:t xml:space="preserve">Figure 2.5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t xml:space="preserve"> </w:t>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t xml:space="preserve"> </w:t>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t xml:space="preserve"> </w:t>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t xml:space="preserve"> </w:t>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t xml:space="preserve"> </w:t>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t xml:space="preserve"> </w:t>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Sources: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Figure 3.2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line="240" w:lineRule="auto"/>
        <w:rPr>
          <w:sz w:val="16"/>
        </w:rPr>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0"/>
        <w:gridCol w:w="2640"/>
        <w:gridCol w:w="2790"/>
        <w:gridCol w:w="2490"/>
      </w:tblGrid>
      <w:tr>
        <w:trPr>
          <w:tblHeader w:val="on"/>
          <w:cantSplit/>
        </w:trPr>
        <w:tc>
          <w:tcPr>
            <w:shd w:val="clear" w:color="auto" w:fill="1B3A6B"/>
            <w:tcW w:w="1140" w:type="dxa"/>
          </w:tcPr>
          <w:p>
            <w:pPr>
              <w:pStyle w:val="Compact"/>
              <w:jc w:val="left"/>
            </w:pPr>
            <w:r>
              <w:rPr>
                <w:b/>
                <w:color w:val="FFFFFF"/>
                <w:sz w:val="18"/>
              </w:rPr>
              <w:t xml:space="preserve">Function</w:t>
            </w:r>
          </w:p>
        </w:tc>
        <w:tc>
          <w:tcPr>
            <w:shd w:val="clear" w:color="auto" w:fill="1B3A6B"/>
            <w:tcW w:w="2640" w:type="dxa"/>
          </w:tcPr>
          <w:p>
            <w:pPr>
              <w:pStyle w:val="Compact"/>
              <w:jc w:val="left"/>
            </w:pPr>
            <w:r>
              <w:rPr>
                <w:b/>
                <w:color w:val="FFFFFF"/>
                <w:sz w:val="18"/>
              </w:rPr>
              <w:t xml:space="preserve">Key activities</w:t>
            </w:r>
          </w:p>
        </w:tc>
        <w:tc>
          <w:tcPr>
            <w:shd w:val="clear" w:color="auto" w:fill="1B3A6B"/>
            <w:tcW w:w="2790" w:type="dxa"/>
          </w:tcPr>
          <w:p>
            <w:pPr>
              <w:pStyle w:val="Compact"/>
              <w:jc w:val="left"/>
            </w:pPr>
            <w:r>
              <w:rPr>
                <w:b/>
                <w:color w:val="FFFFFF"/>
                <w:sz w:val="18"/>
              </w:rPr>
              <w:t xml:space="preserve">Vermont-specific examples</w:t>
            </w:r>
          </w:p>
        </w:tc>
        <w:tc>
          <w:tcPr>
            <w:shd w:val="clear" w:color="auto" w:fill="1B3A6B"/>
            <w:tcW w:w="2490" w:type="dxa"/>
          </w:tcPr>
          <w:p>
            <w:pPr>
              <w:pStyle w:val="Compact"/>
              <w:jc w:val="left"/>
            </w:pPr>
            <w:r>
              <w:rPr>
                <w:b/>
                <w:color w:val="FFFFFF"/>
                <w:sz w:val="18"/>
              </w:rPr>
              <w:t xml:space="preserve">HTR Advisory service</w:t>
            </w:r>
          </w:p>
        </w:tc>
      </w:tr>
      <w:tr>
        <w:trPr>
          <w:cantSplit/>
        </w:trPr>
        <w:tc>
          <w:tcPr>
            <w:tcW w:w="1140" w:type="dxa"/>
          </w:tcPr>
          <w:p>
            <w:pPr>
              <w:pStyle w:val="Compact"/>
              <w:jc w:val="left"/>
            </w:pPr>
            <w:r>
              <w:rPr>
                <w:sz w:val="18"/>
              </w:rPr>
              <w:t xml:space="preserve">Regulatory compliance</w:t>
            </w:r>
          </w:p>
        </w:tc>
        <w:tc>
          <w:tcPr>
            <w:tcW w:w="2640" w:type="dxa"/>
          </w:tcPr>
          <w:p>
            <w:pPr>
              <w:pStyle w:val="Compact"/>
              <w:jc w:val="left"/>
            </w:pPr>
            <w:r>
              <w:rPr>
                <w:sz w:val="18"/>
              </w:rPr>
              <w:t xml:space="preserve">Monitor rulemaking; assess financial and operational impact of new requirements; develop compliance roadmaps; manage comment letter processes</w:t>
            </w:r>
          </w:p>
        </w:tc>
        <w:tc>
          <w:tcPr>
            <w:tcW w:w="2790" w:type="dxa"/>
          </w:tcPr>
          <w:p>
            <w:pPr>
              <w:pStyle w:val="Compact"/>
              <w:jc w:val="left"/>
            </w:pPr>
            <w:r>
              <w:rPr>
                <w:sz w:val="18"/>
              </w:rPr>
              <w:t xml:space="preserve">Act 68 RBP compliance planning for FY2027; AHEAD hospital global budget participation; H.R. 1 Medicaid work requirement implementation timeline</w:t>
            </w:r>
          </w:p>
        </w:tc>
        <w:tc>
          <w:tcPr>
            <w:tcW w:w="2490" w:type="dxa"/>
          </w:tcPr>
          <w:p>
            <w:pPr>
              <w:pStyle w:val="Compact"/>
              <w:jc w:val="left"/>
            </w:pPr>
            <w:r>
              <w:rPr>
                <w:sz w:val="18"/>
              </w:rPr>
              <w:t xml:space="preserve">Policy Strategy service line: Phase 1 Landscape and Exposure Assessment</w:t>
            </w:r>
          </w:p>
        </w:tc>
      </w:tr>
      <w:tr>
        <w:trPr/>
        <w:tc>
          <w:tcPr>
            <w:tcW w:w="1140" w:type="dxa"/>
          </w:tcPr>
          <w:p>
            <w:pPr>
              <w:pStyle w:val="Compact"/>
              <w:jc w:val="left"/>
            </w:pPr>
            <w:r>
              <w:rPr>
                <w:sz w:val="18"/>
              </w:rPr>
              <w:t xml:space="preserve">Opportunity identification</w:t>
            </w:r>
          </w:p>
        </w:tc>
        <w:tc>
          <w:tcPr>
            <w:tcW w:w="2640"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790" w:type="dxa"/>
          </w:tcPr>
          <w:p>
            <w:pPr>
              <w:pStyle w:val="Compact"/>
              <w:jc w:val="left"/>
            </w:pPr>
            <w:r>
              <w:rPr>
                <w:sz w:val="18"/>
              </w:rPr>
              <w:t xml:space="preserve">Vermont hospitals: Act 68 transformation grants ($2M); AHEAD EAST Fund; RHT Program subrecipient grants; BALANCE Model GLP-1 coverage</w:t>
            </w:r>
          </w:p>
        </w:tc>
        <w:tc>
          <w:tcPr>
            <w:tcW w:w="2490" w:type="dxa"/>
          </w:tcPr>
          <w:p>
            <w:pPr>
              <w:pStyle w:val="Compact"/>
              <w:jc w:val="left"/>
            </w:pPr>
            <w:r>
              <w:rPr>
                <w:sz w:val="18"/>
              </w:rPr>
              <w:t xml:space="preserve">Policy Strategy service line: federal program opportunity assessment</w:t>
            </w:r>
          </w:p>
        </w:tc>
      </w:tr>
      <w:tr>
        <w:trPr>
          <w:cantSplit/>
        </w:trPr>
        <w:tc>
          <w:tcPr>
            <w:tcW w:w="1140" w:type="dxa"/>
          </w:tcPr>
          <w:p>
            <w:pPr>
              <w:pStyle w:val="Compact"/>
              <w:jc w:val="left"/>
            </w:pPr>
            <w:r>
              <w:rPr>
                <w:sz w:val="18"/>
              </w:rPr>
              <w:t xml:space="preserve">Policy advocacy</w:t>
            </w:r>
          </w:p>
        </w:tc>
        <w:tc>
          <w:tcPr>
            <w:tcW w:w="2640"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790"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490"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3.3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00"/>
        <w:gridCol w:w="1695"/>
        <w:gridCol w:w="2265"/>
        <w:gridCol w:w="3015"/>
      </w:tblGrid>
      <w:tr>
        <w:trPr>
          <w:tblHeader w:val="on"/>
          <w:cantSplit/>
        </w:trPr>
        <w:tc>
          <w:tcPr>
            <w:shd w:val="clear" w:color="auto" w:fill="1B3A6B"/>
            <w:tcW w:w="2100" w:type="dxa"/>
          </w:tcPr>
          <w:p>
            <w:pPr>
              <w:pStyle w:val="Compact"/>
              <w:jc w:val="left"/>
            </w:pPr>
            <w:r>
              <w:rPr>
                <w:b/>
                <w:color w:val="FFFFFF"/>
                <w:sz w:val="18"/>
              </w:rPr>
              <w:t xml:space="preserve">H.R. 1 Medicaid provision</w:t>
            </w:r>
          </w:p>
        </w:tc>
        <w:tc>
          <w:tcPr>
            <w:shd w:val="clear" w:color="auto" w:fill="1B3A6B"/>
            <w:tcW w:w="1695" w:type="dxa"/>
          </w:tcPr>
          <w:p>
            <w:pPr>
              <w:pStyle w:val="Compact"/>
              <w:jc w:val="left"/>
            </w:pPr>
            <w:r>
              <w:rPr>
                <w:b/>
                <w:color w:val="FFFFFF"/>
                <w:sz w:val="18"/>
              </w:rPr>
              <w:t xml:space="preserve">When it takes effect</w:t>
            </w:r>
          </w:p>
        </w:tc>
        <w:tc>
          <w:tcPr>
            <w:shd w:val="clear" w:color="auto" w:fill="1B3A6B"/>
            <w:tcW w:w="2265" w:type="dxa"/>
          </w:tcPr>
          <w:p>
            <w:pPr>
              <w:pStyle w:val="Compact"/>
              <w:jc w:val="left"/>
            </w:pPr>
            <w:r>
              <w:rPr>
                <w:b/>
                <w:color w:val="FFFFFF"/>
                <w:sz w:val="18"/>
              </w:rPr>
              <w:t xml:space="preserve">Financial impact</w:t>
            </w:r>
          </w:p>
        </w:tc>
        <w:tc>
          <w:tcPr>
            <w:shd w:val="clear" w:color="auto" w:fill="1B3A6B"/>
            <w:tcW w:w="3015" w:type="dxa"/>
          </w:tcPr>
          <w:p>
            <w:pPr>
              <w:pStyle w:val="Compact"/>
              <w:jc w:val="left"/>
            </w:pPr>
            <w:r>
              <w:rPr>
                <w:b/>
                <w:color w:val="FFFFFF"/>
                <w:sz w:val="18"/>
              </w:rPr>
              <w:t xml:space="preserve">Vermont-specific implications</w:t>
            </w:r>
          </w:p>
        </w:tc>
      </w:tr>
      <w:tr>
        <w:trPr>
          <w:cantSplit/>
        </w:trPr>
        <w:tc>
          <w:tcPr>
            <w:tcW w:w="2100" w:type="dxa"/>
          </w:tcPr>
          <w:p>
            <w:pPr>
              <w:pStyle w:val="Compact"/>
              <w:jc w:val="left"/>
            </w:pPr>
            <w:r>
              <w:rPr>
                <w:sz w:val="18"/>
              </w:rPr>
              <w:t xml:space="preserve">Provider tax restrictions: ban on new or higher provider taxes in expansion states; phase-down of existing taxes</w:t>
            </w:r>
          </w:p>
        </w:tc>
        <w:tc>
          <w:tcPr>
            <w:tcW w:w="1695" w:type="dxa"/>
          </w:tcPr>
          <w:p>
            <w:pPr>
              <w:pStyle w:val="Compact"/>
              <w:jc w:val="left"/>
            </w:pPr>
            <w:r>
              <w:rPr>
                <w:sz w:val="18"/>
              </w:rPr>
              <w:t xml:space="preserve">In effect for new taxes; phase-down beginning 2027</w:t>
            </w:r>
          </w:p>
        </w:tc>
        <w:tc>
          <w:tcPr>
            <w:tcW w:w="2265" w:type="dxa"/>
          </w:tcPr>
          <w:p>
            <w:pPr>
              <w:pStyle w:val="Compact"/>
              <w:jc w:val="left"/>
            </w:pPr>
            <w:r>
              <w:rPr>
                <w:sz w:val="18"/>
              </w:rPr>
              <w:t xml:space="preserve">Reduces states’ ability to finance their Medicaid matching share; intensifies pressure on state Medicaid budgets</w:t>
            </w:r>
          </w:p>
        </w:tc>
        <w:tc>
          <w:tcPr>
            <w:tcW w:w="3015" w:type="dxa"/>
          </w:tcPr>
          <w:p>
            <w:pPr>
              <w:pStyle w:val="Compact"/>
              <w:jc w:val="left"/>
            </w:pPr>
            <w:r>
              <w:rPr>
                <w:sz w:val="18"/>
              </w:rPr>
              <w:t xml:space="preserve">Vermont’s financing mechanisms will need review; state budget implications require modeling through 2031</w:t>
            </w:r>
          </w:p>
        </w:tc>
      </w:tr>
      <w:tr>
        <w:trPr/>
        <w:tc>
          <w:tcPr>
            <w:tcW w:w="2100" w:type="dxa"/>
          </w:tcPr>
          <w:p>
            <w:pPr>
              <w:pStyle w:val="Compact"/>
              <w:jc w:val="left"/>
            </w:pPr>
            <w:r>
              <w:rPr>
                <w:sz w:val="18"/>
              </w:rPr>
              <w:t xml:space="preserve">State-directed payment caps at 100% of Medicare (expansion states)</w:t>
            </w:r>
          </w:p>
        </w:tc>
        <w:tc>
          <w:tcPr>
            <w:tcW w:w="1695" w:type="dxa"/>
          </w:tcPr>
          <w:p>
            <w:pPr>
              <w:pStyle w:val="Compact"/>
              <w:jc w:val="left"/>
            </w:pPr>
            <w:r>
              <w:rPr>
                <w:sz w:val="18"/>
              </w:rPr>
              <w:t xml:space="preserve">2027</w:t>
            </w:r>
          </w:p>
        </w:tc>
        <w:tc>
          <w:tcPr>
            <w:tcW w:w="2265"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3015"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00" w:type="dxa"/>
          </w:tcPr>
          <w:p>
            <w:pPr>
              <w:pStyle w:val="Compact"/>
              <w:jc w:val="left"/>
            </w:pPr>
            <w:r>
              <w:rPr>
                <w:sz w:val="18"/>
              </w:rPr>
              <w:t xml:space="preserve">Work and community engagement requirements (80 hours/month)</w:t>
            </w:r>
          </w:p>
        </w:tc>
        <w:tc>
          <w:tcPr>
            <w:tcW w:w="1695" w:type="dxa"/>
          </w:tcPr>
          <w:p>
            <w:pPr>
              <w:pStyle w:val="Compact"/>
              <w:jc w:val="left"/>
            </w:pPr>
            <w:r>
              <w:rPr>
                <w:sz w:val="18"/>
              </w:rPr>
              <w:t xml:space="preserve">Late 2026 (states must implement by December 31, 2026)</w:t>
            </w:r>
          </w:p>
        </w:tc>
        <w:tc>
          <w:tcPr>
            <w:tcW w:w="2265"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3015"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00" w:type="dxa"/>
          </w:tcPr>
          <w:p>
            <w:pPr>
              <w:pStyle w:val="Compact"/>
              <w:jc w:val="left"/>
            </w:pPr>
            <w:r>
              <w:rPr>
                <w:sz w:val="18"/>
              </w:rPr>
              <w:t xml:space="preserve">Eligibility redetermination every 6 months (vs. annual)</w:t>
            </w:r>
          </w:p>
        </w:tc>
        <w:tc>
          <w:tcPr>
            <w:tcW w:w="1695" w:type="dxa"/>
          </w:tcPr>
          <w:p>
            <w:pPr>
              <w:pStyle w:val="Compact"/>
              <w:jc w:val="left"/>
            </w:pPr>
            <w:r>
              <w:rPr>
                <w:sz w:val="18"/>
              </w:rPr>
              <w:t xml:space="preserve">2026</w:t>
            </w:r>
          </w:p>
        </w:tc>
        <w:tc>
          <w:tcPr>
            <w:tcW w:w="2265"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3015"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00" w:type="dxa"/>
          </w:tcPr>
          <w:p>
            <w:pPr>
              <w:pStyle w:val="Compact"/>
              <w:jc w:val="left"/>
            </w:pPr>
            <w:r>
              <w:rPr>
                <w:sz w:val="18"/>
              </w:rPr>
              <w:t xml:space="preserve">Medicaid reimbursement reductions (DSH cuts, payment rate changes)</w:t>
            </w:r>
          </w:p>
        </w:tc>
        <w:tc>
          <w:tcPr>
            <w:tcW w:w="1695" w:type="dxa"/>
          </w:tcPr>
          <w:p>
            <w:pPr>
              <w:pStyle w:val="Compact"/>
              <w:jc w:val="left"/>
            </w:pPr>
            <w:r>
              <w:rPr>
                <w:sz w:val="18"/>
              </w:rPr>
              <w:t xml:space="preserve">2026–2031 (phased)</w:t>
            </w:r>
          </w:p>
        </w:tc>
        <w:tc>
          <w:tcPr>
            <w:tcW w:w="2265" w:type="dxa"/>
          </w:tcPr>
          <w:p>
            <w:pPr>
              <w:pStyle w:val="Compact"/>
              <w:jc w:val="left"/>
            </w:pPr>
            <w:r>
              <w:rPr>
                <w:sz w:val="18"/>
              </w:rPr>
              <w:t xml:space="preserve">$911B over 10 years nationally; $137B in rural areas; hospitals will experience revenue reductions</w:t>
            </w:r>
          </w:p>
        </w:tc>
        <w:tc>
          <w:tcPr>
            <w:tcW w:w="3015"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3.4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Estimate Medicaid coverage loss under H.R. 1’s work-requirement and eligibility provisions</w:t>
            </w:r>
          </w:p>
        </w:tc>
        <w:tc>
          <w:tcPr>
            <w:tcW w:w="2736"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3" w:type="dxa"/>
          </w:tcPr>
          <w:p>
            <w:pPr>
              <w:pStyle w:val="Compact"/>
              <w:jc w:val="left"/>
            </w:pPr>
            <w:r>
              <w:rPr>
                <w:sz w:val="18"/>
              </w:rPr>
              <w:t xml:space="preserve">The gap between nominal exemptions and real-world coverage loss from administrative churn.</w:t>
            </w:r>
          </w:p>
        </w:tc>
      </w:tr>
      <w:tr>
        <w:trPr/>
        <w:tc>
          <w:tcPr>
            <w:tcW w:w="3312" w:type="dxa"/>
          </w:tcPr>
          <w:p>
            <w:pPr>
              <w:pStyle w:val="Compact"/>
              <w:jc w:val="left"/>
            </w:pPr>
            <w:r>
              <w:rPr>
                <w:sz w:val="18"/>
              </w:rPr>
              <w:t xml:space="preserve">Model the H.R. 1 funding cliff for a state’s Medicaid program</w:t>
            </w:r>
          </w:p>
        </w:tc>
        <w:tc>
          <w:tcPr>
            <w:tcW w:w="2736"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3" w:type="dxa"/>
          </w:tcPr>
          <w:p>
            <w:pPr>
              <w:pStyle w:val="Compact"/>
              <w:jc w:val="left"/>
            </w:pPr>
            <w:r>
              <w:rPr>
                <w:sz w:val="18"/>
              </w:rPr>
              <w:t xml:space="preserve">How federal policy shifts the financial assumptions every downstream pillar depends on.</w:t>
            </w:r>
          </w:p>
        </w:tc>
      </w:tr>
      <w:tr>
        <w:trPr>
          <w:cantSplit/>
        </w:trPr>
        <w:tc>
          <w:tcPr>
            <w:tcW w:w="3312" w:type="dxa"/>
          </w:tcPr>
          <w:p>
            <w:pPr>
              <w:pStyle w:val="Compact"/>
              <w:jc w:val="left"/>
            </w:pPr>
            <w:r>
              <w:rPr>
                <w:sz w:val="18"/>
              </w:rPr>
              <w:t xml:space="preserve">Test eligibility outcomes for a specific household</w:t>
            </w:r>
          </w:p>
        </w:tc>
        <w:tc>
          <w:tcPr>
            <w:tcW w:w="2736"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3"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3.5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t xml:space="preserve"> </w:t>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t xml:space="preserve"> </w:t>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t xml:space="preserve"> </w:t>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t xml:space="preserve"> </w:t>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t xml:space="preserve"> </w:t>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t xml:space="preserve"> </w:t>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t xml:space="preserve"> </w:t>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225"/>
        <w:gridCol w:w="5835"/>
      </w:tblGrid>
      <w:tr>
        <w:trPr>
          <w:tblHeader w:val="on"/>
          <w:cantSplit/>
        </w:trPr>
        <w:tc>
          <w:tcPr>
            <w:shd w:val="clear" w:color="auto" w:fill="1B3A6B"/>
            <w:tcW w:w="3225" w:type="dxa"/>
          </w:tcPr>
          <w:p>
            <w:pPr>
              <w:pStyle w:val="Compact"/>
            </w:pPr>
            <w:r>
              <w:rPr>
                <w:b/>
                <w:color w:val="FFFFFF"/>
                <w:sz w:val="18"/>
              </w:rPr>
              <w:t xml:space="preserve">Layer</w:t>
            </w:r>
          </w:p>
        </w:tc>
        <w:tc>
          <w:tcPr>
            <w:shd w:val="clear" w:color="auto" w:fill="1B3A6B"/>
            <w:tcW w:w="5835" w:type="dxa"/>
          </w:tcPr>
          <w:p>
            <w:pPr>
              <w:pStyle w:val="Compact"/>
            </w:pPr>
            <w:r>
              <w:rPr>
                <w:b/>
                <w:color w:val="FFFFFF"/>
                <w:sz w:val="18"/>
              </w:rPr>
              <w:t xml:space="preserve">Role in the data stack</w:t>
            </w:r>
          </w:p>
        </w:tc>
      </w:tr>
      <w:tr>
        <w:trPr>
          <w:cantSplit/>
        </w:trPr>
        <w:tc>
          <w:tcPr>
            <w:tcW w:w="3225"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835"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225"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835"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225"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835"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Sources: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485"/>
        <w:gridCol w:w="5010"/>
        <w:gridCol w:w="2580"/>
      </w:tblGrid>
      <w:tr>
        <w:trPr>
          <w:tblHeader w:val="on"/>
          <w:cantSplit/>
        </w:trPr>
        <w:tc>
          <w:tcPr>
            <w:shd w:val="clear" w:color="auto" w:fill="1B3A6B"/>
            <w:tcW w:w="1485" w:type="dxa"/>
          </w:tcPr>
          <w:p>
            <w:pPr>
              <w:pStyle w:val="Compact"/>
              <w:jc w:val="left"/>
            </w:pPr>
            <w:r>
              <w:rPr>
                <w:b/>
                <w:color w:val="FFFFFF"/>
                <w:sz w:val="18"/>
              </w:rPr>
              <w:t xml:space="preserve">Limitation</w:t>
            </w:r>
          </w:p>
        </w:tc>
        <w:tc>
          <w:tcPr>
            <w:shd w:val="clear" w:color="auto" w:fill="1B3A6B"/>
            <w:tcW w:w="5010" w:type="dxa"/>
          </w:tcPr>
          <w:p>
            <w:pPr>
              <w:pStyle w:val="Compact"/>
              <w:jc w:val="left"/>
            </w:pPr>
            <w:r>
              <w:rPr>
                <w:b/>
                <w:color w:val="FFFFFF"/>
                <w:sz w:val="18"/>
              </w:rPr>
              <w:t xml:space="preserve">What it means for transformation</w:t>
            </w:r>
          </w:p>
        </w:tc>
        <w:tc>
          <w:tcPr>
            <w:shd w:val="clear" w:color="auto" w:fill="1B3A6B"/>
            <w:tcW w:w="2580" w:type="dxa"/>
          </w:tcPr>
          <w:p>
            <w:pPr>
              <w:pStyle w:val="Compact"/>
              <w:jc w:val="left"/>
            </w:pPr>
            <w:r>
              <w:rPr>
                <w:b/>
                <w:color w:val="FFFFFF"/>
                <w:sz w:val="18"/>
              </w:rPr>
              <w:t xml:space="preserve">Required improvement</w:t>
            </w:r>
          </w:p>
        </w:tc>
      </w:tr>
      <w:tr>
        <w:trPr>
          <w:cantSplit/>
        </w:trPr>
        <w:tc>
          <w:tcPr>
            <w:tcW w:w="1485" w:type="dxa"/>
          </w:tcPr>
          <w:p>
            <w:pPr>
              <w:pStyle w:val="Compact"/>
              <w:jc w:val="left"/>
            </w:pPr>
            <w:r>
              <w:rPr>
                <w:sz w:val="18"/>
              </w:rPr>
              <w:t xml:space="preserve">Incomplete commercial coverage (60%)</w:t>
            </w:r>
          </w:p>
        </w:tc>
        <w:tc>
          <w:tcPr>
            <w:tcW w:w="501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580"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485" w:type="dxa"/>
          </w:tcPr>
          <w:p>
            <w:pPr>
              <w:pStyle w:val="Compact"/>
              <w:jc w:val="left"/>
            </w:pPr>
            <w:r>
              <w:rPr>
                <w:sz w:val="18"/>
              </w:rPr>
              <w:t xml:space="preserve">Data lag of 12-18+ months</w:t>
            </w:r>
          </w:p>
        </w:tc>
        <w:tc>
          <w:tcPr>
            <w:tcW w:w="501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580"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485" w:type="dxa"/>
          </w:tcPr>
          <w:p>
            <w:pPr>
              <w:pStyle w:val="Compact"/>
              <w:jc w:val="left"/>
            </w:pPr>
            <w:r>
              <w:rPr>
                <w:sz w:val="18"/>
              </w:rPr>
              <w:t xml:space="preserve">No behavioral health or SDOH data integration</w:t>
            </w:r>
          </w:p>
        </w:tc>
        <w:tc>
          <w:tcPr>
            <w:tcW w:w="501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580"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485" w:type="dxa"/>
          </w:tcPr>
          <w:p>
            <w:pPr>
              <w:pStyle w:val="Compact"/>
              <w:jc w:val="left"/>
            </w:pPr>
            <w:r>
              <w:rPr>
                <w:sz w:val="18"/>
              </w:rPr>
              <w:t xml:space="preserve">No clinical results, only billing records</w:t>
            </w:r>
          </w:p>
        </w:tc>
        <w:tc>
          <w:tcPr>
            <w:tcW w:w="501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580"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4.2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line="240" w:lineRule="auto"/>
        <w:rPr>
          <w:sz w:val="16"/>
        </w:rPr>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05"/>
        <w:gridCol w:w="3225"/>
        <w:gridCol w:w="1815"/>
        <w:gridCol w:w="2445"/>
      </w:tblGrid>
      <w:tr>
        <w:trPr>
          <w:tblHeader w:val="on"/>
          <w:cantSplit/>
        </w:trPr>
        <w:tc>
          <w:tcPr>
            <w:shd w:val="clear" w:color="auto" w:fill="1B3A6B"/>
            <w:tcW w:w="1605" w:type="dxa"/>
          </w:tcPr>
          <w:p>
            <w:pPr>
              <w:pStyle w:val="Compact"/>
              <w:jc w:val="left"/>
            </w:pPr>
            <w:r>
              <w:rPr>
                <w:b/>
                <w:color w:val="FFFFFF"/>
                <w:sz w:val="18"/>
              </w:rPr>
              <w:t xml:space="preserve">Step</w:t>
            </w:r>
          </w:p>
        </w:tc>
        <w:tc>
          <w:tcPr>
            <w:shd w:val="clear" w:color="auto" w:fill="1B3A6B"/>
            <w:tcW w:w="322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05" w:type="dxa"/>
          </w:tcPr>
          <w:p>
            <w:pPr>
              <w:pStyle w:val="Compact"/>
              <w:jc w:val="left"/>
            </w:pPr>
            <w:r>
              <w:rPr>
                <w:sz w:val="18"/>
              </w:rPr>
              <w:t xml:space="preserve">1. VHCURES-VHIE claims-clinical integration</w:t>
            </w:r>
          </w:p>
        </w:tc>
        <w:tc>
          <w:tcPr>
            <w:tcW w:w="322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05" w:type="dxa"/>
          </w:tcPr>
          <w:p>
            <w:pPr>
              <w:pStyle w:val="Compact"/>
              <w:jc w:val="left"/>
            </w:pPr>
            <w:r>
              <w:rPr>
                <w:sz w:val="18"/>
              </w:rPr>
              <w:t xml:space="preserve">2. Mental health and SUD data integration</w:t>
            </w:r>
          </w:p>
        </w:tc>
        <w:tc>
          <w:tcPr>
            <w:tcW w:w="322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05" w:type="dxa"/>
          </w:tcPr>
          <w:p>
            <w:pPr>
              <w:pStyle w:val="Compact"/>
              <w:jc w:val="left"/>
            </w:pPr>
            <w:r>
              <w:rPr>
                <w:sz w:val="18"/>
              </w:rPr>
              <w:t xml:space="preserve">3. SDOH data integration</w:t>
            </w:r>
          </w:p>
        </w:tc>
        <w:tc>
          <w:tcPr>
            <w:tcW w:w="322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050"/>
        <w:gridCol w:w="3105"/>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050" w:type="dxa"/>
          </w:tcPr>
          <w:p>
            <w:pPr>
              <w:pStyle w:val="Compact"/>
              <w:jc w:val="left"/>
            </w:pPr>
            <w:r>
              <w:rPr>
                <w:b/>
                <w:color w:val="FFFFFF"/>
                <w:sz w:val="18"/>
              </w:rPr>
              <w:t xml:space="preserve">Name</w:t>
            </w:r>
          </w:p>
        </w:tc>
        <w:tc>
          <w:tcPr>
            <w:shd w:val="clear" w:color="auto" w:fill="1B3A6B"/>
            <w:tcW w:w="3105"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050" w:type="dxa"/>
          </w:tcPr>
          <w:p>
            <w:pPr>
              <w:pStyle w:val="Compact"/>
              <w:jc w:val="left"/>
            </w:pPr>
            <w:r>
              <w:rPr>
                <w:sz w:val="18"/>
              </w:rPr>
              <w:t xml:space="preserve">End-User Services</w:t>
            </w:r>
          </w:p>
        </w:tc>
        <w:tc>
          <w:tcPr>
            <w:tcW w:w="3105"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050" w:type="dxa"/>
          </w:tcPr>
          <w:p>
            <w:pPr>
              <w:pStyle w:val="Compact"/>
              <w:jc w:val="left"/>
            </w:pPr>
            <w:r>
              <w:rPr>
                <w:sz w:val="18"/>
              </w:rPr>
              <w:t xml:space="preserve">Exchange Services</w:t>
            </w:r>
          </w:p>
        </w:tc>
        <w:tc>
          <w:tcPr>
            <w:tcW w:w="3105"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050" w:type="dxa"/>
          </w:tcPr>
          <w:p>
            <w:pPr>
              <w:pStyle w:val="Compact"/>
              <w:jc w:val="left"/>
            </w:pPr>
            <w:r>
              <w:rPr>
                <w:sz w:val="18"/>
              </w:rPr>
              <w:t xml:space="preserve">Foundational Services</w:t>
            </w:r>
          </w:p>
        </w:tc>
        <w:tc>
          <w:tcPr>
            <w:tcW w:w="3105"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4.4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4.5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4.6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455"/>
        <w:gridCol w:w="7620"/>
      </w:tblGrid>
      <w:tr>
        <w:trPr>
          <w:tblHeader w:val="on"/>
          <w:cantSplit/>
        </w:trPr>
        <w:tc>
          <w:tcPr>
            <w:shd w:val="clear" w:color="auto" w:fill="1B3A6B"/>
            <w:tcW w:w="1455" w:type="dxa"/>
          </w:tcPr>
          <w:p>
            <w:pPr>
              <w:pStyle w:val="Compact"/>
            </w:pPr>
            <w:r>
              <w:rPr>
                <w:b/>
                <w:color w:val="FFFFFF"/>
                <w:sz w:val="18"/>
              </w:rPr>
              <w:t xml:space="preserve">Layer</w:t>
            </w:r>
          </w:p>
        </w:tc>
        <w:tc>
          <w:tcPr>
            <w:shd w:val="clear" w:color="auto" w:fill="1B3A6B"/>
            <w:tcW w:w="7620" w:type="dxa"/>
          </w:tcPr>
          <w:p>
            <w:pPr>
              <w:pStyle w:val="Compact"/>
            </w:pPr>
            <w:r>
              <w:rPr>
                <w:b/>
                <w:color w:val="FFFFFF"/>
                <w:sz w:val="18"/>
              </w:rPr>
              <w:t xml:space="preserve">Components</w:t>
            </w:r>
          </w:p>
        </w:tc>
      </w:tr>
      <w:tr>
        <w:trPr>
          <w:cantSplit/>
        </w:trPr>
        <w:tc>
          <w:tcPr>
            <w:tcW w:w="1455"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62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455"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62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455"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62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455"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62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455"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62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FHIR R4 resources and map terminology across ICD-10, SNOMED, LOINC, RxNorm</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312" w:type="dxa"/>
          </w:tcPr>
          <w:p>
            <w:pPr>
              <w:pStyle w:val="Compact"/>
              <w:jc w:val="left"/>
            </w:pPr>
            <w:r>
              <w:rPr>
                <w:sz w:val="18"/>
              </w:rPr>
              <w:t xml:space="preserve">Stratify a population by CMS-HCC risk and see the attribution that global budgets require</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Why technology must precede economics: you cannot manage a budget for a population you cannot see.</w:t>
            </w:r>
          </w:p>
        </w:tc>
      </w:tr>
      <w:tr>
        <w:trPr/>
        <w:tc>
          <w:tcPr>
            <w:tcW w:w="3312" w:type="dxa"/>
          </w:tcPr>
          <w:p>
            <w:pPr>
              <w:pStyle w:val="Compact"/>
              <w:jc w:val="left"/>
            </w:pPr>
            <w:r>
              <w:rPr>
                <w:sz w:val="18"/>
              </w:rPr>
              <w:t xml:space="preserve">Compare EHR vendors, model adoption cost and 5-year ROI, and audit a record’s USCDI data quality</w:t>
            </w:r>
          </w:p>
        </w:tc>
        <w:tc>
          <w:tcPr>
            <w:tcW w:w="2736"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3"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312" w:type="dxa"/>
          </w:tcPr>
          <w:p>
            <w:pPr>
              <w:pStyle w:val="Compact"/>
              <w:jc w:val="left"/>
            </w:pPr>
            <w:r>
              <w:rPr>
                <w:sz w:val="18"/>
              </w:rPr>
              <w:t xml:space="preserve">Weigh a single statewide EHR against FHIR interoperability across Vermont’s existing platforms</w:t>
            </w:r>
          </w:p>
        </w:tc>
        <w:tc>
          <w:tcPr>
            <w:tcW w:w="2736"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3"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4.8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t xml:space="preserve"> </w:t>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t xml:space="preserve"> </w:t>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t xml:space="preserve"> </w:t>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t xml:space="preserve"> </w:t>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t xml:space="preserve"> </w:t>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t xml:space="preserve"> </w:t>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t xml:space="preserve"> </w:t>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t xml:space="preserve"> </w:t>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t xml:space="preserve"> </w:t>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line="240" w:lineRule="auto"/>
        <w:rPr>
          <w:sz w:val="16"/>
        </w:rPr>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Caption"/>
        <w:spacing w:before="120"/>
      </w:pPr>
      <w:r>
        <w:rPr>
          <w:i/>
          <w:iCs/>
        </w:rPr>
        <w:t xml:space="preserve">Figure 5.3 — Technology pillar implementation matrix. Sources: HTR Advisory; Vermont RHT Program (2025); CMS interoperability rule.</w:t>
      </w:r>
    </w:p>
    <w:p>
      <w:pPr>
        <w:pStyle w:val="Heading2"/>
        <w:pBdr>
          <w:top w:val="single" w:sz="6" w:space="10" w:color="C9D2DF"/>
        </w:pBdr>
        <w:keepNext w:val="false"/>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an AI clinical governance framework across the model lifecycle</w:t>
            </w:r>
          </w:p>
        </w:tc>
        <w:tc>
          <w:tcPr>
            <w:tcW w:w="2736"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3" w:type="dxa"/>
          </w:tcPr>
          <w:p>
            <w:pPr>
              <w:pStyle w:val="Compact"/>
              <w:jc w:val="left"/>
            </w:pPr>
            <w:r>
              <w:rPr>
                <w:sz w:val="18"/>
              </w:rPr>
              <w:t xml:space="preserve">The 65-item checklist as a go/no-go gate before any clinical AI deployment.</w:t>
            </w:r>
          </w:p>
        </w:tc>
      </w:tr>
      <w:tr>
        <w:trPr/>
        <w:tc>
          <w:tcPr>
            <w:tcW w:w="3312" w:type="dxa"/>
          </w:tcPr>
          <w:p>
            <w:pPr>
              <w:pStyle w:val="Compact"/>
              <w:jc w:val="left"/>
            </w:pPr>
            <w:r>
              <w:rPr>
                <w:sz w:val="18"/>
              </w:rPr>
              <w:t xml:space="preserve">Model RPM and telehealth ROI by condition and CPT code</w:t>
            </w:r>
          </w:p>
        </w:tc>
        <w:tc>
          <w:tcPr>
            <w:tcW w:w="2736"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3" w:type="dxa"/>
          </w:tcPr>
          <w:p>
            <w:pPr>
              <w:pStyle w:val="Compact"/>
              <w:jc w:val="left"/>
            </w:pPr>
            <w:r>
              <w:rPr>
                <w:sz w:val="18"/>
              </w:rPr>
              <w:t xml:space="preserve">Where digital health earns its cost — and where it adds alert fatigue without value.</w:t>
            </w:r>
          </w:p>
        </w:tc>
      </w:tr>
      <w:tr>
        <w:trPr/>
        <w:tc>
          <w:tcPr>
            <w:tcW w:w="3312" w:type="dxa"/>
          </w:tcPr>
          <w:p>
            <w:pPr>
              <w:pStyle w:val="Compact"/>
              <w:jc w:val="left"/>
            </w:pPr>
            <w:r>
              <w:rPr>
                <w:sz w:val="18"/>
              </w:rPr>
              <w:t xml:space="preserve">Exercise clinical data exchange and HL7 messaging</w:t>
            </w:r>
          </w:p>
        </w:tc>
        <w:tc>
          <w:tcPr>
            <w:tcW w:w="2736"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3" w:type="dxa"/>
          </w:tcPr>
          <w:p>
            <w:pPr>
              <w:pStyle w:val="Compact"/>
              <w:jc w:val="left"/>
            </w:pPr>
            <w:r>
              <w:rPr>
                <w:sz w:val="18"/>
              </w:rPr>
              <w:t xml:space="preserve">The integration work that makes near-real-time care management possible.</w:t>
            </w:r>
          </w:p>
        </w:tc>
      </w:tr>
      <w:tr>
        <w:trPr>
          <w:cantSplit/>
        </w:trPr>
        <w:tc>
          <w:tcPr>
            <w:tcW w:w="3312" w:type="dxa"/>
          </w:tcPr>
          <w:p>
            <w:pPr>
              <w:pStyle w:val="Compact"/>
              <w:jc w:val="left"/>
            </w:pPr>
            <w:r>
              <w:rPr>
                <w:sz w:val="18"/>
              </w:rPr>
              <w:t xml:space="preserve">Test whether FHIR-based exchange can deliver what a statewide EHR would, at lower cost</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5.4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t xml:space="preserve"> </w:t>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t xml:space="preserve"> </w:t>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t xml:space="preserve"> </w:t>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t xml:space="preserve"> </w:t>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t xml:space="preserve"> </w:t>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t xml:space="preserve"> </w:t>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t xml:space="preserve"> </w:t>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t xml:space="preserve"> </w:t>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Average commercial-to-Medicare ratio, Vermont hospitals 250–300% vs. ~136% break-even point</w:t>
            </w:r>
          </w:p>
        </w:tc>
        <w:tc>
          <w:tcPr>
            <w:shd w:val="clear" w:color="auto" w:fill="EDF2F9"/>
            <w:tcW w:w="4536" w:type="dxa"/>
          </w:tcPr>
          <w:p>
            <w:pPr>
              <w:pStyle w:val="Compact"/>
              <w:jc w:val="left"/>
            </w:pPr>
            <w:r>
              <w:rPr>
                <w:b/>
                <w:color w:val="111111"/>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Figure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Sources: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line="240" w:lineRule="auto"/>
        <w:rPr>
          <w:sz w:val="16"/>
        </w:rPr>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0"/>
        <w:gridCol w:w="2445"/>
        <w:gridCol w:w="2010"/>
        <w:gridCol w:w="3495"/>
      </w:tblGrid>
      <w:tr>
        <w:trPr>
          <w:tblHeader w:val="on"/>
          <w:cantSplit/>
        </w:trPr>
        <w:tc>
          <w:tcPr>
            <w:shd w:val="clear" w:color="auto" w:fill="1B3A6B"/>
            <w:tcW w:w="1110" w:type="dxa"/>
          </w:tcPr>
          <w:p>
            <w:pPr>
              <w:pStyle w:val="Compact"/>
              <w:jc w:val="left"/>
            </w:pPr>
            <w:r>
              <w:rPr>
                <w:b/>
                <w:color w:val="FFFFFF"/>
                <w:sz w:val="18"/>
              </w:rPr>
              <w:t xml:space="preserve">State / Program</w:t>
            </w:r>
          </w:p>
        </w:tc>
        <w:tc>
          <w:tcPr>
            <w:shd w:val="clear" w:color="auto" w:fill="1B3A6B"/>
            <w:tcW w:w="2445" w:type="dxa"/>
          </w:tcPr>
          <w:p>
            <w:pPr>
              <w:pStyle w:val="Compact"/>
              <w:jc w:val="left"/>
            </w:pPr>
            <w:r>
              <w:rPr>
                <w:b/>
                <w:color w:val="FFFFFF"/>
                <w:sz w:val="18"/>
              </w:rPr>
              <w:t xml:space="preserve">Design</w:t>
            </w:r>
          </w:p>
        </w:tc>
        <w:tc>
          <w:tcPr>
            <w:shd w:val="clear" w:color="auto" w:fill="1B3A6B"/>
            <w:tcW w:w="2010" w:type="dxa"/>
          </w:tcPr>
          <w:p>
            <w:pPr>
              <w:pStyle w:val="Compact"/>
              <w:jc w:val="left"/>
            </w:pPr>
            <w:r>
              <w:rPr>
                <w:b/>
                <w:color w:val="FFFFFF"/>
                <w:sz w:val="18"/>
              </w:rPr>
              <w:t xml:space="preserve">Scope</w:t>
            </w:r>
          </w:p>
        </w:tc>
        <w:tc>
          <w:tcPr>
            <w:shd w:val="clear" w:color="auto" w:fill="1B3A6B"/>
            <w:tcW w:w="3495" w:type="dxa"/>
          </w:tcPr>
          <w:p>
            <w:pPr>
              <w:pStyle w:val="Compact"/>
              <w:jc w:val="left"/>
            </w:pPr>
            <w:r>
              <w:rPr>
                <w:b/>
                <w:color w:val="FFFFFF"/>
                <w:sz w:val="18"/>
              </w:rPr>
              <w:t xml:space="preserve">Key Results</w:t>
            </w:r>
          </w:p>
        </w:tc>
      </w:tr>
      <w:tr>
        <w:trPr>
          <w:cantSplit/>
        </w:trPr>
        <w:tc>
          <w:tcPr>
            <w:tcW w:w="1110" w:type="dxa"/>
          </w:tcPr>
          <w:p>
            <w:pPr>
              <w:pStyle w:val="Compact"/>
              <w:jc w:val="left"/>
            </w:pPr>
            <w:r>
              <w:rPr>
                <w:sz w:val="18"/>
              </w:rPr>
              <w:t xml:space="preserve">Oregon (2019)</w:t>
            </w:r>
          </w:p>
        </w:tc>
        <w:tc>
          <w:tcPr>
            <w:tcW w:w="2445" w:type="dxa"/>
          </w:tcPr>
          <w:p>
            <w:pPr>
              <w:pStyle w:val="Compact"/>
              <w:jc w:val="left"/>
            </w:pPr>
            <w:r>
              <w:rPr>
                <w:sz w:val="18"/>
              </w:rPr>
              <w:t xml:space="preserve">200% of Medicare in-network; 185% out-of-network. CAH exemptions.</w:t>
            </w:r>
          </w:p>
        </w:tc>
        <w:tc>
          <w:tcPr>
            <w:tcW w:w="2010" w:type="dxa"/>
          </w:tcPr>
          <w:p>
            <w:pPr>
              <w:pStyle w:val="Compact"/>
              <w:jc w:val="left"/>
            </w:pPr>
            <w:r>
              <w:rPr>
                <w:sz w:val="18"/>
              </w:rPr>
              <w:t xml:space="preserve">State employee plan (~300,000 covered lives)</w:t>
            </w:r>
          </w:p>
        </w:tc>
        <w:tc>
          <w:tcPr>
            <w:tcW w:w="3495" w:type="dxa"/>
          </w:tcPr>
          <w:p>
            <w:pPr>
              <w:pStyle w:val="Compact"/>
              <w:jc w:val="left"/>
            </w:pPr>
            <w:r>
              <w:rPr>
                <w:sz w:val="18"/>
              </w:rPr>
              <w:t xml:space="preserve">$107.5M saved in first 27 months (Health Affairs). All 24 affected hospitals remained in-network. No documented access harm.</w:t>
            </w:r>
          </w:p>
        </w:tc>
      </w:tr>
      <w:tr>
        <w:trPr/>
        <w:tc>
          <w:tcPr>
            <w:tcW w:w="1110" w:type="dxa"/>
          </w:tcPr>
          <w:p>
            <w:pPr>
              <w:pStyle w:val="Compact"/>
              <w:jc w:val="left"/>
            </w:pPr>
            <w:r>
              <w:rPr>
                <w:sz w:val="18"/>
              </w:rPr>
              <w:t xml:space="preserve">Montana (2016)</w:t>
            </w:r>
          </w:p>
        </w:tc>
        <w:tc>
          <w:tcPr>
            <w:tcW w:w="2445" w:type="dxa"/>
          </w:tcPr>
          <w:p>
            <w:pPr>
              <w:pStyle w:val="Compact"/>
              <w:jc w:val="left"/>
            </w:pPr>
            <w:r>
              <w:rPr>
                <w:sz w:val="18"/>
              </w:rPr>
              <w:t xml:space="preserve">Direct contracting at % of Medicare for state employee plan.</w:t>
            </w:r>
          </w:p>
        </w:tc>
        <w:tc>
          <w:tcPr>
            <w:tcW w:w="2010" w:type="dxa"/>
          </w:tcPr>
          <w:p>
            <w:pPr>
              <w:pStyle w:val="Compact"/>
              <w:jc w:val="left"/>
            </w:pPr>
            <w:r>
              <w:rPr>
                <w:sz w:val="18"/>
              </w:rPr>
              <w:t xml:space="preserve">State employee plan</w:t>
            </w:r>
          </w:p>
        </w:tc>
        <w:tc>
          <w:tcPr>
            <w:tcW w:w="3495"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0" w:type="dxa"/>
          </w:tcPr>
          <w:p>
            <w:pPr>
              <w:pStyle w:val="Compact"/>
              <w:jc w:val="left"/>
            </w:pPr>
            <w:r>
              <w:rPr>
                <w:sz w:val="18"/>
              </w:rPr>
              <w:t xml:space="preserve">Washington (2021)</w:t>
            </w:r>
          </w:p>
        </w:tc>
        <w:tc>
          <w:tcPr>
            <w:tcW w:w="2445"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010" w:type="dxa"/>
          </w:tcPr>
          <w:p>
            <w:pPr>
              <w:pStyle w:val="Compact"/>
              <w:jc w:val="left"/>
            </w:pPr>
            <w:r>
              <w:rPr>
                <w:sz w:val="18"/>
              </w:rPr>
              <w:t xml:space="preserve">Voluntary public option</w:t>
            </w:r>
          </w:p>
        </w:tc>
        <w:tc>
          <w:tcPr>
            <w:tcW w:w="3495" w:type="dxa"/>
          </w:tcPr>
          <w:p>
            <w:pPr>
              <w:pStyle w:val="Compact"/>
              <w:jc w:val="left"/>
            </w:pPr>
            <w:r>
              <w:rPr>
                <w:sz w:val="18"/>
              </w:rPr>
              <w:t xml:space="preserve">Expanding to state employee plans. Growing commercial adoption.</w:t>
            </w:r>
          </w:p>
        </w:tc>
      </w:tr>
      <w:tr>
        <w:trPr/>
        <w:tc>
          <w:tcPr>
            <w:tcW w:w="1110" w:type="dxa"/>
          </w:tcPr>
          <w:p>
            <w:pPr>
              <w:pStyle w:val="Compact"/>
              <w:jc w:val="left"/>
            </w:pPr>
            <w:r>
              <w:rPr>
                <w:sz w:val="18"/>
              </w:rPr>
              <w:t xml:space="preserve">Maryland (2014–present)</w:t>
            </w:r>
          </w:p>
        </w:tc>
        <w:tc>
          <w:tcPr>
            <w:tcW w:w="2445" w:type="dxa"/>
          </w:tcPr>
          <w:p>
            <w:pPr>
              <w:pStyle w:val="Compact"/>
              <w:jc w:val="left"/>
            </w:pPr>
            <w:r>
              <w:rPr>
                <w:sz w:val="18"/>
              </w:rPr>
              <w:t xml:space="preserve">All-payer rate setting; hospitals receive fixed annual revenue (global budget). Medicare waiver.</w:t>
            </w:r>
          </w:p>
        </w:tc>
        <w:tc>
          <w:tcPr>
            <w:tcW w:w="2010" w:type="dxa"/>
          </w:tcPr>
          <w:p>
            <w:pPr>
              <w:pStyle w:val="Compact"/>
              <w:jc w:val="left"/>
            </w:pPr>
            <w:r>
              <w:rPr>
                <w:sz w:val="18"/>
              </w:rPr>
              <w:t xml:space="preserve">All payers, all hospitals statewide</w:t>
            </w:r>
          </w:p>
        </w:tc>
        <w:tc>
          <w:tcPr>
            <w:tcW w:w="3495"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0" w:type="dxa"/>
          </w:tcPr>
          <w:p>
            <w:pPr>
              <w:pStyle w:val="Compact"/>
              <w:jc w:val="left"/>
            </w:pPr>
            <w:r>
              <w:rPr>
                <w:sz w:val="18"/>
              </w:rPr>
              <w:t xml:space="preserve">Vermont Act 68 (FY2027)</w:t>
            </w:r>
          </w:p>
        </w:tc>
        <w:tc>
          <w:tcPr>
            <w:tcW w:w="2445" w:type="dxa"/>
          </w:tcPr>
          <w:p>
            <w:pPr>
              <w:pStyle w:val="Compact"/>
              <w:jc w:val="left"/>
            </w:pPr>
            <w:r>
              <w:rPr>
                <w:sz w:val="18"/>
              </w:rPr>
              <w:t xml:space="preserve">Mandatory statewide RBP maximum set by GMCB rule. Initially commercial payers; excludes Medicare/Medicaid.</w:t>
            </w:r>
          </w:p>
        </w:tc>
        <w:tc>
          <w:tcPr>
            <w:tcW w:w="2010" w:type="dxa"/>
          </w:tcPr>
          <w:p>
            <w:pPr>
              <w:pStyle w:val="Compact"/>
              <w:jc w:val="left"/>
            </w:pPr>
            <w:r>
              <w:rPr>
                <w:sz w:val="18"/>
              </w:rPr>
              <w:t xml:space="preserve">All Vermont hospitals, all commercial payers</w:t>
            </w:r>
          </w:p>
        </w:tc>
        <w:tc>
          <w:tcPr>
            <w:tcW w:w="3495"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Figure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1260"/>
        <w:gridCol w:w="2340"/>
        <w:gridCol w:w="2790"/>
        <w:gridCol w:w="2700"/>
      </w:tblGrid>
      <w:tr>
        <w:trPr>
          <w:tblHeader w:val="on"/>
          <w:cantSplit/>
        </w:trPr>
        <w:tc>
          <w:tcPr>
            <w:shd w:val="clear" w:color="auto" w:fill="1B3A6B"/>
            <w:tcW w:w="1260" w:type="dxa"/>
          </w:tcPr>
          <w:p>
            <w:pPr>
              <w:pStyle w:val="Compact"/>
              <w:jc w:val="left"/>
            </w:pPr>
            <w:r>
              <w:rPr>
                <w:b/>
                <w:color w:val="FFFFFF"/>
                <w:sz w:val="18"/>
              </w:rPr>
              <w:t xml:space="preserve">Design dimension</w:t>
            </w:r>
          </w:p>
        </w:tc>
        <w:tc>
          <w:tcPr>
            <w:shd w:val="clear" w:color="auto" w:fill="1B3A6B"/>
            <w:tcW w:w="2340" w:type="dxa"/>
          </w:tcPr>
          <w:p>
            <w:pPr>
              <w:pStyle w:val="Compact"/>
              <w:jc w:val="left"/>
            </w:pPr>
            <w:r>
              <w:rPr>
                <w:b/>
                <w:color w:val="FFFFFF"/>
                <w:sz w:val="18"/>
              </w:rPr>
              <w:t xml:space="preserve">The choice</w:t>
            </w:r>
          </w:p>
        </w:tc>
        <w:tc>
          <w:tcPr>
            <w:shd w:val="clear" w:color="auto" w:fill="1B3A6B"/>
            <w:tcW w:w="2790" w:type="dxa"/>
          </w:tcPr>
          <w:p>
            <w:pPr>
              <w:pStyle w:val="Compact"/>
              <w:jc w:val="left"/>
            </w:pPr>
            <w:r>
              <w:rPr>
                <w:b/>
                <w:color w:val="FFFFFF"/>
                <w:sz w:val="18"/>
              </w:rPr>
              <w:t xml:space="preserve">Key tradeoff</w:t>
            </w:r>
          </w:p>
        </w:tc>
        <w:tc>
          <w:tcPr>
            <w:shd w:val="clear" w:color="auto" w:fill="1B3A6B"/>
            <w:tcW w:w="2700" w:type="dxa"/>
          </w:tcPr>
          <w:p>
            <w:pPr>
              <w:pStyle w:val="Compact"/>
              <w:jc w:val="left"/>
            </w:pPr>
            <w:r>
              <w:rPr>
                <w:b/>
                <w:color w:val="FFFFFF"/>
                <w:sz w:val="18"/>
              </w:rPr>
              <w:t xml:space="preserve">Vermont’s current direction</w:t>
            </w:r>
          </w:p>
        </w:tc>
      </w:tr>
      <w:tr>
        <w:trPr>
          <w:cantSplit/>
        </w:trPr>
        <w:tc>
          <w:tcPr>
            <w:tcW w:w="1260" w:type="dxa"/>
          </w:tcPr>
          <w:p>
            <w:pPr>
              <w:pStyle w:val="Compact"/>
              <w:jc w:val="left"/>
            </w:pPr>
            <w:r>
              <w:rPr>
                <w:sz w:val="18"/>
              </w:rPr>
              <w:t xml:space="preserve">Scope</w:t>
            </w:r>
          </w:p>
        </w:tc>
        <w:tc>
          <w:tcPr>
            <w:tcW w:w="2340" w:type="dxa"/>
          </w:tcPr>
          <w:p>
            <w:pPr>
              <w:pStyle w:val="Compact"/>
              <w:jc w:val="left"/>
            </w:pPr>
            <w:r>
              <w:rPr>
                <w:sz w:val="18"/>
              </w:rPr>
              <w:t xml:space="preserve">Which services are inside vs. outside the budget? (Capital, high-cost drugs, outpatient, physician services?)</w:t>
            </w:r>
          </w:p>
        </w:tc>
        <w:tc>
          <w:tcPr>
            <w:tcW w:w="2790" w:type="dxa"/>
          </w:tcPr>
          <w:p>
            <w:pPr>
              <w:pStyle w:val="Compact"/>
              <w:jc w:val="left"/>
            </w:pPr>
            <w:r>
              <w:rPr>
                <w:sz w:val="18"/>
              </w:rPr>
              <w:t xml:space="preserve">Broader scope = more comprehensive cost control. Narrower scope = simpler to administer but leaves cost-shifting opportunities.</w:t>
            </w:r>
          </w:p>
        </w:tc>
        <w:tc>
          <w:tcPr>
            <w:tcW w:w="2700"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1260" w:type="dxa"/>
          </w:tcPr>
          <w:p>
            <w:pPr>
              <w:pStyle w:val="Compact"/>
              <w:jc w:val="left"/>
            </w:pPr>
            <w:r>
              <w:rPr>
                <w:sz w:val="18"/>
              </w:rPr>
              <w:t xml:space="preserve">Population adjustment</w:t>
            </w:r>
          </w:p>
        </w:tc>
        <w:tc>
          <w:tcPr>
            <w:tcW w:w="2340" w:type="dxa"/>
          </w:tcPr>
          <w:p>
            <w:pPr>
              <w:pStyle w:val="Compact"/>
              <w:jc w:val="left"/>
            </w:pPr>
            <w:r>
              <w:rPr>
                <w:sz w:val="18"/>
              </w:rPr>
              <w:t xml:space="preserve">How does the budget account for patient demographics, complexity, and socioeconomic factors?</w:t>
            </w:r>
          </w:p>
        </w:tc>
        <w:tc>
          <w:tcPr>
            <w:tcW w:w="2790" w:type="dxa"/>
          </w:tcPr>
          <w:p>
            <w:pPr>
              <w:pStyle w:val="Compact"/>
              <w:jc w:val="left"/>
            </w:pPr>
            <w:r>
              <w:rPr>
                <w:sz w:val="18"/>
              </w:rPr>
              <w:t xml:space="preserve">No adjustment rewards hospitals serving healthier populations. Over-adjustment reduces cost-control incentives.</w:t>
            </w:r>
          </w:p>
        </w:tc>
        <w:tc>
          <w:tcPr>
            <w:tcW w:w="2700" w:type="dxa"/>
          </w:tcPr>
          <w:p>
            <w:pPr>
              <w:pStyle w:val="Compact"/>
              <w:jc w:val="left"/>
            </w:pPr>
            <w:r>
              <w:rPr>
                <w:sz w:val="18"/>
              </w:rPr>
              <w:t xml:space="preserve">GMCB considering payer mix, labor costs, social risk factors for each hospital. Critical for Vermont’s CAHs vs. UVMMC.</w:t>
            </w:r>
          </w:p>
        </w:tc>
      </w:tr>
      <w:tr>
        <w:trPr/>
        <w:tc>
          <w:tcPr>
            <w:tcW w:w="1260" w:type="dxa"/>
          </w:tcPr>
          <w:p>
            <w:pPr>
              <w:pStyle w:val="Compact"/>
              <w:jc w:val="left"/>
            </w:pPr>
            <w:r>
              <w:rPr>
                <w:sz w:val="18"/>
              </w:rPr>
              <w:t xml:space="preserve">Volume treatment</w:t>
            </w:r>
          </w:p>
        </w:tc>
        <w:tc>
          <w:tcPr>
            <w:tcW w:w="2340" w:type="dxa"/>
          </w:tcPr>
          <w:p>
            <w:pPr>
              <w:pStyle w:val="Compact"/>
              <w:jc w:val="left"/>
            </w:pPr>
            <w:r>
              <w:rPr>
                <w:sz w:val="18"/>
              </w:rPr>
              <w:t xml:space="preserve">Does the budget adjust if patient volume changes significantly?</w:t>
            </w:r>
          </w:p>
        </w:tc>
        <w:tc>
          <w:tcPr>
            <w:tcW w:w="2790" w:type="dxa"/>
          </w:tcPr>
          <w:p>
            <w:pPr>
              <w:pStyle w:val="Compact"/>
              <w:jc w:val="left"/>
            </w:pPr>
            <w:r>
              <w:rPr>
                <w:sz w:val="18"/>
              </w:rPr>
              <w:t xml:space="preserve">Fixed budget = maximum cost-control incentive. Volume-adjusted budget = lower risk for hospitals, less population health incentive.</w:t>
            </w:r>
          </w:p>
        </w:tc>
        <w:tc>
          <w:tcPr>
            <w:tcW w:w="2700" w:type="dxa"/>
          </w:tcPr>
          <w:p>
            <w:pPr>
              <w:pStyle w:val="Compact"/>
              <w:jc w:val="left"/>
            </w:pPr>
            <w:r>
              <w:rPr>
                <w:sz w:val="18"/>
              </w:rPr>
              <w:t xml:space="preserve">Maryland preserved revenue initially when volume decreased to ease transition. Vermont likely to adopt similar glide path.</w:t>
            </w:r>
          </w:p>
        </w:tc>
      </w:tr>
      <w:tr>
        <w:trPr/>
        <w:tc>
          <w:tcPr>
            <w:tcW w:w="1260" w:type="dxa"/>
          </w:tcPr>
          <w:p>
            <w:pPr>
              <w:pStyle w:val="Compact"/>
              <w:jc w:val="left"/>
            </w:pPr>
            <w:r>
              <w:rPr>
                <w:sz w:val="18"/>
              </w:rPr>
              <w:t xml:space="preserve">Quality linkage</w:t>
            </w:r>
          </w:p>
        </w:tc>
        <w:tc>
          <w:tcPr>
            <w:tcW w:w="2340" w:type="dxa"/>
          </w:tcPr>
          <w:p>
            <w:pPr>
              <w:pStyle w:val="Compact"/>
              <w:jc w:val="left"/>
            </w:pPr>
            <w:r>
              <w:rPr>
                <w:sz w:val="18"/>
              </w:rPr>
              <w:t xml:space="preserve">How are quality metrics integrated — penalty, incentive, or both?</w:t>
            </w:r>
          </w:p>
        </w:tc>
        <w:tc>
          <w:tcPr>
            <w:tcW w:w="2790" w:type="dxa"/>
          </w:tcPr>
          <w:p>
            <w:pPr>
              <w:pStyle w:val="Compact"/>
              <w:jc w:val="left"/>
            </w:pPr>
            <w:r>
              <w:rPr>
                <w:sz w:val="18"/>
              </w:rPr>
              <w:t xml:space="preserve">Too small a linkage = no behavioral change. Too large = financial instability for hospitals still improving.</w:t>
            </w:r>
          </w:p>
        </w:tc>
        <w:tc>
          <w:tcPr>
            <w:tcW w:w="2700" w:type="dxa"/>
          </w:tcPr>
          <w:p>
            <w:pPr>
              <w:pStyle w:val="Compact"/>
              <w:jc w:val="left"/>
            </w:pPr>
            <w:r>
              <w:rPr>
                <w:sz w:val="18"/>
              </w:rPr>
              <w:t xml:space="preserve">Act 68 requires standardized accountability metrics. GMCB quality programs (readmissions, HACs) will be embedded.</w:t>
            </w:r>
          </w:p>
        </w:tc>
      </w:tr>
      <w:tr>
        <w:trPr>
          <w:cantSplit/>
        </w:trPr>
        <w:tc>
          <w:tcPr>
            <w:tcW w:w="1260" w:type="dxa"/>
          </w:tcPr>
          <w:p>
            <w:pPr>
              <w:pStyle w:val="Compact"/>
              <w:jc w:val="left"/>
            </w:pPr>
            <w:r>
              <w:rPr>
                <w:sz w:val="18"/>
              </w:rPr>
              <w:t xml:space="preserve">Flexibility mechanisms</w:t>
            </w:r>
          </w:p>
        </w:tc>
        <w:tc>
          <w:tcPr>
            <w:tcW w:w="2340" w:type="dxa"/>
          </w:tcPr>
          <w:p>
            <w:pPr>
              <w:pStyle w:val="Compact"/>
              <w:jc w:val="left"/>
            </w:pPr>
            <w:r>
              <w:rPr>
                <w:sz w:val="18"/>
              </w:rPr>
              <w:t xml:space="preserve">Provisions for mid-year adjustments, carryover of savings, risk corridors?</w:t>
            </w:r>
          </w:p>
        </w:tc>
        <w:tc>
          <w:tcPr>
            <w:tcW w:w="2790" w:type="dxa"/>
          </w:tcPr>
          <w:p>
            <w:pPr>
              <w:pStyle w:val="Compact"/>
              <w:jc w:val="left"/>
            </w:pPr>
            <w:r>
              <w:rPr>
                <w:sz w:val="18"/>
              </w:rPr>
              <w:t xml:space="preserve">More flexibility = lower hospital risk, easier adoption. Less flexibility = stronger cost-control signal.</w:t>
            </w:r>
          </w:p>
        </w:tc>
        <w:tc>
          <w:tcPr>
            <w:tcW w:w="2700"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Figure 6.5 — Five dimensions of global budget design with Vermont’s current direction. Sources: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560"/>
        <w:gridCol w:w="1185"/>
        <w:gridCol w:w="2835"/>
        <w:gridCol w:w="3495"/>
      </w:tblGrid>
      <w:tr>
        <w:trPr>
          <w:tblHeader w:val="on"/>
          <w:cantSplit/>
        </w:trPr>
        <w:tc>
          <w:tcPr>
            <w:shd w:val="clear" w:color="auto" w:fill="1B3A6B"/>
            <w:tcW w:w="1560" w:type="dxa"/>
          </w:tcPr>
          <w:p>
            <w:pPr>
              <w:pStyle w:val="Compact"/>
              <w:jc w:val="left"/>
            </w:pPr>
            <w:r>
              <w:rPr>
                <w:b/>
                <w:color w:val="FFFFFF"/>
                <w:sz w:val="18"/>
              </w:rPr>
              <w:t xml:space="preserve">Approach</w:t>
            </w:r>
          </w:p>
        </w:tc>
        <w:tc>
          <w:tcPr>
            <w:shd w:val="clear" w:color="auto" w:fill="1B3A6B"/>
            <w:tcW w:w="1185" w:type="dxa"/>
          </w:tcPr>
          <w:p>
            <w:pPr>
              <w:pStyle w:val="Compact"/>
              <w:jc w:val="left"/>
            </w:pPr>
            <w:r>
              <w:rPr>
                <w:b/>
                <w:color w:val="FFFFFF"/>
                <w:sz w:val="18"/>
              </w:rPr>
              <w:t xml:space="preserve">Year(s)</w:t>
            </w:r>
          </w:p>
        </w:tc>
        <w:tc>
          <w:tcPr>
            <w:shd w:val="clear" w:color="auto" w:fill="1B3A6B"/>
            <w:tcW w:w="2835" w:type="dxa"/>
          </w:tcPr>
          <w:p>
            <w:pPr>
              <w:pStyle w:val="Compact"/>
              <w:jc w:val="left"/>
            </w:pPr>
            <w:r>
              <w:rPr>
                <w:b/>
                <w:color w:val="FFFFFF"/>
                <w:sz w:val="18"/>
              </w:rPr>
              <w:t xml:space="preserve">Structure</w:t>
            </w:r>
          </w:p>
        </w:tc>
        <w:tc>
          <w:tcPr>
            <w:shd w:val="clear" w:color="auto" w:fill="1B3A6B"/>
            <w:tcW w:w="3495" w:type="dxa"/>
          </w:tcPr>
          <w:p>
            <w:pPr>
              <w:pStyle w:val="Compact"/>
              <w:jc w:val="left"/>
            </w:pPr>
            <w:r>
              <w:rPr>
                <w:b/>
                <w:color w:val="FFFFFF"/>
                <w:sz w:val="18"/>
              </w:rPr>
              <w:t xml:space="preserve">Outcome and lesson</w:t>
            </w:r>
          </w:p>
        </w:tc>
      </w:tr>
      <w:tr>
        <w:trPr>
          <w:cantSplit/>
        </w:trPr>
        <w:tc>
          <w:tcPr>
            <w:tcW w:w="1560" w:type="dxa"/>
          </w:tcPr>
          <w:p>
            <w:pPr>
              <w:pStyle w:val="Compact"/>
              <w:jc w:val="left"/>
            </w:pPr>
            <w:r>
              <w:rPr>
                <w:sz w:val="18"/>
              </w:rPr>
              <w:t xml:space="preserve">GMCB Net Patient Revenue Cap</w:t>
            </w:r>
          </w:p>
        </w:tc>
        <w:tc>
          <w:tcPr>
            <w:tcW w:w="1185" w:type="dxa"/>
          </w:tcPr>
          <w:p>
            <w:pPr>
              <w:pStyle w:val="Compact"/>
              <w:jc w:val="left"/>
            </w:pPr>
            <w:r>
              <w:rPr>
                <w:sz w:val="18"/>
              </w:rPr>
              <w:t xml:space="preserve">2012–present</w:t>
            </w:r>
          </w:p>
        </w:tc>
        <w:tc>
          <w:tcPr>
            <w:tcW w:w="2835" w:type="dxa"/>
          </w:tcPr>
          <w:p>
            <w:pPr>
              <w:pStyle w:val="Compact"/>
              <w:jc w:val="left"/>
            </w:pPr>
            <w:r>
              <w:rPr>
                <w:sz w:val="18"/>
              </w:rPr>
              <w:t xml:space="preserve">Regulatory cap on net patient revenue each hospital may receive</w:t>
            </w:r>
          </w:p>
        </w:tc>
        <w:tc>
          <w:tcPr>
            <w:tcW w:w="3495"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560" w:type="dxa"/>
          </w:tcPr>
          <w:p>
            <w:pPr>
              <w:pStyle w:val="Compact"/>
              <w:jc w:val="left"/>
            </w:pPr>
            <w:r>
              <w:rPr>
                <w:sz w:val="18"/>
              </w:rPr>
              <w:t xml:space="preserve">Rutland Regional Medical Center Pilot</w:t>
            </w:r>
          </w:p>
        </w:tc>
        <w:tc>
          <w:tcPr>
            <w:tcW w:w="1185" w:type="dxa"/>
          </w:tcPr>
          <w:p>
            <w:pPr>
              <w:pStyle w:val="Compact"/>
              <w:jc w:val="left"/>
            </w:pPr>
            <w:r>
              <w:rPr>
                <w:sz w:val="18"/>
              </w:rPr>
              <w:t xml:space="preserve">2014 (proposed)</w:t>
            </w:r>
          </w:p>
        </w:tc>
        <w:tc>
          <w:tcPr>
            <w:tcW w:w="2835" w:type="dxa"/>
          </w:tcPr>
          <w:p>
            <w:pPr>
              <w:pStyle w:val="Compact"/>
              <w:jc w:val="left"/>
            </w:pPr>
            <w:r>
              <w:rPr>
                <w:sz w:val="18"/>
              </w:rPr>
              <w:t xml:space="preserve">Hospital payments based on historical revenue plus inflation, adjusted for demographics</w:t>
            </w:r>
          </w:p>
        </w:tc>
        <w:tc>
          <w:tcPr>
            <w:tcW w:w="3495"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560" w:type="dxa"/>
          </w:tcPr>
          <w:p>
            <w:pPr>
              <w:pStyle w:val="Compact"/>
              <w:jc w:val="left"/>
            </w:pPr>
            <w:r>
              <w:rPr>
                <w:sz w:val="18"/>
              </w:rPr>
              <w:t xml:space="preserve">Vermont All-Payer ACO Model</w:t>
            </w:r>
          </w:p>
        </w:tc>
        <w:tc>
          <w:tcPr>
            <w:tcW w:w="1185" w:type="dxa"/>
          </w:tcPr>
          <w:p>
            <w:pPr>
              <w:pStyle w:val="Compact"/>
              <w:jc w:val="left"/>
            </w:pPr>
            <w:r>
              <w:rPr>
                <w:sz w:val="18"/>
              </w:rPr>
              <w:t xml:space="preserve">2017–2025</w:t>
            </w:r>
          </w:p>
        </w:tc>
        <w:tc>
          <w:tcPr>
            <w:tcW w:w="2835"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495"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560" w:type="dxa"/>
          </w:tcPr>
          <w:p>
            <w:pPr>
              <w:pStyle w:val="Compact"/>
              <w:jc w:val="left"/>
            </w:pPr>
            <w:r>
              <w:rPr>
                <w:sz w:val="18"/>
              </w:rPr>
              <w:t xml:space="preserve">Act 167 / Act 68 Mandate</w:t>
            </w:r>
          </w:p>
        </w:tc>
        <w:tc>
          <w:tcPr>
            <w:tcW w:w="1185" w:type="dxa"/>
          </w:tcPr>
          <w:p>
            <w:pPr>
              <w:pStyle w:val="Compact"/>
              <w:jc w:val="left"/>
            </w:pPr>
            <w:r>
              <w:rPr>
                <w:sz w:val="18"/>
              </w:rPr>
              <w:t xml:space="preserve">2022–present</w:t>
            </w:r>
          </w:p>
        </w:tc>
        <w:tc>
          <w:tcPr>
            <w:tcW w:w="2835" w:type="dxa"/>
          </w:tcPr>
          <w:p>
            <w:pPr>
              <w:pStyle w:val="Compact"/>
              <w:jc w:val="left"/>
            </w:pPr>
            <w:r>
              <w:rPr>
                <w:sz w:val="18"/>
              </w:rPr>
              <w:t xml:space="preserve">GMCB directed to design and implement mandatory global budgets: non-CAH hospitals by FY2028, all hospitals by FY2030</w:t>
            </w:r>
          </w:p>
        </w:tc>
        <w:tc>
          <w:tcPr>
            <w:tcW w:w="3495"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Figure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Medicare hospital savings to date $1.4B vs. projected national trend (HSCRC)</w:t>
            </w:r>
          </w:p>
        </w:tc>
        <w:tc>
          <w:tcPr>
            <w:shd w:val="clear" w:color="auto" w:fill="EDF2F9"/>
            <w:tcW w:w="4536" w:type="dxa"/>
          </w:tcPr>
          <w:p>
            <w:pPr>
              <w:pStyle w:val="Compact"/>
              <w:jc w:val="left"/>
            </w:pPr>
            <w:r>
              <w:rPr>
                <w:b/>
                <w:color w:val="111111"/>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Figure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1680"/>
        <w:gridCol w:w="7380"/>
      </w:tblGrid>
      <w:tr>
        <w:trPr>
          <w:tblHeader w:val="on"/>
          <w:cantSplit/>
        </w:trPr>
        <w:tc>
          <w:tcPr>
            <w:shd w:val="clear" w:color="auto" w:fill="1B3A6B"/>
            <w:tcW w:w="1680" w:type="dxa"/>
          </w:tcPr>
          <w:p>
            <w:pPr>
              <w:pStyle w:val="Compact"/>
              <w:jc w:val="left"/>
            </w:pPr>
            <w:r>
              <w:rPr>
                <w:b/>
                <w:color w:val="FFFFFF"/>
                <w:sz w:val="18"/>
              </w:rPr>
              <w:t xml:space="preserve">Scenario</w:t>
            </w:r>
          </w:p>
        </w:tc>
        <w:tc>
          <w:tcPr>
            <w:shd w:val="clear" w:color="auto" w:fill="1B3A6B"/>
            <w:tcW w:w="7380" w:type="dxa"/>
          </w:tcPr>
          <w:p>
            <w:pPr>
              <w:pStyle w:val="Compact"/>
              <w:jc w:val="left"/>
            </w:pPr>
            <w:r>
              <w:rPr>
                <w:b/>
                <w:color w:val="FFFFFF"/>
                <w:sz w:val="18"/>
              </w:rPr>
              <w:t xml:space="preserve">Assumptions and 5-year system deficit</w:t>
            </w:r>
          </w:p>
        </w:tc>
      </w:tr>
      <w:tr>
        <w:trPr/>
        <w:tc>
          <w:tcPr>
            <w:tcW w:w="1680" w:type="dxa"/>
          </w:tcPr>
          <w:p>
            <w:pPr>
              <w:pStyle w:val="Compact"/>
              <w:jc w:val="left"/>
            </w:pPr>
            <w:r>
              <w:rPr>
                <w:sz w:val="18"/>
              </w:rPr>
              <w:t xml:space="preserve">Conservative: 3.5% revenue / 5% expense growth</w:t>
            </w:r>
          </w:p>
        </w:tc>
        <w:tc>
          <w:tcPr>
            <w:tcW w:w="7380"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1680" w:type="dxa"/>
          </w:tcPr>
          <w:p>
            <w:pPr>
              <w:pStyle w:val="Compact"/>
              <w:jc w:val="left"/>
            </w:pPr>
            <w:r>
              <w:rPr>
                <w:sz w:val="18"/>
              </w:rPr>
              <w:t xml:space="preserve">Realistic: 3.5% revenue / 7-8% expense growth</w:t>
            </w:r>
          </w:p>
        </w:tc>
        <w:tc>
          <w:tcPr>
            <w:tcW w:w="7380"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2805"/>
        <w:gridCol w:w="6270"/>
      </w:tblGrid>
      <w:tr>
        <w:trPr>
          <w:tblHeader w:val="on"/>
          <w:cantSplit/>
        </w:trPr>
        <w:tc>
          <w:tcPr>
            <w:shd w:val="clear" w:color="auto" w:fill="1B3A6B"/>
            <w:tcW w:w="2805" w:type="dxa"/>
          </w:tcPr>
          <w:p>
            <w:pPr>
              <w:pStyle w:val="Compact"/>
              <w:jc w:val="left"/>
            </w:pPr>
            <w:r>
              <w:rPr>
                <w:b/>
                <w:color w:val="FFFFFF"/>
                <w:sz w:val="18"/>
              </w:rPr>
              <w:t xml:space="preserve">In a fee-for-service environment, watch:</w:t>
            </w:r>
          </w:p>
        </w:tc>
        <w:tc>
          <w:tcPr>
            <w:shd w:val="clear" w:color="auto" w:fill="1B3A6B"/>
            <w:tcW w:w="6270" w:type="dxa"/>
          </w:tcPr>
          <w:p>
            <w:pPr>
              <w:pStyle w:val="Compact"/>
              <w:jc w:val="left"/>
            </w:pPr>
            <w:r>
              <w:rPr>
                <w:b/>
                <w:color w:val="FFFFFF"/>
                <w:sz w:val="18"/>
              </w:rPr>
              <w:t xml:space="preserve">In a global budget environment, watch:</w:t>
            </w:r>
          </w:p>
        </w:tc>
      </w:tr>
      <w:tr>
        <w:trPr>
          <w:cantSplit/>
        </w:trPr>
        <w:tc>
          <w:tcPr>
            <w:tcW w:w="2805" w:type="dxa"/>
          </w:tcPr>
          <w:p>
            <w:pPr>
              <w:pStyle w:val="Compact"/>
              <w:jc w:val="left"/>
            </w:pPr>
            <w:r>
              <w:rPr>
                <w:sz w:val="18"/>
              </w:rPr>
              <w:t xml:space="preserve">Net patient revenue growth</w:t>
            </w:r>
          </w:p>
        </w:tc>
        <w:tc>
          <w:tcPr>
            <w:tcW w:w="6270" w:type="dxa"/>
          </w:tcPr>
          <w:p>
            <w:pPr>
              <w:pStyle w:val="Compact"/>
              <w:jc w:val="left"/>
            </w:pPr>
            <w:r>
              <w:rPr>
                <w:sz w:val="18"/>
              </w:rPr>
              <w:t xml:space="preserve">Per-member-per-month cost trend vs. global budget cap</w:t>
            </w:r>
          </w:p>
        </w:tc>
      </w:tr>
      <w:tr>
        <w:trPr/>
        <w:tc>
          <w:tcPr>
            <w:tcW w:w="2805" w:type="dxa"/>
          </w:tcPr>
          <w:p>
            <w:pPr>
              <w:pStyle w:val="Compact"/>
              <w:jc w:val="left"/>
            </w:pPr>
            <w:r>
              <w:rPr>
                <w:sz w:val="18"/>
              </w:rPr>
              <w:t xml:space="preserve">Volume growth (admissions, procedures, visits)</w:t>
            </w:r>
          </w:p>
        </w:tc>
        <w:tc>
          <w:tcPr>
            <w:tcW w:w="6270" w:type="dxa"/>
          </w:tcPr>
          <w:p>
            <w:pPr>
              <w:pStyle w:val="Compact"/>
              <w:jc w:val="left"/>
            </w:pPr>
            <w:r>
              <w:rPr>
                <w:sz w:val="18"/>
              </w:rPr>
              <w:t xml:space="preserve">Potentially avoidable utilization rate — every avoidable admission is a cost, not revenue</w:t>
            </w:r>
          </w:p>
        </w:tc>
      </w:tr>
      <w:tr>
        <w:trPr/>
        <w:tc>
          <w:tcPr>
            <w:tcW w:w="2805" w:type="dxa"/>
          </w:tcPr>
          <w:p>
            <w:pPr>
              <w:pStyle w:val="Compact"/>
              <w:jc w:val="left"/>
            </w:pPr>
            <w:r>
              <w:rPr>
                <w:sz w:val="18"/>
              </w:rPr>
              <w:t xml:space="preserve">Case mix index — higher acuity = more revenue</w:t>
            </w:r>
          </w:p>
        </w:tc>
        <w:tc>
          <w:tcPr>
            <w:tcW w:w="6270" w:type="dxa"/>
          </w:tcPr>
          <w:p>
            <w:pPr>
              <w:pStyle w:val="Compact"/>
              <w:jc w:val="left"/>
            </w:pPr>
            <w:r>
              <w:rPr>
                <w:sz w:val="18"/>
              </w:rPr>
              <w:t xml:space="preserve">Population health outcomes — better outcomes reduce costs</w:t>
            </w:r>
          </w:p>
        </w:tc>
      </w:tr>
      <w:tr>
        <w:trPr/>
        <w:tc>
          <w:tcPr>
            <w:tcW w:w="2805" w:type="dxa"/>
          </w:tcPr>
          <w:p>
            <w:pPr>
              <w:pStyle w:val="Compact"/>
              <w:jc w:val="left"/>
            </w:pPr>
            <w:r>
              <w:rPr>
                <w:sz w:val="18"/>
              </w:rPr>
              <w:t xml:space="preserve">Market share — capturing more patients = more revenue</w:t>
            </w:r>
          </w:p>
        </w:tc>
        <w:tc>
          <w:tcPr>
            <w:tcW w:w="6270" w:type="dxa"/>
          </w:tcPr>
          <w:p>
            <w:pPr>
              <w:pStyle w:val="Compact"/>
              <w:jc w:val="left"/>
            </w:pPr>
            <w:r>
              <w:rPr>
                <w:sz w:val="18"/>
              </w:rPr>
              <w:t xml:space="preserve">ED diversion rate — keeping patients out of the ED saves money</w:t>
            </w:r>
          </w:p>
        </w:tc>
      </w:tr>
      <w:tr>
        <w:trPr/>
        <w:tc>
          <w:tcPr>
            <w:tcW w:w="2805" w:type="dxa"/>
          </w:tcPr>
          <w:p>
            <w:pPr>
              <w:pStyle w:val="Compact"/>
              <w:jc w:val="left"/>
            </w:pPr>
            <w:r>
              <w:rPr>
                <w:sz w:val="18"/>
              </w:rPr>
              <w:t xml:space="preserve">Payer mix — more commercial = better margins</w:t>
            </w:r>
          </w:p>
        </w:tc>
        <w:tc>
          <w:tcPr>
            <w:tcW w:w="6270" w:type="dxa"/>
          </w:tcPr>
          <w:p>
            <w:pPr>
              <w:pStyle w:val="Compact"/>
              <w:jc w:val="left"/>
            </w:pPr>
            <w:r>
              <w:rPr>
                <w:sz w:val="18"/>
              </w:rPr>
              <w:t xml:space="preserve">Readmission rate — every readmission is a cost without additional revenue</w:t>
            </w:r>
          </w:p>
        </w:tc>
      </w:tr>
      <w:tr>
        <w:trPr/>
        <w:tc>
          <w:tcPr>
            <w:tcW w:w="2805" w:type="dxa"/>
          </w:tcPr>
          <w:p>
            <w:pPr>
              <w:pStyle w:val="Compact"/>
              <w:jc w:val="left"/>
            </w:pPr>
            <w:r>
              <w:rPr>
                <w:sz w:val="18"/>
              </w:rPr>
              <w:t xml:space="preserve">Discharge volume</w:t>
            </w:r>
          </w:p>
        </w:tc>
        <w:tc>
          <w:tcPr>
            <w:tcW w:w="6270" w:type="dxa"/>
          </w:tcPr>
          <w:p>
            <w:pPr>
              <w:pStyle w:val="Compact"/>
              <w:jc w:val="left"/>
            </w:pPr>
            <w:r>
              <w:rPr>
                <w:sz w:val="18"/>
              </w:rPr>
              <w:t xml:space="preserve">Days to discharge — length of stay is a cost driver, not a revenue driver</w:t>
            </w:r>
          </w:p>
        </w:tc>
      </w:tr>
      <w:tr>
        <w:trPr/>
        <w:tc>
          <w:tcPr>
            <w:tcW w:w="2805" w:type="dxa"/>
          </w:tcPr>
          <w:p>
            <w:pPr>
              <w:pStyle w:val="Compact"/>
              <w:jc w:val="left"/>
            </w:pPr>
            <w:r>
              <w:rPr>
                <w:sz w:val="18"/>
              </w:rPr>
              <w:t xml:space="preserve">Revenue cycle efficiency — maximize what each claim pays</w:t>
            </w:r>
          </w:p>
        </w:tc>
        <w:tc>
          <w:tcPr>
            <w:tcW w:w="6270" w:type="dxa"/>
          </w:tcPr>
          <w:p>
            <w:pPr>
              <w:pStyle w:val="Compact"/>
              <w:jc w:val="left"/>
            </w:pPr>
            <w:r>
              <w:rPr>
                <w:sz w:val="18"/>
              </w:rPr>
              <w:t xml:space="preserve">Total cost of care per attributed member — efficiency across the whole continuum</w:t>
            </w:r>
          </w:p>
        </w:tc>
      </w:tr>
      <w:tr>
        <w:trPr>
          <w:cantSplit/>
        </w:trPr>
        <w:tc>
          <w:tcPr>
            <w:tcW w:w="2805" w:type="dxa"/>
          </w:tcPr>
          <w:p>
            <w:pPr>
              <w:pStyle w:val="Compact"/>
              <w:jc w:val="left"/>
            </w:pPr>
            <w:r>
              <w:rPr>
                <w:sz w:val="18"/>
              </w:rPr>
              <w:t xml:space="preserve">Operating margin per inpatient day</w:t>
            </w:r>
          </w:p>
        </w:tc>
        <w:tc>
          <w:tcPr>
            <w:tcW w:w="6270"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75"/>
        <w:gridCol w:w="930"/>
        <w:gridCol w:w="2445"/>
        <w:gridCol w:w="5040"/>
      </w:tblGrid>
      <w:tr>
        <w:trPr>
          <w:tblHeader w:val="on"/>
          <w:cantSplit/>
        </w:trPr>
        <w:tc>
          <w:tcPr>
            <w:shd w:val="clear" w:color="auto" w:fill="1B3A6B"/>
            <w:tcW w:w="675" w:type="dxa"/>
          </w:tcPr>
          <w:p>
            <w:pPr>
              <w:pStyle w:val="Compact"/>
              <w:jc w:val="left"/>
            </w:pPr>
            <w:r>
              <w:rPr>
                <w:b/>
                <w:color w:val="FFFFFF"/>
                <w:sz w:val="18"/>
              </w:rPr>
              <w:t xml:space="preserve">Phase</w:t>
            </w:r>
          </w:p>
        </w:tc>
        <w:tc>
          <w:tcPr>
            <w:shd w:val="clear" w:color="auto" w:fill="1B3A6B"/>
            <w:tcW w:w="930"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Payment environment</w:t>
            </w:r>
          </w:p>
        </w:tc>
        <w:tc>
          <w:tcPr>
            <w:shd w:val="clear" w:color="auto" w:fill="1B3A6B"/>
            <w:tcW w:w="5040" w:type="dxa"/>
          </w:tcPr>
          <w:p>
            <w:pPr>
              <w:pStyle w:val="Compact"/>
              <w:jc w:val="left"/>
            </w:pPr>
            <w:r>
              <w:rPr>
                <w:b/>
                <w:color w:val="FFFFFF"/>
                <w:sz w:val="18"/>
              </w:rPr>
              <w:t xml:space="preserve">Strategic priorities</w:t>
            </w:r>
          </w:p>
        </w:tc>
      </w:tr>
      <w:tr>
        <w:trPr>
          <w:cantSplit/>
        </w:trPr>
        <w:tc>
          <w:tcPr>
            <w:tcW w:w="675" w:type="dxa"/>
          </w:tcPr>
          <w:p>
            <w:pPr>
              <w:pStyle w:val="Compact"/>
              <w:jc w:val="left"/>
            </w:pPr>
            <w:r>
              <w:rPr>
                <w:sz w:val="18"/>
              </w:rPr>
              <w:t xml:space="preserve">Preparation</w:t>
            </w:r>
          </w:p>
        </w:tc>
        <w:tc>
          <w:tcPr>
            <w:tcW w:w="930" w:type="dxa"/>
          </w:tcPr>
          <w:p>
            <w:pPr>
              <w:pStyle w:val="Compact"/>
              <w:jc w:val="left"/>
            </w:pPr>
            <w:r>
              <w:rPr>
                <w:sz w:val="18"/>
              </w:rPr>
              <w:t xml:space="preserve">Now through FY2026</w:t>
            </w:r>
          </w:p>
        </w:tc>
        <w:tc>
          <w:tcPr>
            <w:tcW w:w="2445" w:type="dxa"/>
          </w:tcPr>
          <w:p>
            <w:pPr>
              <w:pStyle w:val="Compact"/>
              <w:jc w:val="left"/>
            </w:pPr>
            <w:r>
              <w:rPr>
                <w:sz w:val="18"/>
              </w:rPr>
              <w:t xml:space="preserve">FFS with increasing budget pressure; -1% commercial rate benchmark; Act 55 drug cap in effect</w:t>
            </w:r>
          </w:p>
        </w:tc>
        <w:tc>
          <w:tcPr>
            <w:tcW w:w="5040"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75" w:type="dxa"/>
          </w:tcPr>
          <w:p>
            <w:pPr>
              <w:pStyle w:val="Compact"/>
              <w:jc w:val="left"/>
            </w:pPr>
            <w:r>
              <w:rPr>
                <w:sz w:val="18"/>
              </w:rPr>
              <w:t xml:space="preserve">Transition</w:t>
            </w:r>
          </w:p>
        </w:tc>
        <w:tc>
          <w:tcPr>
            <w:tcW w:w="930" w:type="dxa"/>
          </w:tcPr>
          <w:p>
            <w:pPr>
              <w:pStyle w:val="Compact"/>
              <w:jc w:val="left"/>
            </w:pPr>
            <w:r>
              <w:rPr>
                <w:sz w:val="18"/>
              </w:rPr>
              <w:t xml:space="preserve">FY2027</w:t>
            </w:r>
          </w:p>
        </w:tc>
        <w:tc>
          <w:tcPr>
            <w:tcW w:w="2445" w:type="dxa"/>
          </w:tcPr>
          <w:p>
            <w:pPr>
              <w:pStyle w:val="Compact"/>
              <w:jc w:val="left"/>
            </w:pPr>
            <w:r>
              <w:rPr>
                <w:sz w:val="18"/>
              </w:rPr>
              <w:t xml:space="preserve">RBP maximum rates in effect for commercial payers; AHEAD Hospital Global Budgets begin January 2028 for Medicare FFS</w:t>
            </w:r>
          </w:p>
        </w:tc>
        <w:tc>
          <w:tcPr>
            <w:tcW w:w="5040"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75" w:type="dxa"/>
          </w:tcPr>
          <w:p>
            <w:pPr>
              <w:pStyle w:val="Compact"/>
              <w:jc w:val="left"/>
            </w:pPr>
            <w:r>
              <w:rPr>
                <w:sz w:val="18"/>
              </w:rPr>
              <w:t xml:space="preserve">Operation</w:t>
            </w:r>
          </w:p>
        </w:tc>
        <w:tc>
          <w:tcPr>
            <w:tcW w:w="930" w:type="dxa"/>
          </w:tcPr>
          <w:p>
            <w:pPr>
              <w:pStyle w:val="Compact"/>
              <w:jc w:val="left"/>
            </w:pPr>
            <w:r>
              <w:rPr>
                <w:sz w:val="18"/>
              </w:rPr>
              <w:t xml:space="preserve">FY2028 and beyond</w:t>
            </w:r>
          </w:p>
        </w:tc>
        <w:tc>
          <w:tcPr>
            <w:tcW w:w="2445" w:type="dxa"/>
          </w:tcPr>
          <w:p>
            <w:pPr>
              <w:pStyle w:val="Compact"/>
              <w:jc w:val="left"/>
            </w:pPr>
            <w:r>
              <w:rPr>
                <w:sz w:val="18"/>
              </w:rPr>
              <w:t xml:space="preserve">Global hospital budgets for non-CAH hospitals; AHEAD in full operation; Statewide Strategic Plan delivered December 2028</w:t>
            </w:r>
          </w:p>
        </w:tc>
        <w:tc>
          <w:tcPr>
            <w:tcW w:w="5040"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Design an APM and model a 5-year global-budget transition with Vermont’s All-Payer TCOC preset</w:t>
            </w:r>
          </w:p>
        </w:tc>
        <w:tc>
          <w:tcPr>
            <w:tcW w:w="2736"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3" w:type="dxa"/>
          </w:tcPr>
          <w:p>
            <w:pPr>
              <w:pStyle w:val="Compact"/>
              <w:jc w:val="left"/>
            </w:pPr>
            <w:r>
              <w:rPr>
                <w:sz w:val="18"/>
              </w:rPr>
              <w:t xml:space="preserve">How a binding revenue envelope changes the volume incentive the chapter describes.</w:t>
            </w:r>
          </w:p>
        </w:tc>
      </w:tr>
      <w:tr>
        <w:trPr/>
        <w:tc>
          <w:tcPr>
            <w:tcW w:w="3312" w:type="dxa"/>
          </w:tcPr>
          <w:p>
            <w:pPr>
              <w:pStyle w:val="Compact"/>
              <w:jc w:val="left"/>
            </w:pPr>
            <w:r>
              <w:rPr>
                <w:sz w:val="18"/>
              </w:rPr>
              <w:t xml:space="preserve">Stress-test a hospital’s finances under RBP, global-budget, and Medicaid-cut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6.13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t xml:space="preserve"> </w:t>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t xml:space="preserve"> </w:t>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t xml:space="preserve"> </w:t>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t xml:space="preserve"> </w:t>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t xml:space="preserve"> </w:t>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t xml:space="preserve"> </w:t>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t xml:space="preserve"> </w:t>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line="240" w:lineRule="auto"/>
        <w:rPr>
          <w:sz w:val="16"/>
        </w:rPr>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line="240" w:lineRule="auto"/>
        <w:rPr>
          <w:sz w:val="16"/>
        </w:rPr>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line="240" w:lineRule="auto"/>
        <w:rPr>
          <w:sz w:val="16"/>
        </w:rPr>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425"/>
        <w:gridCol w:w="2085"/>
        <w:gridCol w:w="2625"/>
        <w:gridCol w:w="2955"/>
      </w:tblGrid>
      <w:tr>
        <w:trPr>
          <w:tblHeader w:val="on"/>
          <w:cantSplit/>
        </w:trPr>
        <w:tc>
          <w:tcPr>
            <w:shd w:val="clear" w:color="auto" w:fill="1B3A6B"/>
            <w:tcW w:w="1425" w:type="dxa"/>
          </w:tcPr>
          <w:p>
            <w:pPr>
              <w:pStyle w:val="Compact"/>
              <w:jc w:val="left"/>
            </w:pPr>
            <w:r>
              <w:rPr>
                <w:b/>
                <w:color w:val="FFFFFF"/>
                <w:sz w:val="18"/>
              </w:rPr>
              <w:t xml:space="preserve">Step</w:t>
            </w:r>
          </w:p>
        </w:tc>
        <w:tc>
          <w:tcPr>
            <w:shd w:val="clear" w:color="auto" w:fill="1B3A6B"/>
            <w:tcW w:w="2085" w:type="dxa"/>
          </w:tcPr>
          <w:p>
            <w:pPr>
              <w:pStyle w:val="Compact"/>
              <w:jc w:val="left"/>
            </w:pPr>
            <w:r>
              <w:rPr>
                <w:b/>
                <w:color w:val="FFFFFF"/>
                <w:sz w:val="18"/>
              </w:rPr>
              <w:t xml:space="preserve">Formula / concept</w:t>
            </w:r>
          </w:p>
        </w:tc>
        <w:tc>
          <w:tcPr>
            <w:shd w:val="clear" w:color="auto" w:fill="1B3A6B"/>
            <w:tcW w:w="2625" w:type="dxa"/>
          </w:tcPr>
          <w:p>
            <w:pPr>
              <w:pStyle w:val="Compact"/>
              <w:jc w:val="left"/>
            </w:pPr>
            <w:r>
              <w:rPr>
                <w:b/>
                <w:color w:val="FFFFFF"/>
                <w:sz w:val="18"/>
              </w:rPr>
              <w:t xml:space="preserve">Practical meaning</w:t>
            </w:r>
          </w:p>
        </w:tc>
        <w:tc>
          <w:tcPr>
            <w:shd w:val="clear" w:color="auto" w:fill="1B3A6B"/>
            <w:tcW w:w="2955" w:type="dxa"/>
          </w:tcPr>
          <w:p>
            <w:pPr>
              <w:pStyle w:val="Compact"/>
              <w:jc w:val="left"/>
            </w:pPr>
            <w:r>
              <w:rPr>
                <w:b/>
                <w:color w:val="FFFFFF"/>
                <w:sz w:val="18"/>
              </w:rPr>
              <w:t xml:space="preserve">Vermont application</w:t>
            </w:r>
          </w:p>
        </w:tc>
      </w:tr>
      <w:tr>
        <w:trPr>
          <w:cantSplit/>
        </w:trPr>
        <w:tc>
          <w:tcPr>
            <w:tcW w:w="1425" w:type="dxa"/>
          </w:tcPr>
          <w:p>
            <w:pPr>
              <w:pStyle w:val="Compact"/>
              <w:jc w:val="left"/>
            </w:pPr>
            <w:r>
              <w:rPr>
                <w:sz w:val="18"/>
              </w:rPr>
              <w:t xml:space="preserve">1. Benchmark setting</w:t>
            </w:r>
          </w:p>
        </w:tc>
        <w:tc>
          <w:tcPr>
            <w:tcW w:w="2085" w:type="dxa"/>
          </w:tcPr>
          <w:p>
            <w:pPr>
              <w:pStyle w:val="Compact"/>
              <w:jc w:val="left"/>
            </w:pPr>
            <w:r>
              <w:rPr>
                <w:sz w:val="18"/>
              </w:rPr>
              <w:t xml:space="preserve">Benchmark PMPM × attributed member months = Total benchmark spending</w:t>
            </w:r>
          </w:p>
        </w:tc>
        <w:tc>
          <w:tcPr>
            <w:tcW w:w="2625"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955"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425" w:type="dxa"/>
          </w:tcPr>
          <w:p>
            <w:pPr>
              <w:pStyle w:val="Compact"/>
              <w:jc w:val="left"/>
            </w:pPr>
            <w:r>
              <w:rPr>
                <w:sz w:val="18"/>
              </w:rPr>
              <w:t xml:space="preserve">2. Performance measurement</w:t>
            </w:r>
          </w:p>
        </w:tc>
        <w:tc>
          <w:tcPr>
            <w:tcW w:w="2085" w:type="dxa"/>
          </w:tcPr>
          <w:p>
            <w:pPr>
              <w:pStyle w:val="Compact"/>
              <w:jc w:val="left"/>
            </w:pPr>
            <w:r>
              <w:rPr>
                <w:sz w:val="18"/>
              </w:rPr>
              <w:t xml:space="preserve">Actual total cost of care for attributed population</w:t>
            </w:r>
          </w:p>
        </w:tc>
        <w:tc>
          <w:tcPr>
            <w:tcW w:w="2625"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955" w:type="dxa"/>
          </w:tcPr>
          <w:p>
            <w:pPr>
              <w:pStyle w:val="Compact"/>
              <w:jc w:val="left"/>
            </w:pPr>
            <w:r>
              <w:rPr>
                <w:sz w:val="18"/>
              </w:rPr>
              <w:t xml:space="preserve">AHEAD tracks total cost of care for Medicare FFS beneficiaries attributed to Vermont hospitals across all payer settings.</w:t>
            </w:r>
          </w:p>
        </w:tc>
      </w:tr>
      <w:tr>
        <w:trPr/>
        <w:tc>
          <w:tcPr>
            <w:tcW w:w="1425" w:type="dxa"/>
          </w:tcPr>
          <w:p>
            <w:pPr>
              <w:pStyle w:val="Compact"/>
              <w:jc w:val="left"/>
            </w:pPr>
            <w:r>
              <w:rPr>
                <w:sz w:val="18"/>
              </w:rPr>
              <w:t xml:space="preserve">3. Savings calculation</w:t>
            </w:r>
          </w:p>
        </w:tc>
        <w:tc>
          <w:tcPr>
            <w:tcW w:w="2085" w:type="dxa"/>
          </w:tcPr>
          <w:p>
            <w:pPr>
              <w:pStyle w:val="Compact"/>
              <w:jc w:val="left"/>
            </w:pPr>
            <w:r>
              <w:rPr>
                <w:sz w:val="18"/>
              </w:rPr>
              <w:t xml:space="preserve">Benchmark - Actual TCOC = Gross savings (or loss)</w:t>
            </w:r>
          </w:p>
        </w:tc>
        <w:tc>
          <w:tcPr>
            <w:tcW w:w="2625" w:type="dxa"/>
          </w:tcPr>
          <w:p>
            <w:pPr>
              <w:pStyle w:val="Compact"/>
              <w:jc w:val="left"/>
            </w:pPr>
            <w:r>
              <w:rPr>
                <w:sz w:val="18"/>
              </w:rPr>
              <w:t xml:space="preserve">If actual spending is below benchmark, gross savings exist. If above, gross loss.</w:t>
            </w:r>
          </w:p>
        </w:tc>
        <w:tc>
          <w:tcPr>
            <w:tcW w:w="2955"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425" w:type="dxa"/>
          </w:tcPr>
          <w:p>
            <w:pPr>
              <w:pStyle w:val="Compact"/>
              <w:jc w:val="left"/>
            </w:pPr>
            <w:r>
              <w:rPr>
                <w:sz w:val="18"/>
              </w:rPr>
              <w:t xml:space="preserve">4. Minimum savings rate (MSR)</w:t>
            </w:r>
          </w:p>
        </w:tc>
        <w:tc>
          <w:tcPr>
            <w:tcW w:w="2085" w:type="dxa"/>
          </w:tcPr>
          <w:p>
            <w:pPr>
              <w:pStyle w:val="Compact"/>
              <w:jc w:val="left"/>
            </w:pPr>
            <w:r>
              <w:rPr>
                <w:sz w:val="18"/>
              </w:rPr>
              <w:t xml:space="preserve">In most shared savings models, savings must exceed a minimum threshold (typically 2-3.5%) before the organization shares in them</w:t>
            </w:r>
          </w:p>
        </w:tc>
        <w:tc>
          <w:tcPr>
            <w:tcW w:w="2625" w:type="dxa"/>
          </w:tcPr>
          <w:p>
            <w:pPr>
              <w:pStyle w:val="Compact"/>
              <w:jc w:val="left"/>
            </w:pPr>
            <w:r>
              <w:rPr>
                <w:sz w:val="18"/>
              </w:rPr>
              <w:t xml:space="preserve">Protects against natural year-to-year cost variation triggering shared savings or losses that don’t reflect genuine performance changes.</w:t>
            </w:r>
          </w:p>
        </w:tc>
        <w:tc>
          <w:tcPr>
            <w:tcW w:w="2955"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425" w:type="dxa"/>
          </w:tcPr>
          <w:p>
            <w:pPr>
              <w:pStyle w:val="Compact"/>
              <w:jc w:val="left"/>
            </w:pPr>
            <w:r>
              <w:rPr>
                <w:sz w:val="18"/>
              </w:rPr>
              <w:t xml:space="preserve">5. Shared savings calculation</w:t>
            </w:r>
          </w:p>
        </w:tc>
        <w:tc>
          <w:tcPr>
            <w:tcW w:w="2085" w:type="dxa"/>
          </w:tcPr>
          <w:p>
            <w:pPr>
              <w:pStyle w:val="Compact"/>
              <w:jc w:val="left"/>
            </w:pPr>
            <w:r>
              <w:rPr>
                <w:sz w:val="18"/>
              </w:rPr>
              <w:t xml:space="preserve">Gross savings × sharing rate = Organization’s shared savings payment (or loss obligation)</w:t>
            </w:r>
          </w:p>
        </w:tc>
        <w:tc>
          <w:tcPr>
            <w:tcW w:w="2625" w:type="dxa"/>
          </w:tcPr>
          <w:p>
            <w:pPr>
              <w:pStyle w:val="Compact"/>
              <w:jc w:val="left"/>
            </w:pPr>
            <w:r>
              <w:rPr>
                <w:sz w:val="18"/>
              </w:rPr>
              <w:t xml:space="preserve">Sharing rates vary by model and risk track — typically 50-75% for one-sided models; may reach 80% for full-risk models.</w:t>
            </w:r>
          </w:p>
        </w:tc>
        <w:tc>
          <w:tcPr>
            <w:tcW w:w="2955"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Sources: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$15,000</w:t>
            </w:r>
          </w:p>
          <w:p>
            <w:pPr>
              <w:jc w:val="center"/>
              <w:spacing w:after="40"/>
            </w:pPr>
            <w:r>
              <w:rPr>
                <w:rFonts w:ascii="Calibri" w:hAnsi="Calibri"/>
                <w:b/>
                <w:sz w:val="16"/>
                <w:color w:val="1B3A6B"/>
              </w:rPr>
              <w:t>Avg. Inpatient Cost Prevented</w:t>
            </w:r>
          </w:p>
        </w:tc>
        <w:tc>
          <w:tcPr>
            <w:tcW w:w="2268" w:type="dxa"/>
            <w:shd w:val="clear" w:color="auto" w:fill="E8F0FB"/>
            <w:vAlign w:val="center"/>
          </w:tcPr>
          <w:p>
            <w:pPr>
              <w:jc w:val="center"/>
              <w:spacing w:after="20" w:before="40"/>
            </w:pPr>
            <w:r>
              <w:rPr>
                <w:rFonts w:ascii="Calibri" w:hAnsi="Calibri"/>
                <w:b/>
                <w:sz w:val="16"/>
                <w:color w:val="1B3A6B"/>
              </w:rPr>
              <w:t>$1,800</w:t>
            </w:r>
          </w:p>
          <w:p>
            <w:pPr>
              <w:jc w:val="center"/>
              <w:spacing w:after="40"/>
            </w:pPr>
            <w:r>
              <w:rPr>
                <w:rFonts w:ascii="Calibri" w:hAnsi="Calibri"/>
                <w:b/>
                <w:sz w:val="16"/>
                <w:color w:val="1B3A6B"/>
              </w:rPr>
              <w:t>Avg. Preventable ED Visit</w:t>
            </w:r>
          </w:p>
        </w:tc>
        <w:tc>
          <w:tcPr>
            <w:tcW w:w="2268" w:type="dxa"/>
            <w:shd w:val="clear" w:color="auto" w:fill="E8F0FB"/>
            <w:vAlign w:val="center"/>
          </w:tcPr>
          <w:p>
            <w:pPr>
              <w:jc w:val="center"/>
              <w:spacing w:after="20" w:before="40"/>
            </w:pPr>
            <w:r>
              <w:rPr>
                <w:rFonts w:ascii="Calibri" w:hAnsi="Calibri"/>
                <w:b/>
                <w:sz w:val="16"/>
                <w:color w:val="1B3A6B"/>
              </w:rPr>
              <w:t>3–5x</w:t>
            </w:r>
          </w:p>
          <w:p>
            <w:pPr>
              <w:jc w:val="center"/>
              <w:spacing w:after="40"/>
            </w:pPr>
            <w:r>
              <w:rPr>
                <w:rFonts w:ascii="Calibri" w:hAnsi="Calibri"/>
                <w:b/>
                <w:sz w:val="16"/>
                <w:color w:val="1B3A6B"/>
              </w:rPr>
              <w:t>Care Management ROI Range</w:t>
            </w:r>
          </w:p>
        </w:tc>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VT Potentially Avoidable ED Visits</w:t>
            </w:r>
          </w:p>
        </w:tc>
      </w:tr>
    </w:tbl>
    <w:p>
      <w:pPr>
        <w:spacing w:after="120"/>
      </w:pPr>
    </w:p>
    <w:p>
      <w:pPr>
        <w:pStyle w:val="Heading2"/>
        <w:pBdr>
          <w:top w:val="single" w:sz="6" w:space="10" w:color="C9D2DF"/>
        </w:pBdr>
        <w:keepNext w:val="false"/>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115"/>
        <w:gridCol w:w="6945"/>
      </w:tblGrid>
      <w:tr>
        <w:trPr>
          <w:tblHeader w:val="on"/>
          <w:cantSplit/>
        </w:trPr>
        <w:tc>
          <w:tcPr>
            <w:shd w:val="clear" w:color="auto" w:fill="1B3A6B"/>
            <w:tcW w:w="2115" w:type="dxa"/>
          </w:tcPr>
          <w:p>
            <w:pPr>
              <w:pStyle w:val="Compact"/>
              <w:jc w:val="left"/>
            </w:pPr>
            <w:r>
              <w:rPr>
                <w:b/>
                <w:color w:val="FFFFFF"/>
                <w:sz w:val="18"/>
              </w:rPr>
              <w:t xml:space="preserve">Contract provision category</w:t>
            </w:r>
          </w:p>
        </w:tc>
        <w:tc>
          <w:tcPr>
            <w:shd w:val="clear" w:color="auto" w:fill="1B3A6B"/>
            <w:tcW w:w="6945" w:type="dxa"/>
          </w:tcPr>
          <w:p>
            <w:pPr>
              <w:pStyle w:val="Compact"/>
              <w:jc w:val="left"/>
            </w:pPr>
            <w:r>
              <w:rPr>
                <w:b/>
                <w:color w:val="FFFFFF"/>
                <w:sz w:val="18"/>
              </w:rPr>
              <w:t xml:space="preserve">Key questions and financial risk</w:t>
            </w:r>
          </w:p>
        </w:tc>
      </w:tr>
      <w:tr>
        <w:trPr>
          <w:cantSplit/>
        </w:trPr>
        <w:tc>
          <w:tcPr>
            <w:tcW w:w="2115" w:type="dxa"/>
          </w:tcPr>
          <w:p>
            <w:pPr>
              <w:pStyle w:val="Compact"/>
              <w:jc w:val="left"/>
            </w:pPr>
            <w:r>
              <w:rPr>
                <w:sz w:val="18"/>
              </w:rPr>
              <w:t xml:space="preserve">Benchmark methodology</w:t>
            </w:r>
          </w:p>
        </w:tc>
        <w:tc>
          <w:tcPr>
            <w:tcW w:w="694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115" w:type="dxa"/>
          </w:tcPr>
          <w:p>
            <w:pPr>
              <w:pStyle w:val="Compact"/>
              <w:jc w:val="left"/>
            </w:pPr>
            <w:r>
              <w:rPr>
                <w:sz w:val="18"/>
              </w:rPr>
              <w:t xml:space="preserve">Attribution methodology</w:t>
            </w:r>
          </w:p>
        </w:tc>
        <w:tc>
          <w:tcPr>
            <w:tcW w:w="694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115" w:type="dxa"/>
          </w:tcPr>
          <w:p>
            <w:pPr>
              <w:pStyle w:val="Compact"/>
              <w:jc w:val="left"/>
            </w:pPr>
            <w:r>
              <w:rPr>
                <w:sz w:val="18"/>
              </w:rPr>
              <w:t xml:space="preserve">Quality withhold</w:t>
            </w:r>
          </w:p>
        </w:tc>
        <w:tc>
          <w:tcPr>
            <w:tcW w:w="694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115" w:type="dxa"/>
          </w:tcPr>
          <w:p>
            <w:pPr>
              <w:pStyle w:val="Compact"/>
              <w:jc w:val="left"/>
            </w:pPr>
            <w:r>
              <w:rPr>
                <w:sz w:val="18"/>
              </w:rPr>
              <w:t xml:space="preserve">Risk corridors and stop-loss</w:t>
            </w:r>
          </w:p>
        </w:tc>
        <w:tc>
          <w:tcPr>
            <w:tcW w:w="694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115" w:type="dxa"/>
          </w:tcPr>
          <w:p>
            <w:pPr>
              <w:pStyle w:val="Compact"/>
              <w:jc w:val="left"/>
            </w:pPr>
            <w:r>
              <w:rPr>
                <w:sz w:val="18"/>
              </w:rPr>
              <w:t xml:space="preserve">Carve-outs</w:t>
            </w:r>
          </w:p>
        </w:tc>
        <w:tc>
          <w:tcPr>
            <w:tcW w:w="694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115" w:type="dxa"/>
          </w:tcPr>
          <w:p>
            <w:pPr>
              <w:pStyle w:val="Compact"/>
              <w:jc w:val="left"/>
            </w:pPr>
            <w:r>
              <w:rPr>
                <w:sz w:val="18"/>
              </w:rPr>
              <w:t xml:space="preserve">Reconciliation timing</w:t>
            </w:r>
          </w:p>
        </w:tc>
        <w:tc>
          <w:tcPr>
            <w:tcW w:w="694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Figure 7.3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3930"/>
        <w:gridCol w:w="5145"/>
      </w:tblGrid>
      <w:tr>
        <w:trPr>
          <w:tblHeader w:val="on"/>
          <w:cantSplit/>
        </w:trPr>
        <w:tc>
          <w:tcPr>
            <w:shd w:val="clear" w:color="auto" w:fill="1B3A6B"/>
            <w:tcW w:w="3930" w:type="dxa"/>
          </w:tcPr>
          <w:p>
            <w:pPr>
              <w:pStyle w:val="Compact"/>
              <w:jc w:val="left"/>
            </w:pPr>
            <w:r>
              <w:rPr>
                <w:b/>
                <w:color w:val="FFFFFF"/>
                <w:sz w:val="18"/>
              </w:rPr>
              <w:t xml:space="preserve">Under FFS — optimize these metrics</w:t>
            </w:r>
          </w:p>
        </w:tc>
        <w:tc>
          <w:tcPr>
            <w:shd w:val="clear" w:color="auto" w:fill="1B3A6B"/>
            <w:tcW w:w="5145" w:type="dxa"/>
          </w:tcPr>
          <w:p>
            <w:pPr>
              <w:pStyle w:val="Compact"/>
              <w:jc w:val="left"/>
            </w:pPr>
            <w:r>
              <w:rPr>
                <w:b/>
                <w:color w:val="FFFFFF"/>
                <w:sz w:val="18"/>
              </w:rPr>
              <w:t xml:space="preserve">Under global budget — optimize these metrics</w:t>
            </w:r>
          </w:p>
        </w:tc>
      </w:tr>
      <w:tr>
        <w:trPr>
          <w:cantSplit/>
        </w:trPr>
        <w:tc>
          <w:tcPr>
            <w:tcW w:w="3930" w:type="dxa"/>
          </w:tcPr>
          <w:p>
            <w:pPr>
              <w:pStyle w:val="Compact"/>
              <w:jc w:val="left"/>
            </w:pPr>
            <w:r>
              <w:rPr>
                <w:sz w:val="18"/>
              </w:rPr>
              <w:t xml:space="preserve">Revenue per discharge — maximize reimbursement per case</w:t>
            </w:r>
          </w:p>
        </w:tc>
        <w:tc>
          <w:tcPr>
            <w:tcW w:w="5145" w:type="dxa"/>
          </w:tcPr>
          <w:p>
            <w:pPr>
              <w:pStyle w:val="Compact"/>
              <w:jc w:val="left"/>
            </w:pPr>
            <w:r>
              <w:rPr>
                <w:sz w:val="18"/>
              </w:rPr>
              <w:t xml:space="preserve">Cost per discharge — minimize unnecessary cost while maintaining quality</w:t>
            </w:r>
          </w:p>
        </w:tc>
      </w:tr>
      <w:tr>
        <w:trPr/>
        <w:tc>
          <w:tcPr>
            <w:tcW w:w="3930" w:type="dxa"/>
          </w:tcPr>
          <w:p>
            <w:pPr>
              <w:pStyle w:val="Compact"/>
              <w:jc w:val="left"/>
            </w:pPr>
            <w:r>
              <w:rPr>
                <w:sz w:val="18"/>
              </w:rPr>
              <w:t xml:space="preserve">Admission volume — more admissions = more revenue</w:t>
            </w:r>
          </w:p>
        </w:tc>
        <w:tc>
          <w:tcPr>
            <w:tcW w:w="5145" w:type="dxa"/>
          </w:tcPr>
          <w:p>
            <w:pPr>
              <w:pStyle w:val="Compact"/>
              <w:jc w:val="left"/>
            </w:pPr>
            <w:r>
              <w:rPr>
                <w:sz w:val="18"/>
              </w:rPr>
              <w:t xml:space="preserve">Avoidable admission rate — every preventable admission is a cost, not revenue</w:t>
            </w:r>
          </w:p>
        </w:tc>
      </w:tr>
      <w:tr>
        <w:trPr/>
        <w:tc>
          <w:tcPr>
            <w:tcW w:w="3930" w:type="dxa"/>
          </w:tcPr>
          <w:p>
            <w:pPr>
              <w:pStyle w:val="Compact"/>
              <w:jc w:val="left"/>
            </w:pPr>
            <w:r>
              <w:rPr>
                <w:sz w:val="18"/>
              </w:rPr>
              <w:t xml:space="preserve">Length of stay — maximize revenue per stay</w:t>
            </w:r>
          </w:p>
        </w:tc>
        <w:tc>
          <w:tcPr>
            <w:tcW w:w="5145" w:type="dxa"/>
          </w:tcPr>
          <w:p>
            <w:pPr>
              <w:pStyle w:val="Compact"/>
              <w:jc w:val="left"/>
            </w:pPr>
            <w:r>
              <w:rPr>
                <w:sz w:val="18"/>
              </w:rPr>
              <w:t xml:space="preserve">Efficient length of stay — unnecessary days are costs without revenue offset</w:t>
            </w:r>
          </w:p>
        </w:tc>
      </w:tr>
      <w:tr>
        <w:trPr/>
        <w:tc>
          <w:tcPr>
            <w:tcW w:w="3930" w:type="dxa"/>
          </w:tcPr>
          <w:p>
            <w:pPr>
              <w:pStyle w:val="Compact"/>
              <w:jc w:val="left"/>
            </w:pPr>
            <w:r>
              <w:rPr>
                <w:sz w:val="18"/>
              </w:rPr>
              <w:t xml:space="preserve">Service line volume — grow profitable service lines</w:t>
            </w:r>
          </w:p>
        </w:tc>
        <w:tc>
          <w:tcPr>
            <w:tcW w:w="5145" w:type="dxa"/>
          </w:tcPr>
          <w:p>
            <w:pPr>
              <w:pStyle w:val="Compact"/>
              <w:jc w:val="left"/>
            </w:pPr>
            <w:r>
              <w:rPr>
                <w:sz w:val="18"/>
              </w:rPr>
              <w:t xml:space="preserve">PMPM population health cost — manage population health to stay within budget</w:t>
            </w:r>
          </w:p>
        </w:tc>
      </w:tr>
      <w:tr>
        <w:trPr/>
        <w:tc>
          <w:tcPr>
            <w:tcW w:w="3930" w:type="dxa"/>
          </w:tcPr>
          <w:p>
            <w:pPr>
              <w:pStyle w:val="Compact"/>
              <w:jc w:val="left"/>
            </w:pPr>
            <w:r>
              <w:rPr>
                <w:sz w:val="18"/>
              </w:rPr>
              <w:t xml:space="preserve">Payer mix — maximize commercially insured cases</w:t>
            </w:r>
          </w:p>
        </w:tc>
        <w:tc>
          <w:tcPr>
            <w:tcW w:w="5145" w:type="dxa"/>
          </w:tcPr>
          <w:p>
            <w:pPr>
              <w:pStyle w:val="Compact"/>
              <w:jc w:val="left"/>
            </w:pPr>
            <w:r>
              <w:rPr>
                <w:sz w:val="18"/>
              </w:rPr>
              <w:t xml:space="preserve">Quality performance — quality metrics determine budget adjustments and AHEAD performance</w:t>
            </w:r>
          </w:p>
        </w:tc>
      </w:tr>
      <w:tr>
        <w:trPr/>
        <w:tc>
          <w:tcPr>
            <w:tcW w:w="3930" w:type="dxa"/>
          </w:tcPr>
          <w:p>
            <w:pPr>
              <w:pStyle w:val="Compact"/>
              <w:jc w:val="left"/>
            </w:pPr>
            <w:r>
              <w:rPr>
                <w:sz w:val="18"/>
              </w:rPr>
              <w:t xml:space="preserve">Denials management — recover denied claims</w:t>
            </w:r>
          </w:p>
        </w:tc>
        <w:tc>
          <w:tcPr>
            <w:tcW w:w="5145" w:type="dxa"/>
          </w:tcPr>
          <w:p>
            <w:pPr>
              <w:pStyle w:val="Compact"/>
              <w:jc w:val="left"/>
            </w:pPr>
            <w:r>
              <w:rPr>
                <w:sz w:val="18"/>
              </w:rPr>
              <w:t xml:space="preserve">Potentially avoidable utilization — prevent the ED visits and admissions that waste budget</w:t>
            </w:r>
          </w:p>
        </w:tc>
      </w:tr>
      <w:tr>
        <w:trPr/>
        <w:tc>
          <w:tcPr>
            <w:tcW w:w="3930" w:type="dxa"/>
          </w:tcPr>
          <w:p>
            <w:pPr>
              <w:pStyle w:val="Compact"/>
              <w:jc w:val="left"/>
            </w:pPr>
            <w:r>
              <w:rPr>
                <w:sz w:val="18"/>
              </w:rPr>
              <w:t xml:space="preserve">Case mix index — capture higher-acuity cases</w:t>
            </w:r>
          </w:p>
        </w:tc>
        <w:tc>
          <w:tcPr>
            <w:tcW w:w="5145" w:type="dxa"/>
          </w:tcPr>
          <w:p>
            <w:pPr>
              <w:pStyle w:val="Compact"/>
              <w:jc w:val="left"/>
            </w:pPr>
            <w:r>
              <w:rPr>
                <w:sz w:val="18"/>
              </w:rPr>
              <w:t xml:space="preserve">Community investment ROI — SDOH programs that reduce utilization have direct financial return</w:t>
            </w:r>
          </w:p>
        </w:tc>
      </w:tr>
      <w:tr>
        <w:trPr>
          <w:cantSplit/>
        </w:trPr>
        <w:tc>
          <w:tcPr>
            <w:tcW w:w="3930" w:type="dxa"/>
          </w:tcPr>
          <w:p>
            <w:pPr>
              <w:pStyle w:val="Compact"/>
              <w:jc w:val="left"/>
            </w:pPr>
            <w:r>
              <w:rPr>
                <w:sz w:val="18"/>
              </w:rPr>
              <w:t xml:space="preserve">Operating margin per adjusted discharge</w:t>
            </w:r>
          </w:p>
        </w:tc>
        <w:tc>
          <w:tcPr>
            <w:tcW w:w="5145"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470"/>
        <w:gridCol w:w="2085"/>
        <w:gridCol w:w="2475"/>
        <w:gridCol w:w="3030"/>
      </w:tblGrid>
      <w:tr>
        <w:trPr>
          <w:tblHeader w:val="on"/>
          <w:cantSplit/>
        </w:trPr>
        <w:tc>
          <w:tcPr>
            <w:shd w:val="clear" w:color="auto" w:fill="1B3A6B"/>
            <w:tcW w:w="1470" w:type="dxa"/>
          </w:tcPr>
          <w:p>
            <w:pPr>
              <w:pStyle w:val="Compact"/>
              <w:jc w:val="left"/>
            </w:pPr>
            <w:r>
              <w:rPr>
                <w:b/>
                <w:color w:val="FFFFFF"/>
                <w:sz w:val="18"/>
              </w:rPr>
              <w:t xml:space="preserve">Investment type</w:t>
            </w:r>
          </w:p>
        </w:tc>
        <w:tc>
          <w:tcPr>
            <w:shd w:val="clear" w:color="auto" w:fill="1B3A6B"/>
            <w:tcW w:w="2085" w:type="dxa"/>
          </w:tcPr>
          <w:p>
            <w:pPr>
              <w:pStyle w:val="Compact"/>
              <w:jc w:val="left"/>
            </w:pPr>
            <w:r>
              <w:rPr>
                <w:b/>
                <w:color w:val="FFFFFF"/>
                <w:sz w:val="18"/>
              </w:rPr>
              <w:t xml:space="preserve">Revenue/savings mechanism</w:t>
            </w:r>
          </w:p>
        </w:tc>
        <w:tc>
          <w:tcPr>
            <w:shd w:val="clear" w:color="auto" w:fill="1B3A6B"/>
            <w:tcW w:w="2475" w:type="dxa"/>
          </w:tcPr>
          <w:p>
            <w:pPr>
              <w:pStyle w:val="Compact"/>
              <w:jc w:val="left"/>
            </w:pPr>
            <w:r>
              <w:rPr>
                <w:b/>
                <w:color w:val="FFFFFF"/>
                <w:sz w:val="18"/>
              </w:rPr>
              <w:t xml:space="preserve">Calculation approach</w:t>
            </w:r>
          </w:p>
        </w:tc>
        <w:tc>
          <w:tcPr>
            <w:shd w:val="clear" w:color="auto" w:fill="1B3A6B"/>
            <w:tcW w:w="3030" w:type="dxa"/>
          </w:tcPr>
          <w:p>
            <w:pPr>
              <w:pStyle w:val="Compact"/>
              <w:jc w:val="left"/>
            </w:pPr>
            <w:r>
              <w:rPr>
                <w:b/>
                <w:color w:val="FFFFFF"/>
                <w:sz w:val="18"/>
              </w:rPr>
              <w:t xml:space="preserve">Vermont example</w:t>
            </w:r>
          </w:p>
        </w:tc>
      </w:tr>
      <w:tr>
        <w:trPr>
          <w:cantSplit/>
        </w:trPr>
        <w:tc>
          <w:tcPr>
            <w:tcW w:w="1470" w:type="dxa"/>
          </w:tcPr>
          <w:p>
            <w:pPr>
              <w:pStyle w:val="Compact"/>
              <w:jc w:val="left"/>
            </w:pPr>
            <w:r>
              <w:rPr>
                <w:sz w:val="18"/>
              </w:rPr>
              <w:t xml:space="preserve">Care management program</w:t>
            </w:r>
          </w:p>
        </w:tc>
        <w:tc>
          <w:tcPr>
            <w:tcW w:w="2085" w:type="dxa"/>
          </w:tcPr>
          <w:p>
            <w:pPr>
              <w:pStyle w:val="Compact"/>
              <w:jc w:val="left"/>
            </w:pPr>
            <w:r>
              <w:rPr>
                <w:sz w:val="18"/>
              </w:rPr>
              <w:t xml:space="preserve">Prevents hospitalizations and ED visits that, under VBC, are costs without offsetting revenue</w:t>
            </w:r>
          </w:p>
        </w:tc>
        <w:tc>
          <w:tcPr>
            <w:tcW w:w="2475" w:type="dxa"/>
          </w:tcPr>
          <w:p>
            <w:pPr>
              <w:pStyle w:val="Compact"/>
              <w:jc w:val="left"/>
            </w:pPr>
            <w:r>
              <w:rPr>
                <w:sz w:val="18"/>
              </w:rPr>
              <w:t xml:space="preserve">(Prevented events) × (average cost per event) - (program operating cost) = Net savings. Divide by program cost for ROI.</w:t>
            </w:r>
          </w:p>
        </w:tc>
        <w:tc>
          <w:tcPr>
            <w:tcW w:w="3030"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470" w:type="dxa"/>
          </w:tcPr>
          <w:p>
            <w:pPr>
              <w:pStyle w:val="Compact"/>
              <w:jc w:val="left"/>
            </w:pPr>
            <w:r>
              <w:rPr>
                <w:sz w:val="18"/>
              </w:rPr>
              <w:t xml:space="preserve">Behavioral health integration (CoCM)</w:t>
            </w:r>
          </w:p>
        </w:tc>
        <w:tc>
          <w:tcPr>
            <w:tcW w:w="2085" w:type="dxa"/>
          </w:tcPr>
          <w:p>
            <w:pPr>
              <w:pStyle w:val="Compact"/>
              <w:jc w:val="left"/>
            </w:pPr>
            <w:r>
              <w:rPr>
                <w:sz w:val="18"/>
              </w:rPr>
              <w:t xml:space="preserve">Reduces downstream high-cost utilization — hospitalizations, ED visits for MH crisis — for patients receiving earlier MH intervention</w:t>
            </w:r>
          </w:p>
        </w:tc>
        <w:tc>
          <w:tcPr>
            <w:tcW w:w="2475"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3030"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470" w:type="dxa"/>
          </w:tcPr>
          <w:p>
            <w:pPr>
              <w:pStyle w:val="Compact"/>
              <w:jc w:val="left"/>
            </w:pPr>
            <w:r>
              <w:rPr>
                <w:sz w:val="18"/>
              </w:rPr>
              <w:t xml:space="preserve">SDOH program investment</w:t>
            </w:r>
          </w:p>
        </w:tc>
        <w:tc>
          <w:tcPr>
            <w:tcW w:w="2085"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475"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3030"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470" w:type="dxa"/>
          </w:tcPr>
          <w:p>
            <w:pPr>
              <w:pStyle w:val="Compact"/>
              <w:jc w:val="left"/>
            </w:pPr>
            <w:r>
              <w:rPr>
                <w:sz w:val="18"/>
              </w:rPr>
              <w:t xml:space="preserve">Primary care investment (PCMH enhanced payments)</w:t>
            </w:r>
          </w:p>
        </w:tc>
        <w:tc>
          <w:tcPr>
            <w:tcW w:w="2085" w:type="dxa"/>
          </w:tcPr>
          <w:p>
            <w:pPr>
              <w:pStyle w:val="Compact"/>
              <w:jc w:val="left"/>
            </w:pPr>
            <w:r>
              <w:rPr>
                <w:sz w:val="18"/>
              </w:rPr>
              <w:t xml:space="preserve">Reduces hospitalizations and specialty care through better chronic disease management and early intervention</w:t>
            </w:r>
          </w:p>
        </w:tc>
        <w:tc>
          <w:tcPr>
            <w:tcW w:w="2475"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3030"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470" w:type="dxa"/>
          </w:tcPr>
          <w:p>
            <w:pPr>
              <w:pStyle w:val="Compact"/>
              <w:jc w:val="left"/>
            </w:pPr>
            <w:r>
              <w:rPr>
                <w:sz w:val="18"/>
              </w:rPr>
              <w:t xml:space="preserve">Telehealth for rural access</w:t>
            </w:r>
          </w:p>
        </w:tc>
        <w:tc>
          <w:tcPr>
            <w:tcW w:w="2085"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475"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3030"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Model shared savings/loss under any APM contract (benchmark PMPM, sharing rate, MSR, stop-loss)</w:t>
            </w:r>
          </w:p>
        </w:tc>
        <w:tc>
          <w:tcPr>
            <w:tcW w:w="2736"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3"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312" w:type="dxa"/>
          </w:tcPr>
          <w:p>
            <w:pPr>
              <w:pStyle w:val="Compact"/>
              <w:jc w:val="left"/>
            </w:pPr>
            <w:r>
              <w:rPr>
                <w:sz w:val="18"/>
              </w:rPr>
              <w:t xml:space="preserve">Score an organization’s value-based-care readiness across six domains</w:t>
            </w:r>
          </w:p>
        </w:tc>
        <w:tc>
          <w:tcPr>
            <w:tcW w:w="2736"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3" w:type="dxa"/>
          </w:tcPr>
          <w:p>
            <w:pPr>
              <w:pStyle w:val="Compact"/>
              <w:jc w:val="left"/>
            </w:pPr>
            <w:r>
              <w:rPr>
                <w:sz w:val="18"/>
              </w:rPr>
              <w:t xml:space="preserve">Which domain is the binding constraint before assuming downside risk.</w:t>
            </w:r>
          </w:p>
        </w:tc>
      </w:tr>
      <w:tr>
        <w:trPr/>
        <w:tc>
          <w:tcPr>
            <w:tcW w:w="3312" w:type="dxa"/>
          </w:tcPr>
          <w:p>
            <w:pPr>
              <w:pStyle w:val="Compact"/>
              <w:jc w:val="left"/>
            </w:pPr>
            <w:r>
              <w:rPr>
                <w:sz w:val="18"/>
              </w:rPr>
              <w:t xml:space="preserve">Run a cost-effectiveness analysis on a proposed intervention</w:t>
            </w:r>
          </w:p>
        </w:tc>
        <w:tc>
          <w:tcPr>
            <w:tcW w:w="2736"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3" w:type="dxa"/>
          </w:tcPr>
          <w:p>
            <w:pPr>
              <w:pStyle w:val="Compact"/>
              <w:jc w:val="left"/>
            </w:pPr>
            <w:r>
              <w:rPr>
                <w:sz w:val="18"/>
              </w:rPr>
              <w:t xml:space="preserve">Whether the ROI case survives contact with the numbers.</w:t>
            </w:r>
          </w:p>
        </w:tc>
      </w:tr>
      <w:tr>
        <w:trPr/>
        <w:tc>
          <w:tcPr>
            <w:tcW w:w="3312" w:type="dxa"/>
          </w:tcPr>
          <w:p>
            <w:pPr>
              <w:pStyle w:val="Compact"/>
              <w:jc w:val="left"/>
            </w:pPr>
            <w:r>
              <w:rPr>
                <w:sz w:val="18"/>
              </w:rPr>
              <w:t xml:space="preserve">Stress-test a hospital’s finances against reference-based pricing and global budget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The years the hospital is thinnest. For most Vermont hospitals that is FY2027-28, not the FY2030 destination.</w:t>
            </w:r>
          </w:p>
        </w:tc>
      </w:tr>
      <w:tr>
        <w:trPr>
          <w:cantSplit/>
        </w:trPr>
        <w:tc>
          <w:tcPr>
            <w:tcW w:w="3312" w:type="dxa"/>
          </w:tcPr>
          <w:p>
            <w:pPr>
              <w:pStyle w:val="Compact"/>
              <w:jc w:val="left"/>
            </w:pPr>
            <w:r>
              <w:rPr>
                <w:sz w:val="18"/>
              </w:rPr>
              <w:t xml:space="preserve">Track capital committed against each pillar and find where funding runs ahead of dependency order</w:t>
            </w:r>
          </w:p>
        </w:tc>
        <w:tc>
          <w:tcPr>
            <w:tcW w:w="2736"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3023"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7.6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t xml:space="preserve"> </w:t>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t xml:space="preserve"> </w:t>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t xml:space="preserve"> </w:t>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t xml:space="preserve"> </w:t>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t xml:space="preserve"> </w:t>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t xml:space="preserve"> </w:t>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t xml:space="preserve"> </w:t>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Blueprint ROI: medical expenditure reduction per $1M invested $5.8M Lower hospitalization and outpatient facility use (Population Health Management study)</w:t>
            </w:r>
          </w:p>
        </w:tc>
        <w:tc>
          <w:tcPr>
            <w:shd w:val="clear" w:color="auto" w:fill="EDF2F9"/>
            <w:tcW w:w="4536" w:type="dxa"/>
          </w:tcPr>
          <w:p>
            <w:pPr>
              <w:pStyle w:val="Compact"/>
              <w:jc w:val="left"/>
            </w:pPr>
            <w:r>
              <w:rPr>
                <w:b/>
                <w:color w:val="111111"/>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line="240" w:lineRule="auto"/>
        <w:rPr>
          <w:sz w:val="16"/>
        </w:rPr>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620"/>
        <w:gridCol w:w="1125"/>
        <w:gridCol w:w="2970"/>
        <w:gridCol w:w="3345"/>
      </w:tblGrid>
      <w:tr>
        <w:trPr>
          <w:tblHeader w:val="on"/>
          <w:cantSplit/>
        </w:trPr>
        <w:tc>
          <w:tcPr>
            <w:shd w:val="clear" w:color="auto" w:fill="1B3A6B"/>
            <w:tcW w:w="1620" w:type="dxa"/>
          </w:tcPr>
          <w:p>
            <w:pPr>
              <w:pStyle w:val="Compact"/>
              <w:jc w:val="left"/>
            </w:pPr>
            <w:r>
              <w:rPr>
                <w:b/>
                <w:color w:val="FFFFFF"/>
                <w:sz w:val="18"/>
              </w:rPr>
              <w:t xml:space="preserve">CoCM component</w:t>
            </w:r>
          </w:p>
        </w:tc>
        <w:tc>
          <w:tcPr>
            <w:shd w:val="clear" w:color="auto" w:fill="1B3A6B"/>
            <w:tcW w:w="1125" w:type="dxa"/>
          </w:tcPr>
          <w:p>
            <w:pPr>
              <w:pStyle w:val="Compact"/>
              <w:jc w:val="left"/>
            </w:pPr>
            <w:r>
              <w:rPr>
                <w:b/>
                <w:color w:val="FFFFFF"/>
                <w:sz w:val="18"/>
              </w:rPr>
              <w:t xml:space="preserve">Role</w:t>
            </w:r>
          </w:p>
        </w:tc>
        <w:tc>
          <w:tcPr>
            <w:shd w:val="clear" w:color="auto" w:fill="1B3A6B"/>
            <w:tcW w:w="2970" w:type="dxa"/>
          </w:tcPr>
          <w:p>
            <w:pPr>
              <w:pStyle w:val="Compact"/>
              <w:jc w:val="left"/>
            </w:pPr>
            <w:r>
              <w:rPr>
                <w:b/>
                <w:color w:val="FFFFFF"/>
                <w:sz w:val="18"/>
              </w:rPr>
              <w:t xml:space="preserve">What they do</w:t>
            </w:r>
          </w:p>
        </w:tc>
        <w:tc>
          <w:tcPr>
            <w:shd w:val="clear" w:color="auto" w:fill="1B3A6B"/>
            <w:tcW w:w="3345" w:type="dxa"/>
          </w:tcPr>
          <w:p>
            <w:pPr>
              <w:pStyle w:val="Compact"/>
              <w:jc w:val="left"/>
            </w:pPr>
            <w:r>
              <w:rPr>
                <w:b/>
                <w:color w:val="FFFFFF"/>
                <w:sz w:val="18"/>
              </w:rPr>
              <w:t xml:space="preserve">Vermont application</w:t>
            </w:r>
          </w:p>
        </w:tc>
      </w:tr>
      <w:tr>
        <w:trPr>
          <w:cantSplit/>
        </w:trPr>
        <w:tc>
          <w:tcPr>
            <w:tcW w:w="1620" w:type="dxa"/>
          </w:tcPr>
          <w:p>
            <w:pPr>
              <w:pStyle w:val="Compact"/>
              <w:jc w:val="left"/>
            </w:pPr>
            <w:r>
              <w:rPr>
                <w:sz w:val="18"/>
              </w:rPr>
              <w:t xml:space="preserve">Primary Care Provider (PCP)</w:t>
            </w:r>
          </w:p>
        </w:tc>
        <w:tc>
          <w:tcPr>
            <w:tcW w:w="1125" w:type="dxa"/>
          </w:tcPr>
          <w:p>
            <w:pPr>
              <w:pStyle w:val="Compact"/>
              <w:jc w:val="left"/>
            </w:pPr>
            <w:r>
              <w:rPr>
                <w:sz w:val="18"/>
              </w:rPr>
              <w:t xml:space="preserve">Treating and billing provider</w:t>
            </w:r>
          </w:p>
        </w:tc>
        <w:tc>
          <w:tcPr>
            <w:tcW w:w="2970"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334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20" w:type="dxa"/>
          </w:tcPr>
          <w:p>
            <w:pPr>
              <w:pStyle w:val="Compact"/>
              <w:jc w:val="left"/>
            </w:pPr>
            <w:r>
              <w:rPr>
                <w:sz w:val="18"/>
              </w:rPr>
              <w:t xml:space="preserve">Behavioral Health Care Manager (BHCM)</w:t>
            </w:r>
          </w:p>
        </w:tc>
        <w:tc>
          <w:tcPr>
            <w:tcW w:w="1125" w:type="dxa"/>
          </w:tcPr>
          <w:p>
            <w:pPr>
              <w:pStyle w:val="Compact"/>
              <w:jc w:val="left"/>
            </w:pPr>
            <w:r>
              <w:rPr>
                <w:sz w:val="18"/>
              </w:rPr>
              <w:t xml:space="preserve">Day-to-day care coordinator</w:t>
            </w:r>
          </w:p>
        </w:tc>
        <w:tc>
          <w:tcPr>
            <w:tcW w:w="2970"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34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20" w:type="dxa"/>
          </w:tcPr>
          <w:p>
            <w:pPr>
              <w:pStyle w:val="Compact"/>
              <w:jc w:val="left"/>
            </w:pPr>
            <w:r>
              <w:rPr>
                <w:sz w:val="18"/>
              </w:rPr>
              <w:t xml:space="preserve">Psychiatric Consultant</w:t>
            </w:r>
          </w:p>
        </w:tc>
        <w:tc>
          <w:tcPr>
            <w:tcW w:w="1125" w:type="dxa"/>
          </w:tcPr>
          <w:p>
            <w:pPr>
              <w:pStyle w:val="Compact"/>
              <w:jc w:val="left"/>
            </w:pPr>
            <w:r>
              <w:rPr>
                <w:sz w:val="18"/>
              </w:rPr>
              <w:t xml:space="preserve">Clinical supervision</w:t>
            </w:r>
          </w:p>
        </w:tc>
        <w:tc>
          <w:tcPr>
            <w:tcW w:w="2970"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334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1710"/>
        <w:gridCol w:w="4260"/>
        <w:gridCol w:w="3105"/>
      </w:tblGrid>
      <w:tr>
        <w:trPr>
          <w:tblHeader w:val="on"/>
          <w:cantSplit/>
        </w:trPr>
        <w:tc>
          <w:tcPr>
            <w:shd w:val="clear" w:color="auto" w:fill="1B3A6B"/>
            <w:tcW w:w="1710" w:type="dxa"/>
          </w:tcPr>
          <w:p>
            <w:pPr>
              <w:pStyle w:val="Compact"/>
              <w:jc w:val="left"/>
            </w:pPr>
            <w:r>
              <w:rPr>
                <w:b/>
                <w:color w:val="FFFFFF"/>
                <w:sz w:val="18"/>
              </w:rPr>
              <w:t xml:space="preserve">Component</w:t>
            </w:r>
          </w:p>
        </w:tc>
        <w:tc>
          <w:tcPr>
            <w:shd w:val="clear" w:color="auto" w:fill="1B3A6B"/>
            <w:tcW w:w="4260" w:type="dxa"/>
          </w:tcPr>
          <w:p>
            <w:pPr>
              <w:pStyle w:val="Compact"/>
              <w:jc w:val="left"/>
            </w:pPr>
            <w:r>
              <w:rPr>
                <w:b/>
                <w:color w:val="FFFFFF"/>
                <w:sz w:val="18"/>
              </w:rPr>
              <w:t xml:space="preserve">What it means in practice</w:t>
            </w:r>
          </w:p>
        </w:tc>
        <w:tc>
          <w:tcPr>
            <w:shd w:val="clear" w:color="auto" w:fill="1B3A6B"/>
            <w:tcW w:w="3105" w:type="dxa"/>
          </w:tcPr>
          <w:p>
            <w:pPr>
              <w:pStyle w:val="Compact"/>
              <w:jc w:val="left"/>
            </w:pPr>
            <w:r>
              <w:rPr>
                <w:b/>
                <w:color w:val="FFFFFF"/>
                <w:sz w:val="18"/>
              </w:rPr>
              <w:t xml:space="preserve">Vermont investment vehicle</w:t>
            </w:r>
          </w:p>
        </w:tc>
      </w:tr>
      <w:tr>
        <w:trPr>
          <w:cantSplit/>
        </w:trPr>
        <w:tc>
          <w:tcPr>
            <w:tcW w:w="1710" w:type="dxa"/>
          </w:tcPr>
          <w:p>
            <w:pPr>
              <w:pStyle w:val="Compact"/>
              <w:jc w:val="left"/>
            </w:pPr>
            <w:r>
              <w:rPr>
                <w:sz w:val="18"/>
              </w:rPr>
              <w:t xml:space="preserve">Team-based care</w:t>
            </w:r>
          </w:p>
        </w:tc>
        <w:tc>
          <w:tcPr>
            <w:tcW w:w="4260"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10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1710" w:type="dxa"/>
          </w:tcPr>
          <w:p>
            <w:pPr>
              <w:pStyle w:val="Compact"/>
              <w:jc w:val="left"/>
            </w:pPr>
            <w:r>
              <w:rPr>
                <w:sz w:val="18"/>
              </w:rPr>
              <w:t xml:space="preserve">Population health management</w:t>
            </w:r>
          </w:p>
        </w:tc>
        <w:tc>
          <w:tcPr>
            <w:tcW w:w="4260"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105" w:type="dxa"/>
          </w:tcPr>
          <w:p>
            <w:pPr>
              <w:pStyle w:val="Compact"/>
              <w:jc w:val="left"/>
            </w:pPr>
            <w:r>
              <w:rPr>
                <w:sz w:val="18"/>
              </w:rPr>
              <w:t xml:space="preserve">Blueprint data infrastructure; VHCURES linkage; GMCB analytics vendor procurement</w:t>
            </w:r>
          </w:p>
        </w:tc>
      </w:tr>
      <w:tr>
        <w:trPr/>
        <w:tc>
          <w:tcPr>
            <w:tcW w:w="1710" w:type="dxa"/>
          </w:tcPr>
          <w:p>
            <w:pPr>
              <w:pStyle w:val="Compact"/>
              <w:jc w:val="left"/>
            </w:pPr>
            <w:r>
              <w:rPr>
                <w:sz w:val="18"/>
              </w:rPr>
              <w:t xml:space="preserve">SDOH screening and navigation</w:t>
            </w:r>
          </w:p>
        </w:tc>
        <w:tc>
          <w:tcPr>
            <w:tcW w:w="4260"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105" w:type="dxa"/>
          </w:tcPr>
          <w:p>
            <w:pPr>
              <w:pStyle w:val="Compact"/>
              <w:jc w:val="left"/>
            </w:pPr>
            <w:r>
              <w:rPr>
                <w:sz w:val="18"/>
              </w:rPr>
              <w:t xml:space="preserve">Blueprint HRSN screening expansion; AHEAD EAST Fund SDOH investments; RHT Program community health worker deployment</w:t>
            </w:r>
          </w:p>
        </w:tc>
      </w:tr>
      <w:tr>
        <w:trPr/>
        <w:tc>
          <w:tcPr>
            <w:tcW w:w="1710" w:type="dxa"/>
          </w:tcPr>
          <w:p>
            <w:pPr>
              <w:pStyle w:val="Compact"/>
              <w:jc w:val="left"/>
            </w:pPr>
            <w:r>
              <w:rPr>
                <w:sz w:val="18"/>
              </w:rPr>
              <w:t xml:space="preserve">Behavioral health integration</w:t>
            </w:r>
          </w:p>
        </w:tc>
        <w:tc>
          <w:tcPr>
            <w:tcW w:w="4260"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105" w:type="dxa"/>
          </w:tcPr>
          <w:p>
            <w:pPr>
              <w:pStyle w:val="Compact"/>
              <w:jc w:val="left"/>
            </w:pPr>
            <w:r>
              <w:rPr>
                <w:sz w:val="18"/>
              </w:rPr>
              <w:t xml:space="preserve">MHI pilot expansion through AHEAD and EAST Fund; CCBHC partnerships with primary care</w:t>
            </w:r>
          </w:p>
        </w:tc>
      </w:tr>
      <w:tr>
        <w:trPr>
          <w:cantSplit/>
        </w:trPr>
        <w:tc>
          <w:tcPr>
            <w:tcW w:w="1710" w:type="dxa"/>
          </w:tcPr>
          <w:p>
            <w:pPr>
              <w:pStyle w:val="Compact"/>
              <w:jc w:val="left"/>
            </w:pPr>
            <w:r>
              <w:rPr>
                <w:sz w:val="18"/>
              </w:rPr>
              <w:t xml:space="preserve">Care coordination for complex patients</w:t>
            </w:r>
          </w:p>
        </w:tc>
        <w:tc>
          <w:tcPr>
            <w:tcW w:w="4260"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10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560"/>
        <w:gridCol w:w="3570"/>
        <w:gridCol w:w="1365"/>
        <w:gridCol w:w="2565"/>
      </w:tblGrid>
      <w:tr>
        <w:trPr>
          <w:tblHeader w:val="on"/>
          <w:cantSplit/>
        </w:trPr>
        <w:tc>
          <w:tcPr>
            <w:shd w:val="clear" w:color="auto" w:fill="1B3A6B"/>
            <w:tcW w:w="1560" w:type="dxa"/>
          </w:tcPr>
          <w:p>
            <w:pPr>
              <w:pStyle w:val="Compact"/>
              <w:jc w:val="left"/>
            </w:pPr>
            <w:r>
              <w:rPr>
                <w:b/>
                <w:color w:val="FFFFFF"/>
                <w:sz w:val="18"/>
              </w:rPr>
              <w:t xml:space="preserve">Commitment</w:t>
            </w:r>
          </w:p>
        </w:tc>
        <w:tc>
          <w:tcPr>
            <w:shd w:val="clear" w:color="auto" w:fill="1B3A6B"/>
            <w:tcW w:w="3570" w:type="dxa"/>
          </w:tcPr>
          <w:p>
            <w:pPr>
              <w:pStyle w:val="Compact"/>
              <w:jc w:val="left"/>
            </w:pPr>
            <w:r>
              <w:rPr>
                <w:b/>
                <w:color w:val="FFFFFF"/>
                <w:sz w:val="18"/>
              </w:rPr>
              <w:t xml:space="preserve">What it requires</w:t>
            </w:r>
          </w:p>
        </w:tc>
        <w:tc>
          <w:tcPr>
            <w:shd w:val="clear" w:color="auto" w:fill="1B3A6B"/>
            <w:tcW w:w="1365" w:type="dxa"/>
          </w:tcPr>
          <w:p>
            <w:pPr>
              <w:pStyle w:val="Compact"/>
              <w:jc w:val="left"/>
            </w:pPr>
            <w:r>
              <w:rPr>
                <w:b/>
                <w:color w:val="FFFFFF"/>
                <w:sz w:val="18"/>
              </w:rPr>
              <w:t xml:space="preserve">Timeline</w:t>
            </w:r>
          </w:p>
        </w:tc>
        <w:tc>
          <w:tcPr>
            <w:shd w:val="clear" w:color="auto" w:fill="1B3A6B"/>
            <w:tcW w:w="2565" w:type="dxa"/>
          </w:tcPr>
          <w:p>
            <w:pPr>
              <w:pStyle w:val="Compact"/>
              <w:jc w:val="left"/>
            </w:pPr>
            <w:r>
              <w:rPr>
                <w:b/>
                <w:color w:val="FFFFFF"/>
                <w:sz w:val="18"/>
              </w:rPr>
              <w:t xml:space="preserve">Primary vehicle</w:t>
            </w:r>
          </w:p>
        </w:tc>
      </w:tr>
      <w:tr>
        <w:trPr>
          <w:cantSplit/>
        </w:trPr>
        <w:tc>
          <w:tcPr>
            <w:tcW w:w="1560" w:type="dxa"/>
          </w:tcPr>
          <w:p>
            <w:pPr>
              <w:pStyle w:val="Compact"/>
              <w:jc w:val="left"/>
            </w:pPr>
            <w:r>
              <w:rPr>
                <w:sz w:val="18"/>
              </w:rPr>
              <w:t xml:space="preserve">Universal Blueprint PCMH coverage</w:t>
            </w:r>
          </w:p>
        </w:tc>
        <w:tc>
          <w:tcPr>
            <w:tcW w:w="3570"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Blueprint expansion; AHEAD PC primary care recruitment; RHT workforce investment</w:t>
            </w:r>
          </w:p>
        </w:tc>
      </w:tr>
      <w:tr>
        <w:trPr/>
        <w:tc>
          <w:tcPr>
            <w:tcW w:w="1560" w:type="dxa"/>
          </w:tcPr>
          <w:p>
            <w:pPr>
              <w:pStyle w:val="Compact"/>
              <w:jc w:val="left"/>
            </w:pPr>
            <w:r>
              <w:rPr>
                <w:sz w:val="18"/>
              </w:rPr>
              <w:t xml:space="preserve">Behavioral health integration at every PCMH</w:t>
            </w:r>
          </w:p>
        </w:tc>
        <w:tc>
          <w:tcPr>
            <w:tcW w:w="3570"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MHI permanent funding through AHEAD EAST Fund; CCBHC partnerships; BHCM workforce training through RHT Program</w:t>
            </w:r>
          </w:p>
        </w:tc>
      </w:tr>
      <w:tr>
        <w:trPr/>
        <w:tc>
          <w:tcPr>
            <w:tcW w:w="1560" w:type="dxa"/>
          </w:tcPr>
          <w:p>
            <w:pPr>
              <w:pStyle w:val="Compact"/>
              <w:jc w:val="left"/>
            </w:pPr>
            <w:r>
              <w:rPr>
                <w:sz w:val="18"/>
              </w:rPr>
              <w:t xml:space="preserve">CCBHC network covering all HSAs</w:t>
            </w:r>
          </w:p>
        </w:tc>
        <w:tc>
          <w:tcPr>
            <w:tcW w:w="3570"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365" w:type="dxa"/>
          </w:tcPr>
          <w:p>
            <w:pPr>
              <w:pStyle w:val="Compact"/>
              <w:jc w:val="left"/>
            </w:pPr>
            <w:r>
              <w:rPr>
                <w:sz w:val="18"/>
              </w:rPr>
              <w:t xml:space="preserve">2026 (5 new CCBHCs) through 2028</w:t>
            </w:r>
          </w:p>
        </w:tc>
        <w:tc>
          <w:tcPr>
            <w:tcW w:w="2565" w:type="dxa"/>
          </w:tcPr>
          <w:p>
            <w:pPr>
              <w:pStyle w:val="Compact"/>
              <w:jc w:val="left"/>
            </w:pPr>
            <w:r>
              <w:rPr>
                <w:sz w:val="18"/>
              </w:rPr>
              <w:t xml:space="preserve">CCBHC Demonstration State enhanced Medicaid; RHT Program funding; Act 68 grants</w:t>
            </w:r>
          </w:p>
        </w:tc>
      </w:tr>
      <w:tr>
        <w:trPr/>
        <w:tc>
          <w:tcPr>
            <w:tcW w:w="1560" w:type="dxa"/>
          </w:tcPr>
          <w:p>
            <w:pPr>
              <w:pStyle w:val="Compact"/>
              <w:jc w:val="left"/>
            </w:pPr>
            <w:r>
              <w:rPr>
                <w:sz w:val="18"/>
              </w:rPr>
              <w:t xml:space="preserve">PACE program development</w:t>
            </w:r>
          </w:p>
        </w:tc>
        <w:tc>
          <w:tcPr>
            <w:tcW w:w="3570"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365" w:type="dxa"/>
          </w:tcPr>
          <w:p>
            <w:pPr>
              <w:pStyle w:val="Compact"/>
              <w:jc w:val="left"/>
            </w:pPr>
            <w:r>
              <w:rPr>
                <w:sz w:val="18"/>
              </w:rPr>
              <w:t xml:space="preserve">2026–2028 (feasibility and launch)</w:t>
            </w:r>
          </w:p>
        </w:tc>
        <w:tc>
          <w:tcPr>
            <w:tcW w:w="2565" w:type="dxa"/>
          </w:tcPr>
          <w:p>
            <w:pPr>
              <w:pStyle w:val="Compact"/>
              <w:jc w:val="left"/>
            </w:pPr>
            <w:r>
              <w:rPr>
                <w:sz w:val="18"/>
              </w:rPr>
              <w:t xml:space="preserve">AHEAD EAST Fund; RHT long-term care infrastructure investment; Medicaid PACE program rules</w:t>
            </w:r>
          </w:p>
        </w:tc>
      </w:tr>
      <w:tr>
        <w:trPr>
          <w:cantSplit/>
        </w:trPr>
        <w:tc>
          <w:tcPr>
            <w:tcW w:w="1560" w:type="dxa"/>
          </w:tcPr>
          <w:p>
            <w:pPr>
              <w:pStyle w:val="Compact"/>
              <w:jc w:val="left"/>
            </w:pPr>
            <w:r>
              <w:rPr>
                <w:sz w:val="18"/>
              </w:rPr>
              <w:t xml:space="preserve">Dementia care infrastructure</w:t>
            </w:r>
          </w:p>
        </w:tc>
        <w:tc>
          <w:tcPr>
            <w:tcW w:w="3570"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365" w:type="dxa"/>
          </w:tcPr>
          <w:p>
            <w:pPr>
              <w:pStyle w:val="Compact"/>
              <w:jc w:val="left"/>
            </w:pPr>
            <w:r>
              <w:rPr>
                <w:sz w:val="18"/>
              </w:rPr>
              <w:t xml:space="preserve">2026–2030</w:t>
            </w:r>
          </w:p>
        </w:tc>
        <w:tc>
          <w:tcPr>
            <w:tcW w:w="2565"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Stratify a clinical panel by risk tier and match staffing intensity</w:t>
            </w:r>
          </w:p>
        </w:tc>
        <w:tc>
          <w:tcPr>
            <w:tcW w:w="2736"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3" w:type="dxa"/>
          </w:tcPr>
          <w:p>
            <w:pPr>
              <w:pStyle w:val="Compact"/>
              <w:jc w:val="left"/>
            </w:pPr>
            <w:r>
              <w:rPr>
                <w:sz w:val="18"/>
              </w:rPr>
              <w:t xml:space="preserve">How panel design changes when staffing follows risk rather than volume.</w:t>
            </w:r>
          </w:p>
        </w:tc>
      </w:tr>
      <w:tr>
        <w:trPr/>
        <w:tc>
          <w:tcPr>
            <w:tcW w:w="3312" w:type="dxa"/>
          </w:tcPr>
          <w:p>
            <w:pPr>
              <w:pStyle w:val="Compact"/>
              <w:jc w:val="left"/>
            </w:pPr>
            <w:r>
              <w:rPr>
                <w:sz w:val="18"/>
              </w:rPr>
              <w:t xml:space="preserve">Model HEDIS measure performance against NCQA benchmarks</w:t>
            </w:r>
          </w:p>
        </w:tc>
        <w:tc>
          <w:tcPr>
            <w:tcW w:w="2736"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3" w:type="dxa"/>
          </w:tcPr>
          <w:p>
            <w:pPr>
              <w:pStyle w:val="Compact"/>
              <w:jc w:val="left"/>
            </w:pPr>
            <w:r>
              <w:rPr>
                <w:sz w:val="18"/>
              </w:rPr>
              <w:t xml:space="preserve">Which measures move population outcomes vs. which only move scores.</w:t>
            </w:r>
          </w:p>
        </w:tc>
      </w:tr>
      <w:tr>
        <w:trPr>
          <w:cantSplit/>
        </w:trPr>
        <w:tc>
          <w:tcPr>
            <w:tcW w:w="3312" w:type="dxa"/>
          </w:tcPr>
          <w:p>
            <w:pPr>
              <w:pStyle w:val="Compact"/>
              <w:jc w:val="left"/>
            </w:pPr>
            <w:r>
              <w:rPr>
                <w:sz w:val="18"/>
              </w:rPr>
              <w:t xml:space="preserve">Run risk stratification on a live panel rather than reading the methodology</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8.7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t xml:space="preserve"> </w:t>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t xml:space="preserve"> </w:t>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t xml:space="preserve"> </w:t>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t xml:space="preserve"> </w:t>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t xml:space="preserve"> </w:t>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t xml:space="preserve"> </w:t>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t xml:space="preserve"> </w:t>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t xml:space="preserve"> </w:t>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t xml:space="preserve"> </w:t>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1905"/>
        <w:gridCol w:w="3465"/>
        <w:gridCol w:w="3690"/>
      </w:tblGrid>
      <w:tr>
        <w:trPr>
          <w:tblHeader w:val="on"/>
          <w:cantSplit/>
        </w:trPr>
        <w:tc>
          <w:tcPr>
            <w:shd w:val="clear" w:color="auto" w:fill="1B3A6B"/>
            <w:tcW w:w="1905" w:type="dxa"/>
          </w:tcPr>
          <w:p>
            <w:pPr>
              <w:pStyle w:val="Compact"/>
              <w:jc w:val="left"/>
            </w:pPr>
            <w:r>
              <w:rPr>
                <w:b/>
                <w:color w:val="FFFFFF"/>
                <w:sz w:val="18"/>
              </w:rPr>
              <w:t xml:space="preserve">Concept Area</w:t>
            </w:r>
          </w:p>
        </w:tc>
        <w:tc>
          <w:tcPr>
            <w:shd w:val="clear" w:color="auto" w:fill="1B3A6B"/>
            <w:tcW w:w="3465" w:type="dxa"/>
          </w:tcPr>
          <w:p>
            <w:pPr>
              <w:pStyle w:val="Compact"/>
              <w:jc w:val="left"/>
            </w:pPr>
            <w:r>
              <w:rPr>
                <w:b/>
                <w:color w:val="FFFFFF"/>
                <w:sz w:val="18"/>
              </w:rPr>
              <w:t xml:space="preserve">What it requires operationally</w:t>
            </w:r>
          </w:p>
        </w:tc>
        <w:tc>
          <w:tcPr>
            <w:shd w:val="clear" w:color="auto" w:fill="1B3A6B"/>
            <w:tcW w:w="3690" w:type="dxa"/>
          </w:tcPr>
          <w:p>
            <w:pPr>
              <w:pStyle w:val="Compact"/>
              <w:jc w:val="left"/>
            </w:pPr>
            <w:r>
              <w:rPr>
                <w:b/>
                <w:color w:val="FFFFFF"/>
                <w:sz w:val="18"/>
              </w:rPr>
              <w:t xml:space="preserve">Vermont implementation challenge</w:t>
            </w:r>
          </w:p>
        </w:tc>
      </w:tr>
      <w:tr>
        <w:trPr>
          <w:cantSplit/>
        </w:trPr>
        <w:tc>
          <w:tcPr>
            <w:tcW w:w="1905" w:type="dxa"/>
          </w:tcPr>
          <w:p>
            <w:pPr>
              <w:pStyle w:val="Compact"/>
              <w:jc w:val="left"/>
            </w:pPr>
            <w:r>
              <w:rPr>
                <w:sz w:val="18"/>
              </w:rPr>
              <w:t xml:space="preserve">Team-Based Care and Practice Organization</w:t>
            </w:r>
          </w:p>
        </w:tc>
        <w:tc>
          <w:tcPr>
            <w:tcW w:w="3465"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690"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1905" w:type="dxa"/>
          </w:tcPr>
          <w:p>
            <w:pPr>
              <w:pStyle w:val="Compact"/>
              <w:jc w:val="left"/>
            </w:pPr>
            <w:r>
              <w:rPr>
                <w:sz w:val="18"/>
              </w:rPr>
              <w:t xml:space="preserve">Knowing and Managing Your Patients</w:t>
            </w:r>
          </w:p>
        </w:tc>
        <w:tc>
          <w:tcPr>
            <w:tcW w:w="3465"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690"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1905" w:type="dxa"/>
          </w:tcPr>
          <w:p>
            <w:pPr>
              <w:pStyle w:val="Compact"/>
              <w:jc w:val="left"/>
            </w:pPr>
            <w:r>
              <w:rPr>
                <w:sz w:val="18"/>
              </w:rPr>
              <w:t xml:space="preserve">Patient-Centered Access and Continuity</w:t>
            </w:r>
          </w:p>
        </w:tc>
        <w:tc>
          <w:tcPr>
            <w:tcW w:w="3465" w:type="dxa"/>
          </w:tcPr>
          <w:p>
            <w:pPr>
              <w:pStyle w:val="Compact"/>
              <w:jc w:val="left"/>
            </w:pPr>
            <w:r>
              <w:rPr>
                <w:sz w:val="18"/>
              </w:rPr>
              <w:t xml:space="preserve">Same-day appointments for urgent needs; 24/7 access for patient advice; continuity with personal physician; timely communication response</w:t>
            </w:r>
          </w:p>
        </w:tc>
        <w:tc>
          <w:tcPr>
            <w:tcW w:w="3690"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1905" w:type="dxa"/>
          </w:tcPr>
          <w:p>
            <w:pPr>
              <w:pStyle w:val="Compact"/>
              <w:jc w:val="left"/>
            </w:pPr>
            <w:r>
              <w:rPr>
                <w:sz w:val="18"/>
              </w:rPr>
              <w:t xml:space="preserve">Care Management and Support</w:t>
            </w:r>
          </w:p>
        </w:tc>
        <w:tc>
          <w:tcPr>
            <w:tcW w:w="3465"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690"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1905" w:type="dxa"/>
          </w:tcPr>
          <w:p>
            <w:pPr>
              <w:pStyle w:val="Compact"/>
              <w:jc w:val="left"/>
            </w:pPr>
            <w:r>
              <w:rPr>
                <w:sz w:val="18"/>
              </w:rPr>
              <w:t xml:space="preserve">Care Coordination and Care Transitions</w:t>
            </w:r>
          </w:p>
        </w:tc>
        <w:tc>
          <w:tcPr>
            <w:tcW w:w="3465"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690"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1905" w:type="dxa"/>
          </w:tcPr>
          <w:p>
            <w:pPr>
              <w:pStyle w:val="Compact"/>
              <w:jc w:val="left"/>
            </w:pPr>
            <w:r>
              <w:rPr>
                <w:sz w:val="18"/>
              </w:rPr>
              <w:t xml:space="preserve">Performance Measurement and Quality Improvement</w:t>
            </w:r>
          </w:p>
        </w:tc>
        <w:tc>
          <w:tcPr>
            <w:tcW w:w="3465"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690"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990"/>
        <w:gridCol w:w="750"/>
        <w:gridCol w:w="3435"/>
        <w:gridCol w:w="3915"/>
      </w:tblGrid>
      <w:tr>
        <w:trPr>
          <w:tblHeader w:val="on"/>
          <w:cantSplit/>
        </w:trPr>
        <w:tc>
          <w:tcPr>
            <w:shd w:val="clear" w:color="auto" w:fill="1B3A6B"/>
            <w:tcW w:w="990" w:type="dxa"/>
          </w:tcPr>
          <w:p>
            <w:pPr>
              <w:pStyle w:val="Compact"/>
              <w:jc w:val="left"/>
            </w:pPr>
            <w:r>
              <w:rPr>
                <w:b/>
                <w:color w:val="FFFFFF"/>
                <w:sz w:val="18"/>
              </w:rPr>
              <w:t xml:space="preserve">Tier</w:t>
            </w:r>
          </w:p>
        </w:tc>
        <w:tc>
          <w:tcPr>
            <w:shd w:val="clear" w:color="auto" w:fill="1B3A6B"/>
            <w:tcW w:w="750" w:type="dxa"/>
          </w:tcPr>
          <w:p>
            <w:pPr>
              <w:pStyle w:val="Compact"/>
              <w:jc w:val="left"/>
            </w:pPr>
            <w:r>
              <w:rPr>
                <w:b/>
                <w:color w:val="FFFFFF"/>
                <w:sz w:val="18"/>
              </w:rPr>
              <w:t xml:space="preserve">% of Panel</w:t>
            </w:r>
          </w:p>
        </w:tc>
        <w:tc>
          <w:tcPr>
            <w:shd w:val="clear" w:color="auto" w:fill="1B3A6B"/>
            <w:tcW w:w="3435" w:type="dxa"/>
          </w:tcPr>
          <w:p>
            <w:pPr>
              <w:pStyle w:val="Compact"/>
              <w:jc w:val="left"/>
            </w:pPr>
            <w:r>
              <w:rPr>
                <w:b/>
                <w:color w:val="FFFFFF"/>
                <w:sz w:val="18"/>
              </w:rPr>
              <w:t xml:space="preserve">Characteristics</w:t>
            </w:r>
          </w:p>
        </w:tc>
        <w:tc>
          <w:tcPr>
            <w:shd w:val="clear" w:color="auto" w:fill="1B3A6B"/>
            <w:tcW w:w="3915" w:type="dxa"/>
          </w:tcPr>
          <w:p>
            <w:pPr>
              <w:pStyle w:val="Compact"/>
              <w:jc w:val="left"/>
            </w:pPr>
            <w:r>
              <w:rPr>
                <w:b/>
                <w:color w:val="FFFFFF"/>
                <w:sz w:val="18"/>
              </w:rPr>
              <w:t xml:space="preserve">Care Model</w:t>
            </w:r>
          </w:p>
        </w:tc>
      </w:tr>
      <w:tr>
        <w:trPr>
          <w:cantSplit/>
        </w:trPr>
        <w:tc>
          <w:tcPr>
            <w:tcW w:w="990" w:type="dxa"/>
          </w:tcPr>
          <w:p>
            <w:pPr>
              <w:pStyle w:val="Compact"/>
              <w:jc w:val="left"/>
            </w:pPr>
            <w:r>
              <w:rPr>
                <w:sz w:val="18"/>
              </w:rPr>
              <w:t xml:space="preserve">Tier 1 — Complex</w:t>
            </w:r>
          </w:p>
        </w:tc>
        <w:tc>
          <w:tcPr>
            <w:tcW w:w="750" w:type="dxa"/>
          </w:tcPr>
          <w:p>
            <w:pPr>
              <w:pStyle w:val="Compact"/>
              <w:jc w:val="left"/>
            </w:pPr>
            <w:r>
              <w:rPr>
                <w:sz w:val="18"/>
              </w:rPr>
              <w:t xml:space="preserve">3-5%</w:t>
            </w:r>
          </w:p>
        </w:tc>
        <w:tc>
          <w:tcPr>
            <w:tcW w:w="3435" w:type="dxa"/>
          </w:tcPr>
          <w:p>
            <w:pPr>
              <w:pStyle w:val="Compact"/>
              <w:jc w:val="left"/>
            </w:pPr>
            <w:r>
              <w:rPr>
                <w:sz w:val="18"/>
              </w:rPr>
              <w:t xml:space="preserve">Multiple chronic conditions, high prior utilization, behavioral health and SDOH needs, frailty</w:t>
            </w:r>
          </w:p>
        </w:tc>
        <w:tc>
          <w:tcPr>
            <w:tcW w:w="3915" w:type="dxa"/>
          </w:tcPr>
          <w:p>
            <w:pPr>
              <w:pStyle w:val="Compact"/>
              <w:jc w:val="left"/>
            </w:pPr>
            <w:r>
              <w:rPr>
                <w:sz w:val="18"/>
              </w:rPr>
              <w:t xml:space="preserve">Intensive care management: CHT assignment, care plan, regular outreach, direct care manager relationship</w:t>
            </w:r>
          </w:p>
        </w:tc>
      </w:tr>
      <w:tr>
        <w:trPr/>
        <w:tc>
          <w:tcPr>
            <w:tcW w:w="990" w:type="dxa"/>
          </w:tcPr>
          <w:p>
            <w:pPr>
              <w:pStyle w:val="Compact"/>
              <w:jc w:val="left"/>
            </w:pPr>
            <w:r>
              <w:rPr>
                <w:sz w:val="18"/>
              </w:rPr>
              <w:t xml:space="preserve">Tier 2 — Moderate Risk</w:t>
            </w:r>
          </w:p>
        </w:tc>
        <w:tc>
          <w:tcPr>
            <w:tcW w:w="750" w:type="dxa"/>
          </w:tcPr>
          <w:p>
            <w:pPr>
              <w:pStyle w:val="Compact"/>
              <w:jc w:val="left"/>
            </w:pPr>
            <w:r>
              <w:rPr>
                <w:sz w:val="18"/>
              </w:rPr>
              <w:t xml:space="preserve">15-20%</w:t>
            </w:r>
          </w:p>
        </w:tc>
        <w:tc>
          <w:tcPr>
            <w:tcW w:w="3435" w:type="dxa"/>
          </w:tcPr>
          <w:p>
            <w:pPr>
              <w:pStyle w:val="Compact"/>
              <w:jc w:val="left"/>
            </w:pPr>
            <w:r>
              <w:rPr>
                <w:sz w:val="18"/>
              </w:rPr>
              <w:t xml:space="preserve">One or two chronic conditions with management challenges, behavioral health needs, recent hospitalization or ED visit</w:t>
            </w:r>
          </w:p>
        </w:tc>
        <w:tc>
          <w:tcPr>
            <w:tcW w:w="3915" w:type="dxa"/>
          </w:tcPr>
          <w:p>
            <w:pPr>
              <w:pStyle w:val="Compact"/>
              <w:jc w:val="left"/>
            </w:pPr>
            <w:r>
              <w:rPr>
                <w:sz w:val="18"/>
              </w:rPr>
              <w:t xml:space="preserve">Proactive chronic disease management: care gap outreach, behavioral health integration, medication management</w:t>
            </w:r>
          </w:p>
        </w:tc>
      </w:tr>
      <w:tr>
        <w:trPr/>
        <w:tc>
          <w:tcPr>
            <w:tcW w:w="990" w:type="dxa"/>
          </w:tcPr>
          <w:p>
            <w:pPr>
              <w:pStyle w:val="Compact"/>
              <w:jc w:val="left"/>
            </w:pPr>
            <w:r>
              <w:rPr>
                <w:sz w:val="18"/>
              </w:rPr>
              <w:t xml:space="preserve">Tier 3 — Standard</w:t>
            </w:r>
          </w:p>
        </w:tc>
        <w:tc>
          <w:tcPr>
            <w:tcW w:w="750" w:type="dxa"/>
          </w:tcPr>
          <w:p>
            <w:pPr>
              <w:pStyle w:val="Compact"/>
              <w:jc w:val="left"/>
            </w:pPr>
            <w:r>
              <w:rPr>
                <w:sz w:val="18"/>
              </w:rPr>
              <w:t xml:space="preserve">50-60%</w:t>
            </w:r>
          </w:p>
        </w:tc>
        <w:tc>
          <w:tcPr>
            <w:tcW w:w="3435" w:type="dxa"/>
          </w:tcPr>
          <w:p>
            <w:pPr>
              <w:pStyle w:val="Compact"/>
              <w:jc w:val="left"/>
            </w:pPr>
            <w:r>
              <w:rPr>
                <w:sz w:val="18"/>
              </w:rPr>
              <w:t xml:space="preserve">Healthy or stable chronic conditions, routine preventive needs</w:t>
            </w:r>
          </w:p>
        </w:tc>
        <w:tc>
          <w:tcPr>
            <w:tcW w:w="3915" w:type="dxa"/>
          </w:tcPr>
          <w:p>
            <w:pPr>
              <w:pStyle w:val="Compact"/>
              <w:jc w:val="left"/>
            </w:pPr>
            <w:r>
              <w:rPr>
                <w:sz w:val="18"/>
              </w:rPr>
              <w:t xml:space="preserve">Preventive care: annual wellness visit, immunizations, screening, health coaching</w:t>
            </w:r>
          </w:p>
        </w:tc>
      </w:tr>
      <w:tr>
        <w:trPr>
          <w:cantSplit/>
        </w:trPr>
        <w:tc>
          <w:tcPr>
            <w:tcW w:w="990" w:type="dxa"/>
          </w:tcPr>
          <w:p>
            <w:pPr>
              <w:pStyle w:val="Compact"/>
              <w:jc w:val="left"/>
            </w:pPr>
            <w:r>
              <w:rPr>
                <w:sz w:val="18"/>
              </w:rPr>
              <w:t xml:space="preserve">Tier 4 — Inactive</w:t>
            </w:r>
          </w:p>
        </w:tc>
        <w:tc>
          <w:tcPr>
            <w:tcW w:w="750" w:type="dxa"/>
          </w:tcPr>
          <w:p>
            <w:pPr>
              <w:pStyle w:val="Compact"/>
              <w:jc w:val="left"/>
            </w:pPr>
            <w:r>
              <w:rPr>
                <w:sz w:val="18"/>
              </w:rPr>
              <w:t xml:space="preserve">20-30%</w:t>
            </w:r>
          </w:p>
        </w:tc>
        <w:tc>
          <w:tcPr>
            <w:tcW w:w="3435" w:type="dxa"/>
          </w:tcPr>
          <w:p>
            <w:pPr>
              <w:pStyle w:val="Compact"/>
              <w:jc w:val="left"/>
            </w:pPr>
            <w:r>
              <w:rPr>
                <w:sz w:val="18"/>
              </w:rPr>
              <w:t xml:space="preserve">Attributed but not engaged with practice; may be accessing care elsewhere or not at all</w:t>
            </w:r>
          </w:p>
        </w:tc>
        <w:tc>
          <w:tcPr>
            <w:tcW w:w="3915"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line="240" w:lineRule="auto"/>
        <w:rPr>
          <w:sz w:val="16"/>
        </w:rPr>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650"/>
        <w:gridCol w:w="1260"/>
        <w:gridCol w:w="2925"/>
        <w:gridCol w:w="3225"/>
      </w:tblGrid>
      <w:tr>
        <w:trPr>
          <w:tblHeader w:val="on"/>
          <w:cantSplit/>
        </w:trPr>
        <w:tc>
          <w:tcPr>
            <w:shd w:val="clear" w:color="auto" w:fill="1B3A6B"/>
            <w:tcW w:w="1650" w:type="dxa"/>
          </w:tcPr>
          <w:p>
            <w:pPr>
              <w:pStyle w:val="Compact"/>
              <w:jc w:val="left"/>
            </w:pPr>
            <w:r>
              <w:rPr>
                <w:b/>
                <w:color w:val="FFFFFF"/>
                <w:sz w:val="18"/>
              </w:rPr>
              <w:t xml:space="preserve">CoCM Component</w:t>
            </w:r>
          </w:p>
        </w:tc>
        <w:tc>
          <w:tcPr>
            <w:shd w:val="clear" w:color="auto" w:fill="1B3A6B"/>
            <w:tcW w:w="1260" w:type="dxa"/>
          </w:tcPr>
          <w:p>
            <w:pPr>
              <w:pStyle w:val="Compact"/>
              <w:jc w:val="left"/>
            </w:pPr>
            <w:r>
              <w:rPr>
                <w:b/>
                <w:color w:val="FFFFFF"/>
                <w:sz w:val="18"/>
              </w:rPr>
              <w:t xml:space="preserve">Role</w:t>
            </w:r>
          </w:p>
        </w:tc>
        <w:tc>
          <w:tcPr>
            <w:shd w:val="clear" w:color="auto" w:fill="1B3A6B"/>
            <w:tcW w:w="2925" w:type="dxa"/>
          </w:tcPr>
          <w:p>
            <w:pPr>
              <w:pStyle w:val="Compact"/>
              <w:jc w:val="left"/>
            </w:pPr>
            <w:r>
              <w:rPr>
                <w:b/>
                <w:color w:val="FFFFFF"/>
                <w:sz w:val="18"/>
              </w:rPr>
              <w:t xml:space="preserve">What they do</w:t>
            </w:r>
          </w:p>
        </w:tc>
        <w:tc>
          <w:tcPr>
            <w:shd w:val="clear" w:color="auto" w:fill="1B3A6B"/>
            <w:tcW w:w="3225" w:type="dxa"/>
          </w:tcPr>
          <w:p>
            <w:pPr>
              <w:pStyle w:val="Compact"/>
              <w:jc w:val="left"/>
            </w:pPr>
            <w:r>
              <w:rPr>
                <w:b/>
                <w:color w:val="FFFFFF"/>
                <w:sz w:val="18"/>
              </w:rPr>
              <w:t xml:space="preserve">Vermont application</w:t>
            </w:r>
          </w:p>
        </w:tc>
      </w:tr>
      <w:tr>
        <w:trPr>
          <w:cantSplit/>
        </w:trPr>
        <w:tc>
          <w:tcPr>
            <w:tcW w:w="1650" w:type="dxa"/>
          </w:tcPr>
          <w:p>
            <w:pPr>
              <w:pStyle w:val="Compact"/>
              <w:jc w:val="left"/>
            </w:pPr>
            <w:r>
              <w:rPr>
                <w:sz w:val="18"/>
              </w:rPr>
              <w:t xml:space="preserve">Primary Care Provider (PCP)</w:t>
            </w:r>
          </w:p>
        </w:tc>
        <w:tc>
          <w:tcPr>
            <w:tcW w:w="1260" w:type="dxa"/>
          </w:tcPr>
          <w:p>
            <w:pPr>
              <w:pStyle w:val="Compact"/>
              <w:jc w:val="left"/>
            </w:pPr>
            <w:r>
              <w:rPr>
                <w:sz w:val="18"/>
              </w:rPr>
              <w:t xml:space="preserve">Treating and billing provider</w:t>
            </w:r>
          </w:p>
        </w:tc>
        <w:tc>
          <w:tcPr>
            <w:tcW w:w="2925" w:type="dxa"/>
          </w:tcPr>
          <w:p>
            <w:pPr>
              <w:pStyle w:val="Compact"/>
              <w:jc w:val="left"/>
            </w:pPr>
            <w:r>
              <w:rPr>
                <w:sz w:val="18"/>
              </w:rPr>
              <w:t xml:space="preserve">Identifies patients through validated screening (PHQ-9, GAD-7); refers to BHCM; provides warm handoffs; bills CoCM codes monthly</w:t>
            </w:r>
          </w:p>
        </w:tc>
        <w:tc>
          <w:tcPr>
            <w:tcW w:w="322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50" w:type="dxa"/>
          </w:tcPr>
          <w:p>
            <w:pPr>
              <w:pStyle w:val="Compact"/>
              <w:jc w:val="left"/>
            </w:pPr>
            <w:r>
              <w:rPr>
                <w:sz w:val="18"/>
              </w:rPr>
              <w:t xml:space="preserve">Behavioral Health Care Manager (BHCM)</w:t>
            </w:r>
          </w:p>
        </w:tc>
        <w:tc>
          <w:tcPr>
            <w:tcW w:w="1260" w:type="dxa"/>
          </w:tcPr>
          <w:p>
            <w:pPr>
              <w:pStyle w:val="Compact"/>
              <w:jc w:val="left"/>
            </w:pPr>
            <w:r>
              <w:rPr>
                <w:sz w:val="18"/>
              </w:rPr>
              <w:t xml:space="preserve">Day-to-day care coordinator</w:t>
            </w:r>
          </w:p>
        </w:tc>
        <w:tc>
          <w:tcPr>
            <w:tcW w:w="2925"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22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50" w:type="dxa"/>
          </w:tcPr>
          <w:p>
            <w:pPr>
              <w:pStyle w:val="Compact"/>
              <w:jc w:val="left"/>
            </w:pPr>
            <w:r>
              <w:rPr>
                <w:sz w:val="18"/>
              </w:rPr>
              <w:t xml:space="preserve">Psychiatric Consultant</w:t>
            </w:r>
          </w:p>
        </w:tc>
        <w:tc>
          <w:tcPr>
            <w:tcW w:w="1260" w:type="dxa"/>
          </w:tcPr>
          <w:p>
            <w:pPr>
              <w:pStyle w:val="Compact"/>
              <w:jc w:val="left"/>
            </w:pPr>
            <w:r>
              <w:rPr>
                <w:sz w:val="18"/>
              </w:rPr>
              <w:t xml:space="preserve">Clinical supervision</w:t>
            </w:r>
          </w:p>
        </w:tc>
        <w:tc>
          <w:tcPr>
            <w:tcW w:w="2925"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322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line="240" w:lineRule="auto"/>
        <w:rPr>
          <w:sz w:val="16"/>
        </w:rPr>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025"/>
        <w:gridCol w:w="3840"/>
        <w:gridCol w:w="1245"/>
        <w:gridCol w:w="1965"/>
      </w:tblGrid>
      <w:tr>
        <w:trPr>
          <w:tblHeader w:val="on"/>
          <w:cantSplit/>
        </w:trPr>
        <w:tc>
          <w:tcPr>
            <w:shd w:val="clear" w:color="auto" w:fill="1B3A6B"/>
            <w:tcW w:w="2025" w:type="dxa"/>
          </w:tcPr>
          <w:p>
            <w:pPr>
              <w:pStyle w:val="Compact"/>
              <w:jc w:val="left"/>
            </w:pPr>
            <w:r>
              <w:rPr>
                <w:b/>
                <w:color w:val="FFFFFF"/>
                <w:sz w:val="18"/>
              </w:rPr>
              <w:t xml:space="preserve">Commitment</w:t>
            </w:r>
          </w:p>
        </w:tc>
        <w:tc>
          <w:tcPr>
            <w:shd w:val="clear" w:color="auto" w:fill="1B3A6B"/>
            <w:tcW w:w="3840" w:type="dxa"/>
          </w:tcPr>
          <w:p>
            <w:pPr>
              <w:pStyle w:val="Compact"/>
              <w:jc w:val="left"/>
            </w:pPr>
            <w:r>
              <w:rPr>
                <w:b/>
                <w:color w:val="FFFFFF"/>
                <w:sz w:val="18"/>
              </w:rPr>
              <w:t xml:space="preserve">Operational Requirement</w:t>
            </w:r>
          </w:p>
        </w:tc>
        <w:tc>
          <w:tcPr>
            <w:shd w:val="clear" w:color="auto" w:fill="1B3A6B"/>
            <w:tcW w:w="1245" w:type="dxa"/>
          </w:tcPr>
          <w:p>
            <w:pPr>
              <w:pStyle w:val="Compact"/>
              <w:jc w:val="left"/>
            </w:pPr>
            <w:r>
              <w:rPr>
                <w:b/>
                <w:color w:val="FFFFFF"/>
                <w:sz w:val="18"/>
              </w:rPr>
              <w:t xml:space="preserve">Timeline</w:t>
            </w:r>
          </w:p>
        </w:tc>
        <w:tc>
          <w:tcPr>
            <w:shd w:val="clear" w:color="auto" w:fill="1B3A6B"/>
            <w:tcW w:w="1965" w:type="dxa"/>
          </w:tcPr>
          <w:p>
            <w:pPr>
              <w:pStyle w:val="Compact"/>
              <w:jc w:val="left"/>
            </w:pPr>
            <w:r>
              <w:rPr>
                <w:b/>
                <w:color w:val="FFFFFF"/>
                <w:sz w:val="18"/>
              </w:rPr>
              <w:t xml:space="preserve">Primary Vehicle</w:t>
            </w:r>
          </w:p>
        </w:tc>
      </w:tr>
      <w:tr>
        <w:trPr>
          <w:cantSplit/>
        </w:trPr>
        <w:tc>
          <w:tcPr>
            <w:tcW w:w="2025" w:type="dxa"/>
          </w:tcPr>
          <w:p>
            <w:pPr>
              <w:pStyle w:val="Compact"/>
              <w:jc w:val="left"/>
            </w:pPr>
            <w:r>
              <w:rPr>
                <w:sz w:val="18"/>
              </w:rPr>
              <w:t xml:space="preserve">PCMH transformation support for all Vermont primary care practices</w:t>
            </w:r>
          </w:p>
        </w:tc>
        <w:tc>
          <w:tcPr>
            <w:tcW w:w="384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Blueprint program; DVHA; AHEAD implementation team</w:t>
            </w:r>
          </w:p>
        </w:tc>
      </w:tr>
      <w:tr>
        <w:trPr/>
        <w:tc>
          <w:tcPr>
            <w:tcW w:w="2025" w:type="dxa"/>
          </w:tcPr>
          <w:p>
            <w:pPr>
              <w:pStyle w:val="Compact"/>
              <w:jc w:val="left"/>
            </w:pPr>
            <w:r>
              <w:rPr>
                <w:sz w:val="18"/>
              </w:rPr>
              <w:t xml:space="preserve">CoCM deployment at every PCMH practice</w:t>
            </w:r>
          </w:p>
        </w:tc>
        <w:tc>
          <w:tcPr>
            <w:tcW w:w="3840" w:type="dxa"/>
          </w:tcPr>
          <w:p>
            <w:pPr>
              <w:pStyle w:val="Compact"/>
              <w:jc w:val="left"/>
            </w:pPr>
            <w:r>
              <w:rPr>
                <w:sz w:val="18"/>
              </w:rPr>
              <w:t xml:space="preserve">BHCM workforce training funded; telepsychiatry consultation network established; CoCM billing infrastructure in place at all Blueprint practices</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MHI permanent funding through AHEAD EAST Fund; RHT Program; CCBHC partnerships</w:t>
            </w:r>
          </w:p>
        </w:tc>
      </w:tr>
      <w:tr>
        <w:trPr/>
        <w:tc>
          <w:tcPr>
            <w:tcW w:w="2025" w:type="dxa"/>
          </w:tcPr>
          <w:p>
            <w:pPr>
              <w:pStyle w:val="Compact"/>
              <w:jc w:val="left"/>
            </w:pPr>
            <w:r>
              <w:rPr>
                <w:sz w:val="18"/>
              </w:rPr>
              <w:t xml:space="preserve">Structured data capture standards across all Vermont primary care</w:t>
            </w:r>
          </w:p>
        </w:tc>
        <w:tc>
          <w:tcPr>
            <w:tcW w:w="384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data infrastructure; GMCB analytics vendor; VITL</w:t>
            </w:r>
          </w:p>
        </w:tc>
      </w:tr>
      <w:tr>
        <w:trPr/>
        <w:tc>
          <w:tcPr>
            <w:tcW w:w="2025" w:type="dxa"/>
          </w:tcPr>
          <w:p>
            <w:pPr>
              <w:pStyle w:val="Compact"/>
              <w:jc w:val="left"/>
            </w:pPr>
            <w:r>
              <w:rPr>
                <w:sz w:val="18"/>
              </w:rPr>
              <w:t xml:space="preserve">Care transition protocols at all Vermont hospitals for Blueprint-attributed patients</w:t>
            </w:r>
          </w:p>
        </w:tc>
        <w:tc>
          <w:tcPr>
            <w:tcW w:w="384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CHT model; VITL infrastructure; DVHA quality targets</w:t>
            </w:r>
          </w:p>
        </w:tc>
      </w:tr>
      <w:tr>
        <w:trPr>
          <w:cantSplit/>
        </w:trPr>
        <w:tc>
          <w:tcPr>
            <w:tcW w:w="2025" w:type="dxa"/>
          </w:tcPr>
          <w:p>
            <w:pPr>
              <w:pStyle w:val="Compact"/>
              <w:jc w:val="left"/>
            </w:pPr>
            <w:r>
              <w:rPr>
                <w:sz w:val="18"/>
              </w:rPr>
              <w:t xml:space="preserve">Clinical leader engagement in AHEAD governance and Statewide Strategic Plan development</w:t>
            </w:r>
          </w:p>
        </w:tc>
        <w:tc>
          <w:tcPr>
            <w:tcW w:w="384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Caption"/>
        <w:spacing w:before="120"/>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keepNext w:val="false"/>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Optimize HEDIS, Star Ratings, and MIPS performance with payment-adjustment estimates</w:t>
            </w:r>
          </w:p>
        </w:tc>
        <w:tc>
          <w:tcPr>
            <w:tcW w:w="2736"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3" w:type="dxa"/>
          </w:tcPr>
          <w:p>
            <w:pPr>
              <w:pStyle w:val="Compact"/>
              <w:jc w:val="left"/>
            </w:pPr>
            <w:r>
              <w:rPr>
                <w:sz w:val="18"/>
              </w:rPr>
              <w:t xml:space="preserve">The payment consequence of each quality decision under value-based contracts.</w:t>
            </w:r>
          </w:p>
        </w:tc>
      </w:tr>
      <w:tr>
        <w:trPr/>
        <w:tc>
          <w:tcPr>
            <w:tcW w:w="3312" w:type="dxa"/>
          </w:tcPr>
          <w:p>
            <w:pPr>
              <w:pStyle w:val="Compact"/>
              <w:jc w:val="left"/>
            </w:pPr>
            <w:r>
              <w:rPr>
                <w:sz w:val="18"/>
              </w:rPr>
              <w:t xml:space="preserve">Separate high-value from low-value care across services</w:t>
            </w:r>
          </w:p>
        </w:tc>
        <w:tc>
          <w:tcPr>
            <w:tcW w:w="2736"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3" w:type="dxa"/>
          </w:tcPr>
          <w:p>
            <w:pPr>
              <w:pStyle w:val="Compact"/>
              <w:jc w:val="left"/>
            </w:pPr>
            <w:r>
              <w:rPr>
                <w:sz w:val="18"/>
              </w:rPr>
              <w:t xml:space="preserve">Where reducing volume improves both margin and outcomes.</w:t>
            </w:r>
          </w:p>
        </w:tc>
      </w:tr>
      <w:tr>
        <w:trPr>
          <w:cantSplit/>
        </w:trPr>
        <w:tc>
          <w:tcPr>
            <w:tcW w:w="3312" w:type="dxa"/>
          </w:tcPr>
          <w:p>
            <w:pPr>
              <w:pStyle w:val="Compact"/>
              <w:jc w:val="left"/>
            </w:pPr>
            <w:r>
              <w:rPr>
                <w:sz w:val="18"/>
              </w:rPr>
              <w:t xml:space="preserve">Run risk stratification against a panel and compare tiers to current care-management assignment</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9.6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t xml:space="preserve"> </w:t>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t xml:space="preserve"> </w:t>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t xml:space="preserve"> </w:t>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t xml:space="preserve"> </w:t>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t xml:space="preserve"> </w:t>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t xml:space="preserve"> </w:t>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t xml:space="preserve"> </w:t>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t xml:space="preserve"> </w:t>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t xml:space="preserve"> </w:t>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Uninsured rate, Essex County (NE Kingdom) 8% vs. 3% statewide — nearly 3x the state average despite Vermont’s near-universal coverage</w:t>
            </w:r>
          </w:p>
        </w:tc>
        <w:tc>
          <w:tcPr>
            <w:shd w:val="clear" w:color="auto" w:fill="EDF2F9"/>
            <w:tcW w:w="4536" w:type="dxa"/>
          </w:tcPr>
          <w:p>
            <w:pPr>
              <w:pStyle w:val="Compact"/>
              <w:jc w:val="left"/>
            </w:pPr>
            <w:r>
              <w:rPr>
                <w:b/>
                <w:color w:val="111111"/>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275"/>
        <w:gridCol w:w="3795"/>
        <w:gridCol w:w="4005"/>
      </w:tblGrid>
      <w:tr>
        <w:trPr>
          <w:tblHeader w:val="on"/>
          <w:cantSplit/>
        </w:trPr>
        <w:tc>
          <w:tcPr>
            <w:shd w:val="clear" w:color="auto" w:fill="1B3A6B"/>
            <w:tcW w:w="1275" w:type="dxa"/>
          </w:tcPr>
          <w:p>
            <w:pPr>
              <w:pStyle w:val="Compact"/>
              <w:jc w:val="left"/>
            </w:pPr>
            <w:r>
              <w:rPr>
                <w:b/>
                <w:color w:val="FFFFFF"/>
                <w:sz w:val="18"/>
              </w:rPr>
              <w:t xml:space="preserve">SDOH domain</w:t>
            </w:r>
          </w:p>
        </w:tc>
        <w:tc>
          <w:tcPr>
            <w:shd w:val="clear" w:color="auto" w:fill="1B3A6B"/>
            <w:tcW w:w="3795" w:type="dxa"/>
          </w:tcPr>
          <w:p>
            <w:pPr>
              <w:pStyle w:val="Compact"/>
              <w:jc w:val="left"/>
            </w:pPr>
            <w:r>
              <w:rPr>
                <w:b/>
                <w:color w:val="FFFFFF"/>
                <w:sz w:val="18"/>
              </w:rPr>
              <w:t xml:space="preserve">Vermont statistic</w:t>
            </w:r>
          </w:p>
        </w:tc>
        <w:tc>
          <w:tcPr>
            <w:shd w:val="clear" w:color="auto" w:fill="1B3A6B"/>
            <w:tcW w:w="4005" w:type="dxa"/>
          </w:tcPr>
          <w:p>
            <w:pPr>
              <w:pStyle w:val="Compact"/>
              <w:jc w:val="left"/>
            </w:pPr>
            <w:r>
              <w:rPr>
                <w:b/>
                <w:color w:val="FFFFFF"/>
                <w:sz w:val="18"/>
              </w:rPr>
              <w:t xml:space="preserve">Equity implication</w:t>
            </w:r>
          </w:p>
        </w:tc>
      </w:tr>
      <w:tr>
        <w:trPr>
          <w:cantSplit/>
        </w:trPr>
        <w:tc>
          <w:tcPr>
            <w:tcW w:w="1275" w:type="dxa"/>
          </w:tcPr>
          <w:p>
            <w:pPr>
              <w:pStyle w:val="Compact"/>
              <w:jc w:val="left"/>
            </w:pPr>
            <w:r>
              <w:rPr>
                <w:sz w:val="18"/>
              </w:rPr>
              <w:t xml:space="preserve">Housing</w:t>
            </w:r>
          </w:p>
        </w:tc>
        <w:tc>
          <w:tcPr>
            <w:tcW w:w="3795" w:type="dxa"/>
          </w:tcPr>
          <w:p>
            <w:pPr>
              <w:pStyle w:val="Compact"/>
              <w:jc w:val="left"/>
            </w:pPr>
            <w:r>
              <w:rPr>
                <w:sz w:val="18"/>
              </w:rPr>
              <w:t xml:space="preserve">Rental vacancy rate 3% (healthy market = 5%); half of Vermont renters cost-burdened; per capita homelessness rate second highest nationally</w:t>
            </w:r>
          </w:p>
        </w:tc>
        <w:tc>
          <w:tcPr>
            <w:tcW w:w="4005"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275" w:type="dxa"/>
          </w:tcPr>
          <w:p>
            <w:pPr>
              <w:pStyle w:val="Compact"/>
              <w:jc w:val="left"/>
            </w:pPr>
            <w:r>
              <w:rPr>
                <w:sz w:val="18"/>
              </w:rPr>
              <w:t xml:space="preserve">Broadband access</w:t>
            </w:r>
          </w:p>
        </w:tc>
        <w:tc>
          <w:tcPr>
            <w:tcW w:w="3795" w:type="dxa"/>
          </w:tcPr>
          <w:p>
            <w:pPr>
              <w:pStyle w:val="Compact"/>
              <w:jc w:val="left"/>
            </w:pPr>
            <w:r>
              <w:rPr>
                <w:sz w:val="18"/>
              </w:rPr>
              <w:t xml:space="preserve">80% of rural Vermonters have broadband; 14% of all Vermonters lack access</w:t>
            </w:r>
          </w:p>
        </w:tc>
        <w:tc>
          <w:tcPr>
            <w:tcW w:w="4005"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275" w:type="dxa"/>
          </w:tcPr>
          <w:p>
            <w:pPr>
              <w:pStyle w:val="Compact"/>
              <w:jc w:val="left"/>
            </w:pPr>
            <w:r>
              <w:rPr>
                <w:sz w:val="18"/>
              </w:rPr>
              <w:t xml:space="preserve">Food insecurity</w:t>
            </w:r>
          </w:p>
        </w:tc>
        <w:tc>
          <w:tcPr>
            <w:tcW w:w="3795" w:type="dxa"/>
          </w:tcPr>
          <w:p>
            <w:pPr>
              <w:pStyle w:val="Compact"/>
              <w:jc w:val="left"/>
            </w:pPr>
            <w:r>
              <w:rPr>
                <w:sz w:val="18"/>
              </w:rPr>
              <w:t xml:space="preserve">9% of Vermonters are food insecure</w:t>
            </w:r>
          </w:p>
        </w:tc>
        <w:tc>
          <w:tcPr>
            <w:tcW w:w="4005"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275" w:type="dxa"/>
          </w:tcPr>
          <w:p>
            <w:pPr>
              <w:pStyle w:val="Compact"/>
              <w:jc w:val="left"/>
            </w:pPr>
            <w:r>
              <w:rPr>
                <w:sz w:val="18"/>
              </w:rPr>
              <w:t xml:space="preserve">Transportation</w:t>
            </w:r>
          </w:p>
        </w:tc>
        <w:tc>
          <w:tcPr>
            <w:tcW w:w="3795" w:type="dxa"/>
          </w:tcPr>
          <w:p>
            <w:pPr>
              <w:pStyle w:val="Compact"/>
              <w:jc w:val="left"/>
            </w:pPr>
            <w:r>
              <w:rPr>
                <w:sz w:val="18"/>
              </w:rPr>
              <w:t xml:space="preserve">Public transportation limited or unreliable in most rural counties, particularly Northeast Kingdom and Rutland County</w:t>
            </w:r>
          </w:p>
        </w:tc>
        <w:tc>
          <w:tcPr>
            <w:tcW w:w="4005"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275" w:type="dxa"/>
          </w:tcPr>
          <w:p>
            <w:pPr>
              <w:pStyle w:val="Compact"/>
              <w:jc w:val="left"/>
            </w:pPr>
            <w:r>
              <w:rPr>
                <w:sz w:val="18"/>
              </w:rPr>
              <w:t xml:space="preserve">Income</w:t>
            </w:r>
          </w:p>
        </w:tc>
        <w:tc>
          <w:tcPr>
            <w:tcW w:w="3795" w:type="dxa"/>
          </w:tcPr>
          <w:p>
            <w:pPr>
              <w:pStyle w:val="Compact"/>
              <w:jc w:val="left"/>
            </w:pPr>
            <w:r>
              <w:rPr>
                <w:sz w:val="18"/>
              </w:rPr>
              <w:t xml:space="preserve">Rural counties (Essex, Windham, Orleans) report higher poverty rates; Northeast Kingdom has highest unemployment</w:t>
            </w:r>
          </w:p>
        </w:tc>
        <w:tc>
          <w:tcPr>
            <w:tcW w:w="4005"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3219"/>
        <w:gridCol w:w="5852"/>
      </w:tblGrid>
      <w:tr>
        <w:trPr>
          <w:tblHeader w:val="on"/>
          <w:cantSplit/>
        </w:trPr>
        <w:tc>
          <w:tcPr>
            <w:shd w:val="clear" w:color="auto" w:fill="1B3A6B"/>
            <w:tcW w:w="3219" w:type="dxa"/>
          </w:tcPr>
          <w:p>
            <w:pPr>
              <w:pStyle w:val="Compact"/>
              <w:spacing w:before="0" w:after="0" w:line="240" w:lineRule="auto"/>
              <w:jc w:val="left"/>
            </w:pPr>
            <w:r>
              <w:rPr>
                <w:b/>
                <w:color w:val="FFFFFF"/>
                <w:sz w:val="17"/>
              </w:rPr>
              <w:t xml:space="preserve">Root cause category</w:t>
            </w:r>
          </w:p>
        </w:tc>
        <w:tc>
          <w:tcPr>
            <w:shd w:val="clear" w:color="auto" w:fill="1B3A6B"/>
            <w:tcW w:w="5852" w:type="dxa"/>
          </w:tcPr>
          <w:p>
            <w:pPr>
              <w:pStyle w:val="Compact"/>
              <w:spacing w:before="0" w:after="0" w:line="240" w:lineRule="auto"/>
              <w:jc w:val="left"/>
            </w:pPr>
            <w:r>
              <w:rPr>
                <w:b/>
                <w:color w:val="FFFFFF"/>
                <w:sz w:val="17"/>
              </w:rPr>
              <w:t xml:space="preserve">Mechanisms and Vermont interventions</w:t>
            </w:r>
          </w:p>
        </w:tc>
      </w:tr>
      <w:tr>
        <w:trPr>
          <w:cantSplit/>
        </w:trPr>
        <w:tc>
          <w:tcPr>
            <w:tcW w:w="3219" w:type="dxa"/>
          </w:tcPr>
          <w:p>
            <w:pPr>
              <w:pStyle w:val="Compact"/>
              <w:spacing w:before="0" w:after="0" w:line="240" w:lineRule="auto"/>
              <w:jc w:val="left"/>
            </w:pPr>
            <w:r>
              <w:rPr>
                <w:sz w:val="17"/>
              </w:rPr>
              <w:t xml:space="preserve">1 Geographic Access Barriers</w:t>
            </w:r>
          </w:p>
        </w:tc>
        <w:tc>
          <w:tcPr>
            <w:tcW w:w="5852" w:type="dxa"/>
          </w:tcPr>
          <w:p>
            <w:pPr>
              <w:pStyle w:val="Compact"/>
              <w:spacing w:before="0" w:after="0" w:line="240" w:lineRule="auto"/>
              <w:jc w:val="left"/>
            </w:pPr>
            <w:r>
              <w:rPr>
                <w:sz w:val="17"/>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r>
        <w:trPr/>
        <w:tc>
          <w:tcPr>
            <w:tcW w:w="3219" w:type="dxa"/>
          </w:tcPr>
          <w:p>
            <w:pPr>
              <w:pStyle w:val="Compact"/>
              <w:spacing w:before="0" w:after="0" w:line="240" w:lineRule="auto"/>
              <w:jc w:val="left"/>
            </w:pPr>
            <w:r>
              <w:rPr>
                <w:sz w:val="17"/>
              </w:rPr>
              <w:t xml:space="preserve">2 Social Needs Barriers</w:t>
            </w:r>
          </w:p>
        </w:tc>
        <w:tc>
          <w:tcPr>
            <w:tcW w:w="5852" w:type="dxa"/>
          </w:tcPr>
          <w:p>
            <w:pPr>
              <w:pStyle w:val="Compact"/>
              <w:spacing w:before="0" w:after="0" w:line="240" w:lineRule="auto"/>
              <w:jc w:val="left"/>
            </w:pPr>
            <w:r>
              <w:rPr>
                <w:sz w:val="17"/>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r>
        <w:trPr/>
        <w:tc>
          <w:tcPr>
            <w:tcW w:w="3219" w:type="dxa"/>
          </w:tcPr>
          <w:p>
            <w:pPr>
              <w:pStyle w:val="Compact"/>
              <w:spacing w:before="0" w:after="0" w:line="240" w:lineRule="auto"/>
              <w:jc w:val="left"/>
            </w:pPr>
            <w:r>
              <w:rPr>
                <w:sz w:val="17"/>
              </w:rPr>
              <w:t xml:space="preserve">3 Clinical Practice Variation</w:t>
            </w:r>
          </w:p>
        </w:tc>
        <w:tc>
          <w:tcPr>
            <w:tcW w:w="5852" w:type="dxa"/>
          </w:tcPr>
          <w:p>
            <w:pPr>
              <w:pStyle w:val="Compact"/>
              <w:spacing w:before="0" w:after="0" w:line="240" w:lineRule="auto"/>
              <w:jc w:val="left"/>
            </w:pPr>
            <w:r>
              <w:rPr>
                <w:sz w:val="17"/>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r>
        <w:trPr/>
        <w:tc>
          <w:tcPr>
            <w:tcW w:w="3219" w:type="dxa"/>
          </w:tcPr>
          <w:p>
            <w:pPr>
              <w:pStyle w:val="Compact"/>
              <w:spacing w:before="0" w:after="0" w:line="240" w:lineRule="auto"/>
              <w:jc w:val="left"/>
            </w:pPr>
            <w:r>
              <w:rPr>
                <w:sz w:val="17"/>
              </w:rPr>
              <w:t xml:space="preserve">4 Insurance and Coverage Barriers</w:t>
            </w:r>
          </w:p>
        </w:tc>
        <w:tc>
          <w:tcPr>
            <w:tcW w:w="5852" w:type="dxa"/>
          </w:tcPr>
          <w:p>
            <w:pPr>
              <w:pStyle w:val="Compact"/>
              <w:spacing w:before="0" w:after="0" w:line="240" w:lineRule="auto"/>
              <w:jc w:val="left"/>
            </w:pPr>
            <w:r>
              <w:rPr>
                <w:sz w:val="17"/>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r>
        <w:trPr>
          <w:cantSplit/>
        </w:trPr>
        <w:tc>
          <w:tcPr>
            <w:tcW w:w="3219" w:type="dxa"/>
          </w:tcPr>
          <w:p>
            <w:pPr>
              <w:pStyle w:val="Compact"/>
              <w:spacing w:before="0" w:after="0" w:line="240" w:lineRule="auto"/>
              <w:jc w:val="left"/>
            </w:pPr>
            <w:r>
              <w:rPr>
                <w:sz w:val="17"/>
              </w:rPr>
              <w:t xml:space="preserve">5 Trust and Engagement Barriers</w:t>
            </w:r>
          </w:p>
        </w:tc>
        <w:tc>
          <w:tcPr>
            <w:tcW w:w="5852" w:type="dxa"/>
          </w:tcPr>
          <w:p>
            <w:pPr>
              <w:pStyle w:val="Compact"/>
              <w:spacing w:before="0" w:after="0" w:line="240" w:lineRule="auto"/>
              <w:jc w:val="left"/>
            </w:pPr>
            <w:r>
              <w:rPr>
                <w:sz w:val="17"/>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Caption"/>
        <w:spacing w:before="120"/>
      </w:pPr>
      <w:r>
        <w:rPr>
          <w:i/>
          <w:iCs/>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line="240" w:lineRule="auto"/>
        <w:rPr>
          <w:sz w:val="16"/>
        </w:rPr>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10.4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10.5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10.6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Compute the HEROI composite across access, quality, outcome, SDOH burden, and trust</w:t>
            </w:r>
          </w:p>
        </w:tc>
        <w:tc>
          <w:tcPr>
            <w:tcW w:w="2736"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3" w:type="dxa"/>
          </w:tcPr>
          <w:p>
            <w:pPr>
              <w:pStyle w:val="Compact"/>
              <w:jc w:val="left"/>
            </w:pPr>
            <w:r>
              <w:rPr>
                <w:sz w:val="18"/>
              </w:rPr>
              <w:t xml:space="preserve">Whether an intervention closes the gap or just raises the average while the gap persists.</w:t>
            </w:r>
          </w:p>
        </w:tc>
      </w:tr>
      <w:tr>
        <w:trPr/>
        <w:tc>
          <w:tcPr>
            <w:tcW w:w="3312" w:type="dxa"/>
          </w:tcPr>
          <w:p>
            <w:pPr>
              <w:pStyle w:val="Compact"/>
              <w:jc w:val="left"/>
            </w:pPr>
            <w:r>
              <w:rPr>
                <w:sz w:val="18"/>
              </w:rPr>
              <w:t xml:space="preserve">Model disease progression and intervention ROI for a defined cohort</w:t>
            </w:r>
          </w:p>
        </w:tc>
        <w:tc>
          <w:tcPr>
            <w:tcW w:w="2736"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3"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10.7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Figure 10.8 — Vermont HEDIS equity stratification framework. Sources: NCQA HEDIS Technical Specifications; AHS Health Equity Data Report (January 2025); Blueprint for Health data.</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Equity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10.9 — Equity pillar implementation matrix. Sources: Vermont Department of Health Health Equity Data Report (January 2025); Act 68 of 2025.</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10.10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Figure 10.11 — Vermont equity analytics: current data sources by equity dimension. Sources: GMCB; VDH; Blueprint for Health; DVHA; AHS.</w:t>
      </w:r>
    </w:p>
    <w:p>
      <w:pPr>
        <w:pStyle w:val="Heading2"/>
        <w:pBdr>
          <w:top w:val="single" w:sz="6" w:space="10" w:color="C9D2DF"/>
        </w:pBdr>
      </w:pPr>
      <w:r>
        <w:rPr>
          <w:color w:val="161B22"/>
        </w:rPr>
        <w:t xml:space="preserve">10.19  </w:t>
      </w:r>
      <w:bookmarkStart w:id="1310" w:name="_Toc1309"/>
      <w:r>
        <w:rPr>
          <w:b/>
          <w:bCs/>
          <w:color w:val="161B22"/>
        </w:rPr>
        <w:t xml:space="preserve">Implications for You</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t xml:space="preserve"> </w:t>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t xml:space="preserve"> </w:t>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t xml:space="preserve"> </w:t>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t xml:space="preserve"> </w:t>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t xml:space="preserve"> </w:t>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t xml:space="preserve"> </w:t>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t xml:space="preserve"> </w:t>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t xml:space="preserve"> </w:t>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line="240" w:lineRule="auto"/>
        <w:rPr>
          <w:sz w:val="16"/>
        </w:rPr>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Primary care physician shortfall by 2030 370 FTEs 112 family medicine, 190 other primary care (RHT application)</w:t>
            </w:r>
          </w:p>
        </w:tc>
        <w:tc>
          <w:tcPr>
            <w:shd w:val="clear" w:color="auto" w:fill="EDF2F9"/>
            <w:tcW w:w="4536" w:type="dxa"/>
          </w:tcPr>
          <w:p>
            <w:pPr>
              <w:pStyle w:val="Compact"/>
              <w:jc w:val="left"/>
            </w:pPr>
            <w:r>
              <w:rPr>
                <w:b/>
                <w:color w:val="111111"/>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six-pillar transformation status against baseline and target</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Whether operational capacity is keeping pace with the statutory execution timeline.</w:t>
            </w:r>
          </w:p>
        </w:tc>
      </w:tr>
      <w:tr>
        <w:trPr/>
        <w:tc>
          <w:tcPr>
            <w:tcW w:w="3312" w:type="dxa"/>
          </w:tcPr>
          <w:p>
            <w:pPr>
              <w:pStyle w:val="Compact"/>
              <w:jc w:val="left"/>
            </w:pPr>
            <w:r>
              <w:rPr>
                <w:sz w:val="18"/>
              </w:rPr>
              <w:t xml:space="preserve">Project physician and nurse supply/demand and the cost of turnover</w:t>
            </w:r>
          </w:p>
        </w:tc>
        <w:tc>
          <w:tcPr>
            <w:tcW w:w="2736"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3" w:type="dxa"/>
          </w:tcPr>
          <w:p>
            <w:pPr>
              <w:pStyle w:val="Compact"/>
              <w:jc w:val="left"/>
            </w:pPr>
            <w:r>
              <w:rPr>
                <w:sz w:val="18"/>
              </w:rPr>
              <w:t xml:space="preserve">The workforce gap that the $1,303 per-discharge administrative-cost gap must fund closing.</w:t>
            </w:r>
          </w:p>
        </w:tc>
      </w:tr>
      <w:tr>
        <w:trPr/>
        <w:tc>
          <w:tcPr>
            <w:tcW w:w="3312" w:type="dxa"/>
          </w:tcPr>
          <w:p>
            <w:pPr>
              <w:pStyle w:val="Compact"/>
              <w:jc w:val="left"/>
            </w:pPr>
            <w:r>
              <w:rPr>
                <w:sz w:val="18"/>
              </w:rPr>
              <w:t xml:space="preserve">Model the RHT-funded CIN’s shared services against the $1,303/discharge administrative premium</w:t>
            </w:r>
          </w:p>
        </w:tc>
        <w:tc>
          <w:tcPr>
            <w:tcW w:w="2736"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3" w:type="dxa"/>
          </w:tcPr>
          <w:p>
            <w:pPr>
              <w:pStyle w:val="Compact"/>
              <w:jc w:val="left"/>
            </w:pPr>
            <w:r>
              <w:rPr>
                <w:sz w:val="18"/>
              </w:rPr>
              <w:t xml:space="preserve">Where consolidating billing, coding, credentialing, HR, and IT across the 14 hospitals reaches the scale that pays for itself.</w:t>
            </w:r>
          </w:p>
        </w:tc>
      </w:tr>
      <w:tr>
        <w:trPr/>
        <w:tc>
          <w:tcPr>
            <w:tcW w:w="3312" w:type="dxa"/>
          </w:tcPr>
          <w:p>
            <w:pPr>
              <w:pStyle w:val="Compact"/>
              <w:jc w:val="left"/>
            </w:pPr>
            <w:r>
              <w:rPr>
                <w:sz w:val="18"/>
              </w:rPr>
              <w:t xml:space="preserve">Model regionalizing Vermont’s 31 EMS agencies and community-paramedicine ED diversion</w:t>
            </w:r>
          </w:p>
        </w:tc>
        <w:tc>
          <w:tcPr>
            <w:tcW w:w="2736"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3" w:type="dxa"/>
          </w:tcPr>
          <w:p>
            <w:pPr>
              <w:pStyle w:val="Compact"/>
              <w:jc w:val="left"/>
            </w:pPr>
            <w:r>
              <w:rPr>
                <w:sz w:val="18"/>
              </w:rPr>
              <w:t xml:space="preserve">How treat-and-refer and regionalization convert fragmentation into margin under global budgets.</w:t>
            </w:r>
          </w:p>
        </w:tc>
      </w:tr>
      <w:tr>
        <w:trPr>
          <w:cantSplit/>
        </w:trPr>
        <w:tc>
          <w:tcPr>
            <w:tcW w:w="3312" w:type="dxa"/>
          </w:tcPr>
          <w:p>
            <w:pPr>
              <w:pStyle w:val="Compact"/>
              <w:jc w:val="left"/>
            </w:pPr>
            <w:r>
              <w:rPr>
                <w:sz w:val="18"/>
              </w:rPr>
              <w:t xml:space="preserve">Stress-test a hospital’s finances through the transition years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11.8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11.9 — Attribution error taxonomy and remediation. Sources: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line="240" w:lineRule="auto"/>
        <w:rPr>
          <w:sz w:val="16"/>
        </w:rPr>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Caption"/>
        <w:spacing w:before="120"/>
      </w:pPr>
      <w:r>
        <w:rPr>
          <w:i/>
          <w:iCs/>
        </w:rPr>
        <w:t xml:space="preserve">Figure 11.10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11.19  </w:t>
      </w:r>
      <w:bookmarkStart w:id="1354" w:name="_Toc1353"/>
      <w:r>
        <w:rPr>
          <w:b/>
          <w:bCs/>
          <w:color w:val="161B22"/>
        </w:rPr>
        <w:t xml:space="preserve">Implications for You</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t xml:space="preserve"> </w:t>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t xml:space="preserve"> </w:t>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t xml:space="preserve"> </w:t>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t xml:space="preserve"> </w:t>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t xml:space="preserve"> </w:t>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t xml:space="preserve"> </w:t>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t xml:space="preserve"> </w:t>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Sources: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Search the evidence base behind a claim before you cite it in your own work</w:t>
            </w:r>
          </w:p>
        </w:tc>
        <w:tc>
          <w:tcPr>
            <w:tcW w:w="2736" w:type="dxa"/>
          </w:tcPr>
          <w:p>
            <w:pPr>
              <w:pStyle w:val="Compact"/>
              <w:jc w:val="left"/>
            </w:pPr>
            <w:hyperlink r:id="rId407">
              <w:r>
                <w:rPr>
                  <w:rStyle w:val="Hyperlink"/>
                  <w:b/>
                  <w:bCs/>
                </w:rPr>
                <w:t xml:space="preserve">Evidence Library</w:t>
              </w:r>
            </w:hyperlink>
          </w:p>
        </w:tc>
        <w:tc>
          <w:tcPr>
            <w:tcW w:w="3023"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3312" w:type="dxa"/>
          </w:tcPr>
          <w:p>
            <w:pPr>
              <w:pStyle w:val="Compact"/>
              <w:jc w:val="left"/>
            </w:pPr>
            <w:r>
              <w:rPr>
                <w:sz w:val="18"/>
              </w:rPr>
              <w:t xml:space="preserve">Assemble your own analysis using the book’s frameworks rather than reading someone else’s</w:t>
            </w:r>
          </w:p>
        </w:tc>
        <w:tc>
          <w:tcPr>
            <w:tcW w:w="2736" w:type="dxa"/>
          </w:tcPr>
          <w:p>
            <w:pPr>
              <w:pStyle w:val="Compact"/>
              <w:jc w:val="left"/>
            </w:pPr>
            <w:hyperlink r:id="rId408">
              <w:r>
                <w:rPr>
                  <w:rStyle w:val="Hyperlink"/>
                  <w:b/>
                  <w:bCs/>
                </w:rPr>
                <w:t xml:space="preserve">Research Workspace</w:t>
              </w:r>
            </w:hyperlink>
          </w:p>
        </w:tc>
        <w:tc>
          <w:tcPr>
            <w:tcW w:w="3023" w:type="dxa"/>
          </w:tcPr>
          <w:p>
            <w:pPr>
              <w:pStyle w:val="Compact"/>
              <w:jc w:val="left"/>
            </w:pPr>
            <w:r>
              <w:rPr>
                <w:sz w:val="18"/>
              </w:rPr>
              <w:t xml:space="preserve">How quickly a framework you understood abstractly becomes concrete once you supply your own organization’s numbers.</w:t>
            </w:r>
          </w:p>
        </w:tc>
      </w:tr>
      <w:tr>
        <w:trPr>
          <w:cantSplit/>
        </w:trPr>
        <w:tc>
          <w:tcPr>
            <w:tcW w:w="3312" w:type="dxa"/>
          </w:tcPr>
          <w:p>
            <w:pPr>
              <w:pStyle w:val="Compact"/>
              <w:jc w:val="left"/>
            </w:pPr>
            <w:r>
              <w:rPr>
                <w:sz w:val="18"/>
              </w:rPr>
              <w:t xml:space="preserve">Ask a question in plain language and get routed to the framework, chapter, and tool that answer it</w:t>
            </w:r>
          </w:p>
        </w:tc>
        <w:tc>
          <w:tcPr>
            <w:tcW w:w="2736" w:type="dxa"/>
          </w:tcPr>
          <w:p>
            <w:pPr>
              <w:pStyle w:val="Compact"/>
              <w:jc w:val="left"/>
            </w:pPr>
            <w:hyperlink r:id="rId24">
              <w:r>
                <w:rPr>
                  <w:rStyle w:val="Hyperlink"/>
                  <w:b/>
                  <w:bCs/>
                </w:rPr>
                <w:t xml:space="preserve">AI Analyst</w:t>
              </w:r>
            </w:hyperlink>
          </w:p>
        </w:tc>
        <w:tc>
          <w:tcPr>
            <w:tcW w:w="3023"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12.4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t xml:space="preserve"> </w:t>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t xml:space="preserve"> </w:t>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t xml:space="preserve"> </w:t>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t xml:space="preserve"> </w:t>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t xml:space="preserve"> </w:t>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t xml:space="preserve"> </w:t>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line="240" w:lineRule="auto"/>
        <w:rPr>
          <w:sz w:val="16"/>
        </w:rPr>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Vermont’s six-pillar status as it moves, rather than at the single April 2026 snapshot this chapter reports</w:t>
            </w:r>
          </w:p>
        </w:tc>
        <w:tc>
          <w:tcPr>
            <w:tcW w:w="2736" w:type="dxa"/>
          </w:tcPr>
          <w:p>
            <w:pPr>
              <w:pStyle w:val="Compact"/>
              <w:jc w:val="left"/>
            </w:pPr>
            <w:hyperlink r:id="rId426">
              <w:r>
                <w:rPr>
                  <w:rStyle w:val="Hyperlink"/>
                  <w:b/>
                  <w:bCs/>
                </w:rPr>
                <w:t xml:space="preserve">HTI Dashboard</w:t>
              </w:r>
            </w:hyperlink>
          </w:p>
        </w:tc>
        <w:tc>
          <w:tcPr>
            <w:tcW w:w="3023"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3312" w:type="dxa"/>
          </w:tcPr>
          <w:p>
            <w:pPr>
              <w:pStyle w:val="Compact"/>
              <w:jc w:val="left"/>
            </w:pPr>
            <w:r>
              <w:rPr>
                <w:sz w:val="18"/>
              </w:rPr>
              <w:t xml:space="preserve">Compare Vermont against the other states pursuing structural reform</w:t>
            </w:r>
          </w:p>
        </w:tc>
        <w:tc>
          <w:tcPr>
            <w:tcW w:w="2736" w:type="dxa"/>
          </w:tcPr>
          <w:p>
            <w:pPr>
              <w:pStyle w:val="Compact"/>
              <w:jc w:val="left"/>
            </w:pPr>
            <w:hyperlink r:id="rId427">
              <w:r>
                <w:rPr>
                  <w:rStyle w:val="Hyperlink"/>
                  <w:b/>
                  <w:bCs/>
                </w:rPr>
                <w:t xml:space="preserve">Innovation Leaderboard</w:t>
              </w:r>
            </w:hyperlink>
          </w:p>
        </w:tc>
        <w:tc>
          <w:tcPr>
            <w:tcW w:w="3023"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3312" w:type="dxa"/>
          </w:tcPr>
          <w:p>
            <w:pPr>
              <w:pStyle w:val="Compact"/>
              <w:jc w:val="left"/>
            </w:pPr>
            <w:r>
              <w:rPr>
                <w:sz w:val="18"/>
              </w:rPr>
              <w:t xml:space="preserve">Follow the policy and regulatory record as it is made</w:t>
            </w:r>
          </w:p>
        </w:tc>
        <w:tc>
          <w:tcPr>
            <w:tcW w:w="2736" w:type="dxa"/>
          </w:tcPr>
          <w:p>
            <w:pPr>
              <w:pStyle w:val="Compact"/>
              <w:jc w:val="left"/>
            </w:pPr>
            <w:hyperlink r:id="rId428">
              <w:r>
                <w:rPr>
                  <w:rStyle w:val="Hyperlink"/>
                  <w:b/>
                  <w:bCs/>
                </w:rPr>
                <w:t xml:space="preserve">The Wire</w:t>
              </w:r>
            </w:hyperlink>
          </w:p>
        </w:tc>
        <w:tc>
          <w:tcPr>
            <w:tcW w:w="3023"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3312" w:type="dxa"/>
          </w:tcPr>
          <w:p>
            <w:pPr>
              <w:pStyle w:val="Compact"/>
              <w:jc w:val="left"/>
            </w:pPr>
            <w:r>
              <w:rPr>
                <w:sz w:val="18"/>
              </w:rPr>
              <w:t xml:space="preserve">Score a state’s readiness on the six pillars and test the chapter’s scenarios yourself</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13.5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line="240" w:lineRule="auto"/>
        <w:rPr>
          <w:sz w:val="16"/>
        </w:rPr>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Watch the statutory and regulatory record for the early-warning signals this chapter names</w:t>
            </w:r>
          </w:p>
        </w:tc>
        <w:tc>
          <w:tcPr>
            <w:tcW w:w="2736" w:type="dxa"/>
          </w:tcPr>
          <w:p>
            <w:pPr>
              <w:pStyle w:val="Compact"/>
              <w:jc w:val="left"/>
            </w:pPr>
            <w:hyperlink r:id="rId428">
              <w:r>
                <w:rPr>
                  <w:rStyle w:val="Hyperlink"/>
                  <w:b/>
                  <w:bCs/>
                </w:rPr>
                <w:t xml:space="preserve">The Wire</w:t>
              </w:r>
            </w:hyperlink>
          </w:p>
        </w:tc>
        <w:tc>
          <w:tcPr>
            <w:tcW w:w="3023"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3312" w:type="dxa"/>
          </w:tcPr>
          <w:p>
            <w:pPr>
              <w:pStyle w:val="Compact"/>
              <w:jc w:val="left"/>
            </w:pPr>
            <w:r>
              <w:rPr>
                <w:sz w:val="18"/>
              </w:rPr>
              <w:t xml:space="preserve">Model what happens to the transformation if one pillar’s political support is withdrawn</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3312" w:type="dxa"/>
          </w:tcPr>
          <w:p>
            <w:pPr>
              <w:pStyle w:val="Compact"/>
              <w:jc w:val="left"/>
            </w:pPr>
            <w:r>
              <w:rPr>
                <w:sz w:val="18"/>
              </w:rPr>
              <w:t xml:space="preserve">Quantify where reform is losing momentum before it becomes a political story</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14.3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Sources: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line="240" w:lineRule="auto"/>
        <w:rPr>
          <w:sz w:val="16"/>
        </w:rPr>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line="240" w:lineRule="auto"/>
        <w:rPr>
          <w:sz w:val="16"/>
        </w:rPr>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Identify which pillar is the binding constraint on the whole portfolio right now</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3312" w:type="dxa"/>
          </w:tcPr>
          <w:p>
            <w:pPr>
              <w:pStyle w:val="Compact"/>
              <w:jc w:val="left"/>
            </w:pPr>
            <w:r>
              <w:rPr>
                <w:sz w:val="18"/>
              </w:rPr>
              <w:t xml:space="preserve">Track the capital committed against each pillar and see where funding and dependency order disagree</w:t>
            </w:r>
          </w:p>
        </w:tc>
        <w:tc>
          <w:tcPr>
            <w:tcW w:w="2736" w:type="dxa"/>
          </w:tcPr>
          <w:p>
            <w:pPr>
              <w:pStyle w:val="Compact"/>
              <w:jc w:val="left"/>
            </w:pPr>
            <w:hyperlink r:id="rId462">
              <w:r>
                <w:rPr>
                  <w:rStyle w:val="Hyperlink"/>
                  <w:b/>
                  <w:bCs/>
                </w:rPr>
                <w:t xml:space="preserve">Investment Tracker</w:t>
              </w:r>
            </w:hyperlink>
          </w:p>
        </w:tc>
        <w:tc>
          <w:tcPr>
            <w:tcW w:w="3023"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3312" w:type="dxa"/>
          </w:tcPr>
          <w:p>
            <w:pPr>
              <w:pStyle w:val="Compact"/>
              <w:jc w:val="left"/>
            </w:pPr>
            <w:r>
              <w:rPr>
                <w:sz w:val="18"/>
              </w:rPr>
              <w:t xml:space="preserve">Watch the six-pillar status of a transformation move over time rather than at a single reporting date</w:t>
            </w:r>
          </w:p>
        </w:tc>
        <w:tc>
          <w:tcPr>
            <w:tcW w:w="2736" w:type="dxa"/>
          </w:tcPr>
          <w:p>
            <w:pPr>
              <w:pStyle w:val="Compact"/>
              <w:jc w:val="left"/>
            </w:pPr>
            <w:hyperlink r:id="rId426">
              <w:r>
                <w:rPr>
                  <w:rStyle w:val="Hyperlink"/>
                  <w:b/>
                  <w:bCs/>
                </w:rPr>
                <w:t xml:space="preserve">HTI Dashboard</w:t>
              </w:r>
            </w:hyperlink>
          </w:p>
        </w:tc>
        <w:tc>
          <w:tcPr>
            <w:tcW w:w="3023" w:type="dxa"/>
          </w:tcPr>
          <w:p>
            <w:pPr>
              <w:pStyle w:val="Compact"/>
              <w:jc w:val="left"/>
            </w:pPr>
            <w:r>
              <w:rPr>
                <w:sz w:val="18"/>
              </w:rPr>
              <w:t xml:space="preserve">Whether a pillar’s status is improving, flat, or decaying between reporting intervals — the trend a monthly report cannot show.</w:t>
            </w:r>
          </w:p>
        </w:tc>
      </w:tr>
      <w:tr>
        <w:trPr/>
        <w:tc>
          <w:tcPr>
            <w:tcW w:w="3312" w:type="dxa"/>
          </w:tcPr>
          <w:p>
            <w:pPr>
              <w:pStyle w:val="Compact"/>
              <w:jc w:val="left"/>
            </w:pPr>
            <w:r>
              <w:rPr>
                <w:sz w:val="18"/>
              </w:rPr>
              <w:t xml:space="preserve">Test what happens to composite readiness when one component slips</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the Technology score and watch Economics and Clinical fall with it. This is the risk register’s R-01 in visual form.</w:t>
            </w:r>
          </w:p>
        </w:tc>
      </w:tr>
      <w:tr>
        <w:trPr/>
        <w:tc>
          <w:tcPr>
            <w:tcW w:w="3312" w:type="dxa"/>
          </w:tcPr>
          <w:p>
            <w:pPr>
              <w:pStyle w:val="Compact"/>
              <w:jc w:val="left"/>
            </w:pPr>
            <w:r>
              <w:rPr>
                <w:sz w:val="18"/>
              </w:rPr>
              <w:t xml:space="preserve">Score the portfolio’s six-pillar status the way an outside reviewer would</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Divergence between the PMO’s status reporting and the scorecard is itself a governance finding.</w:t>
            </w:r>
          </w:p>
        </w:tc>
      </w:tr>
      <w:tr>
        <w:trPr>
          <w:cantSplit/>
        </w:trPr>
        <w:tc>
          <w:tcPr>
            <w:tcW w:w="3312" w:type="dxa"/>
          </w:tcPr>
          <w:p>
            <w:pPr>
              <w:pStyle w:val="Compact"/>
              <w:jc w:val="left"/>
            </w:pPr>
            <w:r>
              <w:rPr>
                <w:sz w:val="18"/>
              </w:rPr>
              <w:t xml:space="preserve">Model what a single component slipping does to the rest of the portfolio</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15.8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line="240" w:lineRule="auto"/>
        <w:rPr>
          <w:sz w:val="16"/>
        </w:rPr>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keepNext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r>
        <w:t xml:space="preserve">Financial Plan (15–20 pp) — RHT capital allocation (remaining balance); EAST Fund allocation; Act 68 grant commitments; projected savings; state-budget implications.</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16.5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Map the redesigned AHS operating model onto the six pillars and check for uncovered functions</w:t>
            </w:r>
          </w:p>
        </w:tc>
        <w:tc>
          <w:tcPr>
            <w:tcW w:w="2736" w:type="dxa"/>
          </w:tcPr>
          <w:p>
            <w:pPr>
              <w:pStyle w:val="Compact"/>
              <w:jc w:val="left"/>
            </w:pPr>
            <w:hyperlink r:id="rId479">
              <w:r>
                <w:rPr>
                  <w:rStyle w:val="Hyperlink"/>
                  <w:b/>
                  <w:bCs/>
                </w:rPr>
                <w:t xml:space="preserve">Six-Pillar Map</w:t>
              </w:r>
            </w:hyperlink>
          </w:p>
        </w:tc>
        <w:tc>
          <w:tcPr>
            <w:tcW w:w="3023" w:type="dxa"/>
          </w:tcPr>
          <w:p>
            <w:pPr>
              <w:pStyle w:val="Compact"/>
              <w:jc w:val="left"/>
            </w:pPr>
            <w:r>
              <w:rPr>
                <w:sz w:val="18"/>
              </w:rPr>
              <w:t xml:space="preserve">A pillar with no named organizational owner in the restructuring. That is the gap this chapter’s design is meant to close.</w:t>
            </w:r>
          </w:p>
        </w:tc>
      </w:tr>
      <w:tr>
        <w:trPr/>
        <w:tc>
          <w:tcPr>
            <w:tcW w:w="3312" w:type="dxa"/>
          </w:tcPr>
          <w:p>
            <w:pPr>
              <w:pStyle w:val="Compact"/>
              <w:jc w:val="left"/>
            </w:pPr>
            <w:r>
              <w:rPr>
                <w:sz w:val="18"/>
              </w:rPr>
              <w:t xml:space="preserve">Track AHS’s delivery against the statutory deadlines this chapter enumerates</w:t>
            </w:r>
          </w:p>
        </w:tc>
        <w:tc>
          <w:tcPr>
            <w:tcW w:w="2736" w:type="dxa"/>
          </w:tcPr>
          <w:p>
            <w:pPr>
              <w:pStyle w:val="Compact"/>
              <w:jc w:val="left"/>
            </w:pPr>
            <w:hyperlink r:id="rId426">
              <w:r>
                <w:rPr>
                  <w:rStyle w:val="Hyperlink"/>
                  <w:b/>
                  <w:bCs/>
                </w:rPr>
                <w:t xml:space="preserve">HTI Dashboard</w:t>
              </w:r>
            </w:hyperlink>
          </w:p>
        </w:tc>
        <w:tc>
          <w:tcPr>
            <w:tcW w:w="3023" w:type="dxa"/>
          </w:tcPr>
          <w:p>
            <w:pPr>
              <w:pStyle w:val="Compact"/>
              <w:jc w:val="left"/>
            </w:pPr>
            <w:r>
              <w:rPr>
                <w:sz w:val="18"/>
              </w:rPr>
              <w:t xml:space="preserve">Whether Operations-pillar capacity is rising fast enough to meet the December 2028 Strategic Plan obligation.</w:t>
            </w:r>
          </w:p>
        </w:tc>
      </w:tr>
      <w:tr>
        <w:trPr>
          <w:cantSplit/>
        </w:trPr>
        <w:tc>
          <w:tcPr>
            <w:tcW w:w="3312" w:type="dxa"/>
          </w:tcPr>
          <w:p>
            <w:pPr>
              <w:pStyle w:val="Compact"/>
              <w:jc w:val="left"/>
            </w:pPr>
            <w:r>
              <w:rPr>
                <w:sz w:val="18"/>
              </w:rPr>
              <w:t xml:space="preserve">Test what the restructuring is worth by removing it</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16.6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t xml:space="preserve"> </w:t>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t xml:space="preserve"> </w:t>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t xml:space="preserve"> </w:t>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Figure B.1 — Act 68 statutory timeline and milestones. Source: Act 68 of 2025.</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B.2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Figure D.1 — AHEAD State Agreement key terms and Vermont-specific provisions. Source: Vermont AHEAD State Agreement (January 2025).</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line="240" w:lineRule="auto"/>
        <w:rPr>
          <w:sz w:val="16"/>
        </w:rPr>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line="240" w:lineRule="auto"/>
        <w:rPr>
          <w:sz w:val="16"/>
        </w:rPr>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line="240" w:lineRule="auto"/>
        <w:rPr>
          <w:sz w:val="16"/>
        </w:rPr>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line="240" w:lineRule="auto"/>
        <w:rPr>
          <w:sz w:val="16"/>
        </w:rPr>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Sources: six-pillar framework documentation; Acts 167 and 68 of 2025.</w:t>
      </w:r>
    </w:p>
    <w:p>
      <w:pPr>
        <w:pStyle w:val="Caption"/>
      </w:pPr>
      <w:r>
        <w:t xml:space="preserve">Figure 1.3 — The architecture of interdependency: the fifteen dependency relationships, read From-row to To-column. Sources: six-pillar framework documentation; Vermont Health Transformation / HTR (2026).</w:t>
      </w:r>
    </w:p>
    <w:p>
      <w:pPr>
        <w:pStyle w:val="Caption"/>
      </w:pPr>
      <w:r>
        <w:t xml:space="preserve">Figure 1.4 — Failure-cascade analysis: what breaks when each pillar is absent. Sources: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Sources: HTR analysis; Vermont experience; Oliver Wyman Act 167 Report.</w:t>
      </w:r>
    </w:p>
    <w:p>
      <w:pPr>
        <w:pStyle w:val="Caption"/>
      </w:pPr>
      <w:r>
        <w:t xml:space="preserve">Figure 1.8 — Vermont’s transformation timeline, by pillar. Sources: HTR Analysis (2026); Act 68 of 2025; AHEAD State Agreement.</w:t>
      </w:r>
    </w:p>
    <w:p>
      <w:pPr>
        <w:pStyle w:val="Caption"/>
      </w:pPr>
      <w:r>
        <w:t xml:space="preserve">Figure 1.9 — Hands-on platform tools for Chapter 1: working the execution-sequence argument on the HTR platform.</w:t>
      </w:r>
    </w:p>
    <w:p>
      <w:pPr>
        <w:pStyle w:val="Caption"/>
      </w:pPr>
      <w:r>
        <w:t xml:space="preserve">Figure T.1 — Vermont Healthcare Transformation Timeline: 2022–2035. Source: Vermont Legislature, CMS, AHS, GMCB.</w:t>
      </w:r>
    </w:p>
    <w:p>
      <w:pPr>
        <w:pStyle w:val="Caption"/>
      </w:pPr>
      <w:r>
        <w:t xml:space="preserve">Figure 2.1 — Common perceptions of Vermont’s health system versus the data. Sources: Oliver Wyman Act 167 Report; GMCB.</w:t>
      </w:r>
    </w:p>
    <w:p>
      <w:pPr>
        <w:pStyle w:val="Caption"/>
      </w:pPr>
      <w:r>
        <w:t xml:space="preserve">Figure 2.2 — Proposed Centers of Excellence assignments by hospital. Source: Oliver Wyman regionalization blueprint.</w:t>
      </w:r>
    </w:p>
    <w:p>
      <w:pPr>
        <w:pStyle w:val="Caption"/>
      </w:pPr>
      <w:r>
        <w:t xml:space="preserve">Figure 2.3 — Act 68 statutory implementation timeline. Source: Act 68 of 2025.</w:t>
      </w:r>
    </w:p>
    <w:p>
      <w:pPr>
        <w:pStyle w:val="Caption"/>
      </w:pPr>
      <w:r>
        <w:t xml:space="preserve">Figure 2.4 — State reference-based pricing and rate-setting programs compared. Sources: state program documentation; RAND; GMCB.</w:t>
      </w:r>
    </w:p>
    <w:p>
      <w:pPr>
        <w:pStyle w:val="Caption"/>
      </w:pPr>
      <w:r>
        <w:t xml:space="preserve">Figure 2.5 — Hands-on platform tools for the Policy Pillar.</w:t>
      </w:r>
    </w:p>
    <w:p>
      <w:pPr>
        <w:pStyle w:val="Caption"/>
      </w:pPr>
      <w:r>
        <w:t xml:space="preserve">Figure 3.1 — CMMI model success factors: what distinguishes models that produce results from those that don’t. Sources: HTR analysis of CMMI evaluation literature; CMS model documentation.</w:t>
      </w:r>
    </w:p>
    <w:p>
      <w:pPr>
        <w:pStyle w:val="Caption"/>
      </w:pPr>
      <w:r>
        <w:t xml:space="preserve">Figure 3.2 — CMMI models most relevant to Vermont’s transformation. Source: CMS Innovation Center.</w:t>
      </w:r>
    </w:p>
    <w:p>
      <w:pPr>
        <w:pStyle w:val="Caption"/>
      </w:pPr>
      <w:r>
        <w:t xml:space="preserve">Figure 3.3 — Policy strategy functions for healthcare organizations. Source: HTR Advisory framework.</w:t>
      </w:r>
    </w:p>
    <w:p>
      <w:pPr>
        <w:pStyle w:val="Caption"/>
      </w:pPr>
      <w:r>
        <w:t xml:space="preserve">Figure 3.4 — H.R. 1 Medicaid provisions: timeline, financial impact, and Vermont implications. Sources: KFF analysis; CBO estimates; Pew Charitable Trusts (January 2026).</w:t>
      </w:r>
    </w:p>
    <w:p>
      <w:pPr>
        <w:pStyle w:val="Caption"/>
      </w:pPr>
      <w:r>
        <w:t xml:space="preserve">Figure 3.5 — Hands-on platform tools for the Policy Pillar in practice.</w:t>
      </w:r>
    </w:p>
    <w:p>
      <w:pPr>
        <w:pStyle w:val="Caption"/>
      </w:pPr>
      <w:r>
        <w:t xml:space="preserve">Figure 4.1 — Vermont’s three-layer health data infrastructure. Sources: GMCB VHCURES documentation; Vermont HIE Strategic Plan.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The UHDS three-layer architecture. Each layer is dependent on the one below it. Sources: Vermont UHDS Transition Plan; DVHA HIE program documentation.</w:t>
      </w:r>
    </w:p>
    <w:p>
      <w:pPr>
        <w:pStyle w:val="Caption"/>
      </w:pPr>
      <w:r>
        <w:t xml:space="preserve">Figure 4.5 — Vermont statewide EHR: case for and against. The feasibility assessment underway will weigh these factors against Vermont’s specific cost, disruption tolerance, and FHIR interoperability capacity.</w:t>
      </w:r>
    </w:p>
    <w:p>
      <w:pPr>
        <w:pStyle w:val="Caption"/>
      </w:pPr>
      <w:r>
        <w:t xml:space="preserve">Figure 4.6 — Vermont FHIR compliance landscape (estimated as of 2026). Sources: AHS Legislative Presentation January 2025; Vermont RHT Program Application; GMCB HIE connectivity criteria.</w:t>
      </w:r>
    </w:p>
    <w:p>
      <w:pPr>
        <w:pStyle w:val="Caption"/>
      </w:pPr>
      <w: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4.8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5.3 — Technology pillar implementation matrix. Sources: HTR Advisory; Vermont RHT Program (2025); CMS interoperability rule.</w:t>
      </w:r>
    </w:p>
    <w:p>
      <w:pPr>
        <w:pStyle w:val="Caption"/>
      </w:pPr>
      <w:r>
        <w:t xml:space="preserve">Figure 5.4 — Hands-on platform tools for the Technology Pillar in practice.</w:t>
      </w:r>
    </w:p>
    <w:p>
      <w:pPr>
        <w:pStyle w:val="Caption"/>
      </w:pPr>
      <w:r>
        <w:t xml:space="preserve">Figure 6.1 — Vermont hospital commercial pricing vs. Medicare and break-even benchmarks. Sources: GMCB Act 68 RBP Update (February 2026); RAND Hospital Price Transparency Study.</w:t>
      </w:r>
    </w:p>
    <w:p>
      <w:pPr>
        <w:pStyle w:val="Caption"/>
      </w:pPr>
      <w:r>
        <w:t xml:space="preserve">Figure 6.2 — Vermont silver marketplace premium trajectory 2018–2024, showing 108% increase over six years. Sources: Oliver Wyman Act 167 Report; GMCB analysis.</w:t>
      </w:r>
    </w:p>
    <w:p>
      <w:pPr>
        <w:pStyle w:val="Caption"/>
      </w:pPr>
      <w:r>
        <w:t xml:space="preserve">Figure 6.3 — Cross-state reference-based pricing and rate regulation: design and outcomes. Sources: GMCB Act 68 Update (February 2026); Health Affairs; Commonwealth Fund; CMS.</w:t>
      </w:r>
    </w:p>
    <w:p>
      <w:pPr>
        <w:pStyle w:val="Caption"/>
      </w:pPr>
      <w:r>
        <w:t xml:space="preserve">Figure 6.4 — Vermont RBP and global budget implementation phases. Source: GMCB Act 68 Update, February 2026.</w:t>
      </w:r>
    </w:p>
    <w:p>
      <w:pPr>
        <w:pStyle w:val="Caption"/>
      </w:pPr>
      <w:r>
        <w:t xml:space="preserve">Figure 6.5 — Five dimensions of global budget design with Vermont’s current direction. Sources: GMCB Act 68 Update (February 2026); Act 68 of 2025.</w:t>
      </w:r>
    </w:p>
    <w:p>
      <w:pPr>
        <w:pStyle w:val="Caption"/>
      </w:pPr>
      <w:r>
        <w:t xml:space="preserve">Figure 6.6 — Vermont global budget history: four attempts and the central lesson. Sources: GMCB Act 68 Update (February 2026); Oliver Wyman Act 167 Report.</w:t>
      </w:r>
    </w:p>
    <w:p>
      <w:pPr>
        <w:pStyle w:val="Caption"/>
      </w:pPr>
      <w:r>
        <w:t xml:space="preserve">Figure 6.7 — Maryland All-Payer Global Budget Model results summary. Sources: HSCRC; CMS; Commonwealth Fund; Milbank Memorial Fund.</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6.13 — Hands-on platform tools for the Economics Pillar.</w:t>
      </w:r>
    </w:p>
    <w:p>
      <w:pPr>
        <w:pStyle w:val="Caption"/>
      </w:pPr>
      <w:r>
        <w:t xml:space="preserve">Figure 7.1 — APM shared savings calculation framework. Sources: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7.3 — APM contract review framework: provisions and key questions. Source: HTR Advisory framework.</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7.6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8.7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9.6 — Hands-on platform tools for the Clinical Pillar in practice.</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Caption"/>
      </w:pPr>
      <w:r>
        <w:t xml:space="preserve">Figure 10.4 — Vermont equity gaps and required investments. Sources: Vermont Department of Health Health Equity Data Report (January 2025); Oliver Wyman Act 167 Report; AHS Transformation Reports; KFF GLP-1 coverage analysis.</w:t>
      </w:r>
    </w:p>
    <w:p>
      <w:pPr>
        <w:pStyle w:val="Caption"/>
      </w:pPr>
      <w:r>
        <w:t xml:space="preserve">Figure 10.5 — Equity as a cross-cutting dimension of all six pillars. Sources: Act 67 of 2025; Oliver Wyman Act 167 Report; six-pillar framework.</w:t>
      </w:r>
    </w:p>
    <w:p>
      <w:pPr>
        <w:pStyle w:val="Caption"/>
      </w:pPr>
      <w:r>
        <w:t xml:space="preserve">Figure 10.6 — Vermont equity accountability framework: indicators, stratifications, and targets. Sources: Act 167; Act 68; VDH Health Equity Data Report (January 2025); AHS Transformation Reports.</w:t>
      </w:r>
    </w:p>
    <w:p>
      <w:pPr>
        <w:pStyle w:val="Caption"/>
      </w:pPr>
      <w:r>
        <w:t xml:space="preserve">Figure 10.7 — Hands-on platform tools for the Equity Pillar.</w:t>
      </w:r>
    </w:p>
    <w:p>
      <w:pPr>
        <w:pStyle w:val="Caption"/>
      </w:pPr>
      <w:r>
        <w:t xml:space="preserve">Figure 10.8 — Vermont HEDIS equity stratification framework. Sources: NCQA HEDIS Technical Specifications; AHS Health Equity Data Report (January 2025); Blueprint for Health data.</w:t>
      </w:r>
    </w:p>
    <w:p>
      <w:pPr>
        <w:pStyle w:val="Caption"/>
      </w:pPr>
      <w:r>
        <w:t xml:space="preserve">Figure 10.9 — Equity pillar implementation matrix. Sources: Vermont Department of Health Health Equity Data Report (January 2025); Act 68 of 2025.</w:t>
      </w:r>
    </w:p>
    <w:p>
      <w:pPr>
        <w:pStyle w:val="Caption"/>
      </w:pPr>
      <w:r>
        <w:t xml:space="preserve">Figure 10.10 — Five-step disparity closure process with Vermont applications. Source: HTR’s Health Equity Studio methodology.</w:t>
      </w:r>
    </w:p>
    <w:p>
      <w:pPr>
        <w:pStyle w:val="Caption"/>
      </w:pPr>
      <w:r>
        <w:t xml:space="preserve">Figure 10.11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11.8 — Hands-on platform tools for the Operations Pillar.</w:t>
      </w:r>
    </w:p>
    <w:p>
      <w:pPr>
        <w:pStyle w:val="Caption"/>
      </w:pPr>
      <w:r>
        <w:t xml:space="preserve">Figure 11.9 — Attribution error taxonomy and remediation. Sources: HTR’s Operations pillar framework; ACO REACH and MSSP operational guidance.</w:t>
      </w:r>
    </w:p>
    <w:p>
      <w:pPr>
        <w:pStyle w:val="Caption"/>
      </w:pPr>
      <w:r>
        <w:t xml:space="preserve">Figure 11.10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Sources: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12.4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13.5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14.3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Sources: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15.8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Key parameters for the Strategic Plan. Sources: Act 68; VTDigger; Oliver Wyman Act 167 Report; Vermont RHT Program Application.</w:t>
      </w:r>
    </w:p>
    <w:p>
      <w:pPr>
        <w:pStyle w:val="Caption"/>
      </w:pPr>
      <w:r>
        <w:t xml:space="preserve">Figure 16.6 — Hands-on platform tools for Chapter 16: testing the AHS restructuring design.</w:t>
      </w:r>
    </w:p>
    <w:p>
      <w:pPr>
        <w:pStyle w:val="Caption"/>
      </w:pPr>
      <w:r>
        <w:t xml:space="preserve">Figure A.1 — Vermont demographic transformation. Sources: Oliver Wyman Act 167 Report (2024); Vermont RHT Program Application; KFF.</w:t>
      </w:r>
    </w:p>
    <w:p>
      <w:pPr>
        <w:pStyle w:val="Caption"/>
      </w:pPr>
      <w:r>
        <w:t xml:space="preserve">Figure A.2 — GMCB regulatory functions. Sources: GMCB Hospital Budget Review Guide; Acts 167 and 68; GMCB Annual Report 2024.</w:t>
      </w:r>
    </w:p>
    <w:p>
      <w:pPr>
        <w:pStyle w:val="Caption"/>
      </w:pPr>
      <w:r>
        <w:t xml:space="preserve">Figure A.3 — Vermont’s 14 hospitals: typology, grant status, focus, and challenges. Sources: AHS Hospital Tracking data (January 2026); individual transformation plans (January 15, 2026); GMCB FY26 Budget Orders.</w:t>
      </w:r>
    </w:p>
    <w:p>
      <w:pPr>
        <w:pStyle w:val="Caption"/>
      </w:pPr>
      <w:r>
        <w:t xml:space="preserve">Figure A.4 — Vermont hospital transformation initiative themes, January 2026 (148 initiatives). Source: AHS Transformation Plans Analysis (January 2026).</w:t>
      </w:r>
    </w:p>
    <w:p>
      <w:pPr>
        <w:pStyle w:val="Caption"/>
      </w:pPr>
      <w:r>
        <w:t xml:space="preserve">Figure B.1 — Act 68 statutory timeline and milestones. Source: Act 68 of 2025.</w:t>
      </w:r>
    </w:p>
    <w:p>
      <w:pPr>
        <w:pStyle w:val="Caption"/>
      </w:pPr>
      <w:r>
        <w:t xml:space="preserve">Figure B.2 — Policy-pillar implementation matrix. Sources: HTR Advisory methodology; Vermont RHT Program Application (2025); GMCB rate-setting documentation.</w:t>
      </w:r>
    </w:p>
    <w:p>
      <w:pPr>
        <w:pStyle w:val="Caption"/>
      </w:pPr>
      <w:r>
        <w:t xml:space="preserve">Figure D.1 — AHEAD State Agreement key terms and Vermont-specific provisions. Source: Vermont AHEAD State Agreement (January 2025).</w:t>
      </w:r>
    </w:p>
    <w:p>
      <w:pPr>
        <w:pStyle w:val="Caption"/>
      </w:pPr>
      <w:r>
        <w:t xml:space="preserve">Figure F.1 — Policy-pillar scorecard. Sources: Act 68 of 2025; Oliver Wyman Act 167 Report; CMS AHEAD documentation; Vermont RHT Program Application.</w:t>
      </w:r>
    </w:p>
    <w:p>
      <w:pPr>
        <w:pStyle w:val="Caption"/>
      </w:pPr>
      <w:r>
        <w:t xml:space="preserve">Figure F.2 — Technology-pillar scorecard. Sources: GMCB VHCURES; VITL; Vermont DOH Health Equity Data Report (January 2025); Vermont RHT Application.</w:t>
      </w:r>
    </w:p>
    <w:p>
      <w:pPr>
        <w:pStyle w:val="Caption"/>
      </w:pPr>
      <w:r>
        <w:t xml:space="preserve">Figure F.3 — Economics-pillar scorecard. Sources: Oliver Wyman Act 167 Report; AHS November 2025 Report; GMCB price-transparency data; CMS AHEAD.</w:t>
      </w:r>
    </w:p>
    <w:p>
      <w:pPr>
        <w:pStyle w:val="Caption"/>
      </w:pPr>
      <w:r>
        <w:t xml:space="preserve">Figure F.4 — Clinical-pillar scorecard. Sources: Vermont Blueprint Annual Report 2024; Vermont AHS; GMCB quality reporting; Oliver Wyman workforce analysis.</w:t>
      </w:r>
    </w:p>
    <w:p>
      <w:pPr>
        <w:pStyle w:val="Caption"/>
      </w:pPr>
      <w:r>
        <w:t xml:space="preserve">Figure F.5 — Equity-pillar scorecard. Sources: Vermont DOH Health Equity Data Report (January 2025); Act 68; GMCB equity reporting; HTR HEROI framework.</w:t>
      </w:r>
    </w:p>
    <w:p>
      <w:pPr>
        <w:pStyle w:val="Caption"/>
      </w:pPr>
      <w:r>
        <w:t xml:space="preserve">Figure F.6 — Operations-pillar scorecard. Sources: AHS Transformation Reports (August, November 2025); RHRC; Vermont RHT Program Application; Act 68.</w:t>
      </w:r>
    </w:p>
    <w:p>
      <w:pPr>
        <w:pStyle w:val="Caption"/>
      </w:pPr>
      <w:r>
        <w:t xml:space="preserve">Figure I.1 — The HTR Lab Workbook maps each of the six pillars to a working platform tool, in the book’s execution sequence.</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2026-08-06T20:18:32Z</dcterms:created>
  <dcterms:modified xsi:type="dcterms:W3CDTF">2026-08-06T20:18:32Z</dcterms:modified>
</cp:coreProperties>
</file>

<file path=docProps/custom.xml><?xml version="1.0" encoding="utf-8"?>
<Properties xmlns="http://schemas.openxmlformats.org/officeDocument/2006/custom-properties" xmlns:vt="http://schemas.openxmlformats.org/officeDocument/2006/docPropsVTypes"/>
</file>