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31785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3178522"/>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10.7 — Equity pillar implementation matrix. Sources: Vermont Department of Health Health Equity Data Report (January 2025); Act 68 of 2025.</w:t>
      </w:r>
    </w:p>
    <w:p>
      <w:pPr>
        <w:pStyle w:val="Caption"/>
      </w:pPr>
      <w:r>
        <w:rPr>
          <w:i/>
          <w:iCs/>
        </w:rPr>
        <w:t xml:space="preserve">Figure 10.8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10.10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10.7 — Equity pillar implementation matrix. Sources: Vermont Department of Health Health Equity Data Report (January 2025); Act 68 of 2025.</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2026-08-04T18:04:01Z</dcterms:created>
  <dcterms:modified xsi:type="dcterms:W3CDTF">2026-08-04T18:04:01Z</dcterms:modified>
</cp:coreProperties>
</file>

<file path=docProps/custom.xml><?xml version="1.0" encoding="utf-8"?>
<Properties xmlns="http://schemas.openxmlformats.org/officeDocument/2006/custom-properties" xmlns:vt="http://schemas.openxmlformats.org/officeDocument/2006/docPropsVTypes"/>
</file>