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31785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3178522"/>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10.7 — Equity pillar implementation matrix. Sources: Vermont Department of Health Health Equity Data Report (January 2025); Act 68 of 2025.</w:t>
      </w:r>
    </w:p>
    <w:p>
      <w:pPr>
        <w:pStyle w:val="Caption"/>
      </w:pPr>
      <w:r>
        <w:rPr>
          <w:i/>
          <w:iCs/>
        </w:rPr>
        <w:t xml:space="preserve">Figure 10.8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10.10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8.H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10.7 — Equity pillar implementation matrix. Sources: Vermont Department of Health Health Equity Data Report (January 2025); Act 68 of 2025.</w:t>
      </w:r>
    </w:p>
    <w:p>
      <w:pPr>
        <w:pStyle w:val="Caption"/>
      </w:pPr>
      <w:r>
        <w:t xml:space="preserve">Figure 10.8 — Vermont HEDIS equity stratification framework. Sources: NCQA HEDIS Technical Specifications; AHS Health Equity Data Report (January 2025); Blueprint for Health data.</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2026-08-04T18:41:44Z</dcterms:created>
  <dcterms:modified xsi:type="dcterms:W3CDTF">2026-08-04T18:41:44Z</dcterms:modified>
</cp:coreProperties>
</file>

<file path=docProps/custom.xml><?xml version="1.0" encoding="utf-8"?>
<Properties xmlns="http://schemas.openxmlformats.org/officeDocument/2006/custom-properties" xmlns:vt="http://schemas.openxmlformats.org/officeDocument/2006/docPropsVTypes"/>
</file>