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Portfolio Sequence Is Dependency Sequence</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Predictive vs. Adaptive Approaches</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The Portfolio Risk Register</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Benefits Realization: Connecting the PMO to Act 167’s Five Goals</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The Business Case</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Implementation Roadmap</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Answering the Four Objections</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Work This Chapter on the Platform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Implications for You</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Key Concepts in This Chapter</w:t>
        </w:r>
      </w:hyperlink>
      <w:r>
        <w:tab/>
      </w:r>
      <w:r>
        <w:fldChar w:fldCharType="begin"/>
      </w:r>
      <w:r>
        <w:instrText xml:space="preserve"> PAGEREF _Toc1410 \h </w:instrText>
      </w:r>
      <w:r>
        <w:fldChar w:fldCharType="separate"/>
      </w:r>
      <w:r>
        <w:t>1</w:t>
      </w:r>
      <w:r>
        <w:fldChar w:fldCharType="end"/>
      </w:r>
    </w:p>
    <w:p>
      <w:pPr>
        <w:pStyle w:val="TOC1"/>
      </w:pPr>
      <w:hyperlink w:anchor="_Toc1411">
        <w:r>
          <w:t xml:space="preserve">Chapter 16 — The AHS Restructuring Roadmap: A Six-Pillar Framework for System Architects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Statutory Mandate — What Act 68 Actually Requires AHS to Do</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The Organizational Diagnosis — Why AHS Must Restructure, Not Just Plan</w:t>
        </w:r>
      </w:hyperlink>
      <w:r>
        <w:tab/>
      </w:r>
      <w:r>
        <w:fldChar w:fldCharType="begin"/>
      </w:r>
      <w:r>
        <w:instrText xml:space="preserve"> PAGEREF _Toc1413 \h </w:instrText>
      </w:r>
      <w:r>
        <w:fldChar w:fldCharType="separate"/>
      </w:r>
      <w:r>
        <w:t>1</w:t>
      </w:r>
      <w:r>
        <w:fldChar w:fldCharType="end"/>
      </w:r>
    </w:p>
    <w:p>
      <w:pPr>
        <w:pStyle w:val="TOC2"/>
      </w:pPr>
      <w:hyperlink w:anchor="_Toc1415">
        <w:r>
          <w:t xml:space="preserve">The Redesigned AHS Operating Model — A Population Health System Operator</w:t>
        </w:r>
      </w:hyperlink>
      <w:r>
        <w:tab/>
      </w:r>
      <w:r>
        <w:fldChar w:fldCharType="begin"/>
      </w:r>
      <w:r>
        <w:instrText xml:space="preserve"> PAGEREF _Toc1415 \h </w:instrText>
      </w:r>
      <w:r>
        <w:fldChar w:fldCharType="separate"/>
      </w:r>
      <w:r>
        <w:t>1</w:t>
      </w:r>
      <w:r>
        <w:fldChar w:fldCharType="end"/>
      </w:r>
    </w:p>
    <w:p>
      <w:pPr>
        <w:pStyle w:val="TOC2"/>
      </w:pPr>
      <w:hyperlink w:anchor="_Toc1419">
        <w:r>
          <w:t xml:space="preserve">The Six-Pillar Framework Applied to AHS’s Mandate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The AHS Restructuring Implementation Timeline</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 Framework for the 2028 Statewide Strategic Plan</w:t>
        </w:r>
      </w:hyperlink>
      <w:r>
        <w:tab/>
      </w:r>
      <w:r>
        <w:fldChar w:fldCharType="begin"/>
      </w:r>
      <w:r>
        <w:instrText xml:space="preserve"> PAGEREF _Toc1421 \h </w:instrText>
      </w:r>
      <w:r>
        <w:fldChar w:fldCharType="separate"/>
      </w:r>
      <w:r>
        <w:t>1</w:t>
      </w:r>
      <w:r>
        <w:fldChar w:fldCharType="end"/>
      </w:r>
    </w:p>
    <w:p>
      <w:pPr>
        <w:pStyle w:val="TOC2"/>
      </w:pPr>
      <w:hyperlink w:anchor="_Toc1423">
        <w:r>
          <w:t xml:space="preserve">Vermont as National Template — Why This Restructuring Matters Beyond Vermont</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Conclusion — What Vermont Proves, and What Remains to Be Proven</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What Failure Actually Looks Like</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Three Decisions That Are Not Yet Made</w:t>
        </w:r>
      </w:hyperlink>
      <w:r>
        <w:tab/>
      </w:r>
      <w:r>
        <w:fldChar w:fldCharType="begin"/>
      </w:r>
      <w:r>
        <w:instrText xml:space="preserve"> PAGEREF _Toc1427 \h </w:instrText>
      </w:r>
      <w:r>
        <w:fldChar w:fldCharType="separate"/>
      </w:r>
      <w:r>
        <w:t>1</w:t>
      </w:r>
      <w:r>
        <w:fldChar w:fldCharType="end"/>
      </w:r>
    </w:p>
    <w:p>
      <w:pPr>
        <w:pStyle w:val="TOC2"/>
      </w:pPr>
      <w:hyperlink w:anchor="_Toc1431">
        <w:r>
          <w:t xml:space="preserve">What Vermont Has Proved — As of April 2026</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The People This Book Cannot Reach</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The Call</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Key Concepts in This Chapter</w:t>
        </w:r>
      </w:hyperlink>
      <w:r>
        <w:tab/>
      </w:r>
      <w:r>
        <w:fldChar w:fldCharType="begin"/>
      </w:r>
      <w:r>
        <w:instrText xml:space="preserve"> PAGEREF _Toc1434 \h </w:instrText>
      </w:r>
      <w:r>
        <w:fldChar w:fldCharType="separate"/>
      </w:r>
      <w:r>
        <w:t>1</w:t>
      </w:r>
      <w:r>
        <w:fldChar w:fldCharType="end"/>
      </w:r>
    </w:p>
    <w:p>
      <w:pPr>
        <w:pStyle w:val="TOC1"/>
      </w:pPr>
      <w:hyperlink w:anchor="_Toc1435">
        <w:r>
          <w:t xml:space="preserve">Appendix A — Vermont System Portrait</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A.1 Vermont: The State</w:t>
        </w:r>
      </w:hyperlink>
      <w:r>
        <w:tab/>
      </w:r>
      <w:r>
        <w:fldChar w:fldCharType="begin"/>
      </w:r>
      <w:r>
        <w:instrText xml:space="preserve"> PAGEREF _Toc1436 \h </w:instrText>
      </w:r>
      <w:r>
        <w:fldChar w:fldCharType="separate"/>
      </w:r>
      <w:r>
        <w:t>1</w:t>
      </w:r>
      <w:r>
        <w:fldChar w:fldCharType="end"/>
      </w:r>
    </w:p>
    <w:p>
      <w:pPr>
        <w:pStyle w:val="TOC2"/>
      </w:pPr>
      <w:hyperlink w:anchor="_Toc1437">
        <w:r>
          <w:t xml:space="preserve">A.2 Demographics and Population Projections</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A.3 Regulatory Architecture: The Green Mountain Care Board</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A.4 The Hospital System</w:t>
        </w:r>
      </w:hyperlink>
      <w:r>
        <w:tab/>
      </w:r>
      <w:r>
        <w:fldChar w:fldCharType="begin"/>
      </w:r>
      <w:r>
        <w:instrText xml:space="preserve"> PAGEREF _Toc1439 \h </w:instrText>
      </w:r>
      <w:r>
        <w:fldChar w:fldCharType="separate"/>
      </w:r>
      <w:r>
        <w:t>1</w:t>
      </w:r>
      <w:r>
        <w:fldChar w:fldCharType="end"/>
      </w:r>
    </w:p>
    <w:p>
      <w:pPr>
        <w:pStyle w:val="TOC2"/>
      </w:pPr>
      <w:hyperlink w:anchor="_Toc1442">
        <w:r>
          <w:t xml:space="preserve">A.5 The Transformation Plans: A System in Motion</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A.6 The Insurance and Premium Crisis</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A.7 Healthcare Workforce</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A.8 Clinical Quality Indicators</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B — Act 68 Statutory Timeline and Milestones</w:t>
        </w:r>
      </w:hyperlink>
      <w:r>
        <w:tab/>
      </w:r>
      <w:r>
        <w:fldChar w:fldCharType="begin"/>
      </w:r>
      <w:r>
        <w:instrText xml:space="preserve"> PAGEREF _Toc1446 \h </w:instrText>
      </w:r>
      <w:r>
        <w:fldChar w:fldCharType="separate"/>
      </w:r>
      <w:r>
        <w:t>1</w:t>
      </w:r>
      <w:r>
        <w:fldChar w:fldCharType="end"/>
      </w:r>
    </w:p>
    <w:p>
      <w:pPr>
        <w:pStyle w:val="TOC1"/>
      </w:pPr>
      <w:hyperlink w:anchor="_Toc1448">
        <w:r>
          <w:t xml:space="preserve">Appendix C — The 14-Hospital Centers of Excellence Assignment Framework</w:t>
        </w:r>
      </w:hyperlink>
      <w:r>
        <w:tab/>
      </w:r>
      <w:r>
        <w:fldChar w:fldCharType="begin"/>
      </w:r>
      <w:r>
        <w:instrText xml:space="preserve"> PAGEREF _Toc1448 \h </w:instrText>
      </w:r>
      <w:r>
        <w:fldChar w:fldCharType="separate"/>
      </w:r>
      <w:r>
        <w:t>1</w:t>
      </w:r>
      <w:r>
        <w:fldChar w:fldCharType="end"/>
      </w:r>
    </w:p>
    <w:p>
      <w:pPr>
        <w:pStyle w:val="TOC1"/>
      </w:pPr>
      <w:hyperlink w:anchor="_Toc1449">
        <w:r>
          <w:t xml:space="preserve">Appendix D — AHEAD State Agreement: Key Terms and Provisions</w:t>
        </w:r>
      </w:hyperlink>
      <w:r>
        <w:tab/>
      </w:r>
      <w:r>
        <w:fldChar w:fldCharType="begin"/>
      </w:r>
      <w:r>
        <w:instrText xml:space="preserve"> PAGEREF _Toc1449 \h </w:instrText>
      </w:r>
      <w:r>
        <w:fldChar w:fldCharType="separate"/>
      </w:r>
      <w:r>
        <w:t>1</w:t>
      </w:r>
      <w:r>
        <w:fldChar w:fldCharType="end"/>
      </w:r>
    </w:p>
    <w:p>
      <w:pPr>
        <w:pStyle w:val="TOC1"/>
      </w:pPr>
      <w:hyperlink w:anchor="_Toc1450">
        <w:r>
          <w:t xml:space="preserve">Appendix E — HTR Platform Tools and Methodology Overview</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F — Vermont Transformation Scorecard: 2022 Baseline, 2026 Status, 2028 Target</w:t>
        </w:r>
      </w:hyperlink>
      <w:r>
        <w:tab/>
      </w:r>
      <w:r>
        <w:fldChar w:fldCharType="begin"/>
      </w:r>
      <w:r>
        <w:instrText xml:space="preserve"> PAGEREF _Toc1451 \h </w:instrText>
      </w:r>
      <w:r>
        <w:fldChar w:fldCharType="separate"/>
      </w:r>
      <w:r>
        <w:t>1</w:t>
      </w:r>
      <w:r>
        <w:fldChar w:fldCharType="end"/>
      </w:r>
    </w:p>
    <w:p>
      <w:pPr>
        <w:pStyle w:val="TOC1"/>
      </w:pPr>
      <w:hyperlink w:anchor="_Toc1458">
        <w:r>
          <w:t xml:space="preserve">Appendix G — A Reader’s Guide to the Health Transformation Review Platform</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What This Platform 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Navigating the Platform</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The Six Pillars of Intelligence</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The Academy</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The Research Lab</w:t>
        </w:r>
      </w:hyperlink>
      <w:r>
        <w:tab/>
      </w:r>
      <w:r>
        <w:fldChar w:fldCharType="begin"/>
      </w:r>
      <w:r>
        <w:instrText xml:space="preserve"> PAGEREF _Toc1463 \h </w:instrText>
      </w:r>
      <w:r>
        <w:fldChar w:fldCharType="separate"/>
      </w:r>
      <w:r>
        <w:t>1</w:t>
      </w:r>
      <w:r>
        <w:fldChar w:fldCharType="end"/>
      </w:r>
    </w:p>
    <w:p>
      <w:pPr>
        <w:pStyle w:val="TOC2"/>
      </w:pPr>
      <w:hyperlink w:anchor="_Toc1464">
        <w:r>
          <w:t xml:space="preserve">States &amp; Programs</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Advisory &amp; Services and the AI Analyst</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Reader Profiles and Recommended Paths</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H — Adapting and Stress-Testing the Framework</w:t>
        </w:r>
      </w:hyperlink>
      <w:r>
        <w:tab/>
      </w:r>
      <w:r>
        <w:fldChar w:fldCharType="begin"/>
      </w:r>
      <w:r>
        <w:instrText xml:space="preserve"> PAGEREF _Toc1467 \h </w:instrText>
      </w:r>
      <w:r>
        <w:fldChar w:fldCharType="separate"/>
      </w:r>
      <w:r>
        <w:t>1</w:t>
      </w:r>
      <w:r>
        <w:fldChar w:fldCharType="end"/>
      </w:r>
    </w:p>
    <w:p>
      <w:pPr>
        <w:pStyle w:val="TOC2"/>
      </w:pPr>
      <w:hyperlink w:anchor="_Toc1468">
        <w:r>
          <w:t xml:space="preserve">H.1 Glossary of Vermont-Specific Acronyms and Institutions</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H.2 Worksheet — Adapt This Framework to Your State</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H.3 The Transition Window — Financing FY2027–2030</w:t>
        </w:r>
      </w:hyperlink>
      <w:r>
        <w:tab/>
      </w:r>
      <w:r>
        <w:fldChar w:fldCharType="begin"/>
      </w:r>
      <w:r>
        <w:instrText xml:space="preserve"> PAGEREF _Toc1470 \h </w:instrText>
      </w:r>
      <w:r>
        <w:fldChar w:fldCharType="separate"/>
      </w:r>
      <w:r>
        <w:t>1</w:t>
      </w:r>
      <w:r>
        <w:fldChar w:fldCharType="end"/>
      </w:r>
    </w:p>
    <w:p>
      <w:pPr>
        <w:pStyle w:val="TOC2"/>
      </w:pPr>
      <w:hyperlink w:anchor="_Toc1473">
        <w:r>
          <w:t xml:space="preserve">H.4 Two Clocks — Reconciling Act 68 and AHEAD Cohort 2 Timelines</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H.5 Enforcement Mechanics — What “Mandatory” Means in Practice</w:t>
        </w:r>
      </w:hyperlink>
      <w:r>
        <w:tab/>
      </w:r>
      <w:r>
        <w:fldChar w:fldCharType="begin"/>
      </w:r>
      <w:r>
        <w:instrText xml:space="preserve"> PAGEREF _Toc1474 \h </w:instrText>
      </w:r>
      <w:r>
        <w:fldChar w:fldCharType="separate"/>
      </w:r>
      <w:r>
        <w:t>1</w:t>
      </w:r>
      <w:r>
        <w:fldChar w:fldCharType="end"/>
      </w:r>
    </w:p>
    <w:p>
      <w:pPr>
        <w:pStyle w:val="TOC1"/>
      </w:pPr>
      <w:hyperlink w:anchor="_Toc1477">
        <w:r>
          <w:t xml:space="preserve">Appendix I — The HTR Lab Workbook: A Six-Pillar Practicum</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How to Use This Workbook</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1 — Policy: Establish the Mandate</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2 — Technology: Build the Substrate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3 — Economics: Put Incentives on a Visible System</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Stage 4 — Clinical: Redesign Care on Aligned Incentives</w:t>
        </w:r>
      </w:hyperlink>
      <w:r>
        <w:tab/>
      </w:r>
      <w:r>
        <w:fldChar w:fldCharType="begin"/>
      </w:r>
      <w:r>
        <w:instrText xml:space="preserve"> PAGEREF _Toc1482 \h </w:instrText>
      </w:r>
      <w:r>
        <w:fldChar w:fldCharType="separate"/>
      </w:r>
      <w:r>
        <w:t>1</w:t>
      </w:r>
      <w:r>
        <w:fldChar w:fldCharType="end"/>
      </w:r>
    </w:p>
    <w:p>
      <w:pPr>
        <w:pStyle w:val="TOC2"/>
      </w:pPr>
      <w:hyperlink w:anchor="_Toc1483">
        <w:r>
          <w:t xml:space="preserve">Stage 5 — Equity: Calibrate for the Gap, Not the Average</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Stage 6 — Operations: Close the Execution Gap</w:t>
        </w:r>
      </w:hyperlink>
      <w:r>
        <w:tab/>
      </w:r>
      <w:r>
        <w:fldChar w:fldCharType="begin"/>
      </w:r>
      <w:r>
        <w:instrText xml:space="preserve"> PAGEREF _Toc1484 \h </w:instrText>
      </w:r>
      <w:r>
        <w:fldChar w:fldCharType="separate"/>
      </w:r>
      <w:r>
        <w:t>1</w:t>
      </w:r>
      <w:r>
        <w:fldChar w:fldCharType="end"/>
      </w:r>
    </w:p>
    <w:p>
      <w:pPr>
        <w:pStyle w:val="TOC1"/>
      </w:pPr>
      <w:hyperlink w:anchor="_Toc1485">
        <w:r>
          <w:t xml:space="preserve">Figure Index</w:t>
        </w:r>
      </w:hyperlink>
      <w:r>
        <w:tab/>
      </w:r>
      <w:r>
        <w:fldChar w:fldCharType="begin"/>
      </w:r>
      <w:r>
        <w:instrText xml:space="preserve"> PAGEREF _Toc1485 \h </w:instrText>
      </w:r>
      <w:r>
        <w:fldChar w:fldCharType="separate"/>
      </w:r>
      <w:r>
        <w:t>1</w:t>
      </w:r>
      <w:r>
        <w:fldChar w:fldCharType="end"/>
      </w:r>
    </w:p>
    <w:p>
      <w:pPr>
        <w:pStyle w:val="TOC1"/>
      </w:pPr>
      <w:hyperlink w:anchor="_Toc1486">
        <w:r>
          <w:t xml:space="preserve">Bibliography and Source Notes</w:t>
        </w:r>
      </w:hyperlink>
      <w:r>
        <w:tab/>
      </w:r>
      <w:r>
        <w:fldChar w:fldCharType="begin"/>
      </w:r>
      <w:r>
        <w:instrText xml:space="preserve"> PAGEREF _Toc1486 \h </w:instrText>
      </w:r>
      <w:r>
        <w:fldChar w:fldCharType="separate"/>
      </w:r>
      <w:r>
        <w:t>1</w:t>
      </w:r>
      <w:r>
        <w:fldChar w:fldCharType="end"/>
      </w:r>
    </w:p>
    <w:p>
      <w:pPr>
        <w:pStyle w:val="TOC1"/>
      </w:pPr>
      <w:hyperlink w:anchor="_Toc1487">
        <w:r>
          <w:t xml:space="preserve">Index (Selected)</w:t>
        </w:r>
      </w:hyperlink>
      <w:r>
        <w:tab/>
      </w:r>
      <w:r>
        <w:fldChar w:fldCharType="begin"/>
      </w:r>
      <w:r>
        <w:instrText xml:space="preserve"> PAGEREF _Toc1487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autofit"/>
      </w:tblPr>
      <w:tblGrid>
        <w:gridCol w:w="608"/>
        <w:gridCol w:w="1156"/>
        <w:gridCol w:w="3653"/>
        <w:gridCol w:w="3653"/>
      </w:tblGrid>
      <w:tr>
        <w:trPr>
          <w:tblHeader w:val="on"/>
          <w:cantSplit/>
        </w:trPr>
        <w:tc>
          <w:tcPr>
            <w:shd w:val="clear" w:color="auto" w:fill="1B3A6B"/>
            <w:tcW w:w="608" w:type="dxa"/>
          </w:tcPr>
          <w:p>
            <w:pPr>
              <w:pStyle w:val="Compact"/>
              <w:jc w:val="left"/>
            </w:pPr>
            <w:r>
              <w:rPr>
                <w:b/>
                <w:color w:val="FFFFFF"/>
                <w:sz w:val="18"/>
              </w:rPr>
              <w:t xml:space="preserve">Pillar</w:t>
            </w:r>
          </w:p>
        </w:tc>
        <w:tc>
          <w:tcPr>
            <w:shd w:val="clear" w:color="auto" w:fill="1B3A6B"/>
            <w:tcW w:w="1156" w:type="dxa"/>
          </w:tcPr>
          <w:p>
            <w:pPr>
              <w:pStyle w:val="Compact"/>
              <w:jc w:val="left"/>
            </w:pPr>
            <w:r>
              <w:rPr>
                <w:b/>
                <w:color w:val="FFFFFF"/>
                <w:sz w:val="18"/>
              </w:rPr>
              <w:t xml:space="preserve">Diagnostic question</w:t>
            </w:r>
          </w:p>
        </w:tc>
        <w:tc>
          <w:tcPr>
            <w:shd w:val="clear" w:color="auto" w:fill="1B3A6B"/>
            <w:tcW w:w="3653" w:type="dxa"/>
          </w:tcPr>
          <w:p>
            <w:pPr>
              <w:pStyle w:val="Compact"/>
              <w:jc w:val="left"/>
            </w:pPr>
            <w:r>
              <w:rPr>
                <w:b/>
                <w:color w:val="FFFFFF"/>
                <w:sz w:val="18"/>
              </w:rPr>
              <w:t xml:space="preserve">Structural role in the system</w:t>
            </w:r>
          </w:p>
        </w:tc>
        <w:tc>
          <w:tcPr>
            <w:shd w:val="clear" w:color="auto" w:fill="1B3A6B"/>
            <w:tcW w:w="3653" w:type="dxa"/>
          </w:tcPr>
          <w:p>
            <w:pPr>
              <w:pStyle w:val="Compact"/>
              <w:jc w:val="left"/>
            </w:pPr>
            <w:r>
              <w:rPr>
                <w:b/>
                <w:color w:val="FFFFFF"/>
                <w:sz w:val="18"/>
              </w:rPr>
              <w:t xml:space="preserve">What it produces when functioning</w:t>
            </w:r>
          </w:p>
        </w:tc>
      </w:tr>
      <w:tr>
        <w:trPr>
          <w:cantSplit/>
        </w:trPr>
        <w:tc>
          <w:tcPr>
            <w:tcW w:w="608" w:type="dxa"/>
          </w:tcPr>
          <w:p>
            <w:pPr>
              <w:pStyle w:val="Compact"/>
              <w:jc w:val="left"/>
            </w:pPr>
            <w:r>
              <w:rPr>
                <w:b/>
                <w:bCs/>
                <w:sz w:val="18"/>
              </w:rPr>
              <w:t xml:space="preserve">Policy</w:t>
            </w:r>
          </w:p>
        </w:tc>
        <w:tc>
          <w:tcPr>
            <w:tcW w:w="1156" w:type="dxa"/>
          </w:tcPr>
          <w:p>
            <w:pPr>
              <w:pStyle w:val="Compact"/>
              <w:jc w:val="left"/>
            </w:pPr>
            <w:r>
              <w:rPr>
                <w:sz w:val="18"/>
              </w:rPr>
              <w:t xml:space="preserve">Is it permissible?</w:t>
            </w:r>
          </w:p>
        </w:tc>
        <w:tc>
          <w:tcPr>
            <w:tcW w:w="3653"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8"/>
              </w:rPr>
              <w:t xml:space="preserve">Technology</w:t>
            </w:r>
          </w:p>
        </w:tc>
        <w:tc>
          <w:tcPr>
            <w:tcW w:w="1156" w:type="dxa"/>
          </w:tcPr>
          <w:p>
            <w:pPr>
              <w:pStyle w:val="Compact"/>
              <w:jc w:val="left"/>
            </w:pPr>
            <w:r>
              <w:rPr>
                <w:sz w:val="18"/>
              </w:rPr>
              <w:t xml:space="preserve">Is it possible?</w:t>
            </w:r>
          </w:p>
        </w:tc>
        <w:tc>
          <w:tcPr>
            <w:tcW w:w="3653"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8"/>
              </w:rPr>
              <w:t xml:space="preserve">Economics</w:t>
            </w:r>
          </w:p>
        </w:tc>
        <w:tc>
          <w:tcPr>
            <w:tcW w:w="1156" w:type="dxa"/>
          </w:tcPr>
          <w:p>
            <w:pPr>
              <w:pStyle w:val="Compact"/>
              <w:jc w:val="left"/>
            </w:pPr>
            <w:r>
              <w:rPr>
                <w:sz w:val="18"/>
              </w:rPr>
              <w:t xml:space="preserve">Is it sustainable?</w:t>
            </w:r>
          </w:p>
        </w:tc>
        <w:tc>
          <w:tcPr>
            <w:tcW w:w="3653"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8"/>
              </w:rPr>
              <w:t xml:space="preserve">Clinical</w:t>
            </w:r>
          </w:p>
        </w:tc>
        <w:tc>
          <w:tcPr>
            <w:tcW w:w="1156" w:type="dxa"/>
          </w:tcPr>
          <w:p>
            <w:pPr>
              <w:pStyle w:val="Compact"/>
              <w:jc w:val="left"/>
            </w:pPr>
            <w:r>
              <w:rPr>
                <w:sz w:val="18"/>
              </w:rPr>
              <w:t xml:space="preserve">Is it effective?</w:t>
            </w:r>
          </w:p>
        </w:tc>
        <w:tc>
          <w:tcPr>
            <w:tcW w:w="3653"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8"/>
              </w:rPr>
              <w:t xml:space="preserve">Equity</w:t>
            </w:r>
          </w:p>
        </w:tc>
        <w:tc>
          <w:tcPr>
            <w:tcW w:w="1156" w:type="dxa"/>
          </w:tcPr>
          <w:p>
            <w:pPr>
              <w:pStyle w:val="Compact"/>
              <w:jc w:val="left"/>
            </w:pPr>
            <w:r>
              <w:rPr>
                <w:sz w:val="18"/>
              </w:rPr>
              <w:t xml:space="preserve">Is it just?</w:t>
            </w:r>
          </w:p>
        </w:tc>
        <w:tc>
          <w:tcPr>
            <w:tcW w:w="3653"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8"/>
              </w:rPr>
              <w:t xml:space="preserve">Operations</w:t>
            </w:r>
          </w:p>
        </w:tc>
        <w:tc>
          <w:tcPr>
            <w:tcW w:w="1156" w:type="dxa"/>
          </w:tcPr>
          <w:p>
            <w:pPr>
              <w:pStyle w:val="Compact"/>
              <w:jc w:val="left"/>
            </w:pPr>
            <w:r>
              <w:rPr>
                <w:sz w:val="18"/>
              </w:rPr>
              <w:t xml:space="preserve">Is it executable?</w:t>
            </w:r>
          </w:p>
        </w:tc>
        <w:tc>
          <w:tcPr>
            <w:tcW w:w="3653"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1.3, check which case you are in before concluding the framework is double-counting.</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autofit"/>
      </w:tblPr>
      <w:tblGrid>
        <w:gridCol w:w="500"/>
        <w:gridCol w:w="2142"/>
        <w:gridCol w:w="2142"/>
        <w:gridCol w:w="2142"/>
        <w:gridCol w:w="2142"/>
      </w:tblGrid>
      <w:tr>
        <w:trPr>
          <w:tblHeader w:val="on"/>
          <w:cantSplit/>
        </w:trPr>
        <w:tc>
          <w:tcPr>
            <w:shd w:val="clear" w:color="auto" w:fill="1B3A6B"/>
            <w:tcW w:w="500" w:type="dxa"/>
          </w:tcPr>
          <w:p>
            <w:pPr>
              <w:pStyle w:val="Compact"/>
              <w:jc w:val="left"/>
            </w:pPr>
            <w:r>
              <w:rPr>
                <w:b/>
                <w:color w:val="FFFFFF"/>
                <w:sz w:val="18"/>
              </w:rPr>
              <w:t xml:space="preserve">Pillar removed</w:t>
            </w:r>
          </w:p>
        </w:tc>
        <w:tc>
          <w:tcPr>
            <w:shd w:val="clear" w:color="auto" w:fill="1B3A6B"/>
            <w:tcW w:w="2142" w:type="dxa"/>
          </w:tcPr>
          <w:p>
            <w:pPr>
              <w:pStyle w:val="Compact"/>
              <w:jc w:val="left"/>
            </w:pPr>
            <w:r>
              <w:rPr>
                <w:b/>
                <w:color w:val="FFFFFF"/>
                <w:sz w:val="18"/>
              </w:rPr>
              <w:t xml:space="preserve">Immediate failure</w:t>
            </w:r>
          </w:p>
        </w:tc>
        <w:tc>
          <w:tcPr>
            <w:shd w:val="clear" w:color="auto" w:fill="1B3A6B"/>
            <w:tcW w:w="2142" w:type="dxa"/>
          </w:tcPr>
          <w:p>
            <w:pPr>
              <w:pStyle w:val="Compact"/>
              <w:jc w:val="left"/>
            </w:pPr>
            <w:r>
              <w:rPr>
                <w:b/>
                <w:color w:val="FFFFFF"/>
                <w:sz w:val="18"/>
              </w:rPr>
              <w:t xml:space="preserve">Second-order failure</w:t>
            </w:r>
          </w:p>
        </w:tc>
        <w:tc>
          <w:tcPr>
            <w:shd w:val="clear" w:color="auto" w:fill="1B3A6B"/>
            <w:tcW w:w="2142" w:type="dxa"/>
          </w:tcPr>
          <w:p>
            <w:pPr>
              <w:pStyle w:val="Compact"/>
              <w:jc w:val="left"/>
            </w:pPr>
            <w:r>
              <w:rPr>
                <w:b/>
                <w:color w:val="FFFFFF"/>
                <w:sz w:val="18"/>
              </w:rPr>
              <w:t xml:space="preserve">System-level outcome</w:t>
            </w:r>
          </w:p>
        </w:tc>
        <w:tc>
          <w:tcPr>
            <w:shd w:val="clear" w:color="auto" w:fill="1B3A6B"/>
            <w:tcW w:w="2142" w:type="dxa"/>
          </w:tcPr>
          <w:p>
            <w:pPr>
              <w:pStyle w:val="Compact"/>
              <w:jc w:val="left"/>
            </w:pPr>
            <w:r>
              <w:rPr>
                <w:b/>
                <w:color w:val="FFFFFF"/>
                <w:sz w:val="18"/>
              </w:rPr>
              <w:t xml:space="preserve">Historical example</w:t>
            </w:r>
          </w:p>
        </w:tc>
      </w:tr>
      <w:tr>
        <w:trPr>
          <w:cantSplit/>
        </w:trPr>
        <w:tc>
          <w:tcPr>
            <w:tcW w:w="500" w:type="dxa"/>
          </w:tcPr>
          <w:p>
            <w:pPr>
              <w:pStyle w:val="Compact"/>
              <w:jc w:val="left"/>
            </w:pPr>
            <w:r>
              <w:rPr>
                <w:b/>
                <w:bCs/>
                <w:sz w:val="18"/>
              </w:rPr>
              <w:t xml:space="preserve">Policy</w:t>
            </w:r>
          </w:p>
        </w:tc>
        <w:tc>
          <w:tcPr>
            <w:tcW w:w="2142" w:type="dxa"/>
          </w:tcPr>
          <w:p>
            <w:pPr>
              <w:pStyle w:val="Compact"/>
              <w:jc w:val="left"/>
            </w:pPr>
            <w:r>
              <w:rPr>
                <w:sz w:val="18"/>
              </w:rPr>
              <w:t xml:space="preserve">Payment reform remains voluntary; highest-cost actors opt out; rate benchmarks have no enforcement.</w:t>
            </w:r>
          </w:p>
        </w:tc>
        <w:tc>
          <w:tcPr>
            <w:tcW w:w="2142"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8"/>
              </w:rPr>
              <w:t xml:space="preserve">Incremental improvement among willing participants; no system-level change; ongoing premium inflation; hospital financial crisis continues.</w:t>
            </w:r>
          </w:p>
        </w:tc>
        <w:tc>
          <w:tcPr>
            <w:tcW w:w="2142" w:type="dxa"/>
          </w:tcPr>
          <w:p>
            <w:pPr>
              <w:pStyle w:val="Compact"/>
              <w:jc w:val="left"/>
            </w:pPr>
            <w:r>
              <w:rPr>
                <w:sz w:val="18"/>
              </w:rPr>
              <w:t xml:space="preserve">Vermont 2010–2022: OneCare voluntary ACO. Modest results; 9/14 hospitals in losses by 2023.</w:t>
            </w:r>
          </w:p>
        </w:tc>
      </w:tr>
      <w:tr>
        <w:trPr/>
        <w:tc>
          <w:tcPr>
            <w:tcW w:w="500" w:type="dxa"/>
          </w:tcPr>
          <w:p>
            <w:pPr>
              <w:pStyle w:val="Compact"/>
              <w:jc w:val="left"/>
            </w:pPr>
            <w:r>
              <w:rPr>
                <w:b/>
                <w:bCs/>
                <w:sz w:val="18"/>
              </w:rPr>
              <w:t xml:space="preserve">Technology</w:t>
            </w:r>
          </w:p>
        </w:tc>
        <w:tc>
          <w:tcPr>
            <w:tcW w:w="2142" w:type="dxa"/>
          </w:tcPr>
          <w:p>
            <w:pPr>
              <w:pStyle w:val="Compact"/>
              <w:jc w:val="left"/>
            </w:pPr>
            <w:r>
              <w:rPr>
                <w:sz w:val="18"/>
              </w:rPr>
              <w:t xml:space="preserve">VBC contracts signed but not managed; attribution errors undetected; TCOC measurement unreliable; quality measures cannot be stratified.</w:t>
            </w:r>
          </w:p>
        </w:tc>
        <w:tc>
          <w:tcPr>
            <w:tcW w:w="2142"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8"/>
              </w:rPr>
              <w:t xml:space="preserve">VBC produces losses for providers who cannot manage it; organizations exit VBC; payment reform stalls; equity gaps widen invisibly.</w:t>
            </w:r>
          </w:p>
        </w:tc>
        <w:tc>
          <w:tcPr>
            <w:tcW w:w="2142" w:type="dxa"/>
          </w:tcPr>
          <w:p>
            <w:pPr>
              <w:pStyle w:val="Compact"/>
              <w:jc w:val="left"/>
            </w:pPr>
            <w:r>
              <w:rPr>
                <w:sz w:val="18"/>
              </w:rPr>
              <w:t xml:space="preserve">Most early-CMMI ACO failures: organizations entered models without analytics and produced unexpected losses.</w:t>
            </w:r>
          </w:p>
        </w:tc>
      </w:tr>
      <w:tr>
        <w:trPr/>
        <w:tc>
          <w:tcPr>
            <w:tcW w:w="500" w:type="dxa"/>
          </w:tcPr>
          <w:p>
            <w:pPr>
              <w:pStyle w:val="Compact"/>
              <w:jc w:val="left"/>
            </w:pPr>
            <w:r>
              <w:rPr>
                <w:b/>
                <w:bCs/>
                <w:sz w:val="18"/>
              </w:rPr>
              <w:t xml:space="preserve">Economics</w:t>
            </w:r>
          </w:p>
        </w:tc>
        <w:tc>
          <w:tcPr>
            <w:tcW w:w="2142" w:type="dxa"/>
          </w:tcPr>
          <w:p>
            <w:pPr>
              <w:pStyle w:val="Compact"/>
              <w:jc w:val="left"/>
            </w:pPr>
            <w:r>
              <w:rPr>
                <w:sz w:val="18"/>
              </w:rPr>
              <w:t xml:space="preserve">Clinical programs continue under fee-for-service incentives; hospitals remain rewarded for volume, not value.</w:t>
            </w:r>
          </w:p>
        </w:tc>
        <w:tc>
          <w:tcPr>
            <w:tcW w:w="2142" w:type="dxa"/>
          </w:tcPr>
          <w:p>
            <w:pPr>
              <w:pStyle w:val="Compact"/>
              <w:jc w:val="left"/>
            </w:pPr>
            <w:r>
              <w:rPr>
                <w:sz w:val="18"/>
              </w:rPr>
              <w:t xml:space="preserve">Primary care investment produces outcomes but cannot capture the financial return — the 5.8:1 ROI accrues to payers, not providers.</w:t>
            </w:r>
          </w:p>
        </w:tc>
        <w:tc>
          <w:tcPr>
            <w:tcW w:w="2142" w:type="dxa"/>
          </w:tcPr>
          <w:p>
            <w:pPr>
              <w:pStyle w:val="Compact"/>
              <w:jc w:val="left"/>
            </w:pPr>
            <w:r>
              <w:rPr>
                <w:sz w:val="18"/>
              </w:rPr>
              <w:t xml:space="preserve">Clinical quality improves at the margin; costs keep rising; the financial case for transformation cannot be made; fragility deepens.</w:t>
            </w:r>
          </w:p>
        </w:tc>
        <w:tc>
          <w:tcPr>
            <w:tcW w:w="2142" w:type="dxa"/>
          </w:tcPr>
          <w:p>
            <w:pPr>
              <w:pStyle w:val="Compact"/>
              <w:jc w:val="left"/>
            </w:pPr>
            <w:r>
              <w:rPr>
                <w:sz w:val="18"/>
              </w:rPr>
              <w:t xml:space="preserve">U.S. national experience: 20+ years of quality improvement without payment reform. Quality rose; cost growth continued.</w:t>
            </w:r>
          </w:p>
        </w:tc>
      </w:tr>
      <w:tr>
        <w:trPr/>
        <w:tc>
          <w:tcPr>
            <w:tcW w:w="500" w:type="dxa"/>
          </w:tcPr>
          <w:p>
            <w:pPr>
              <w:pStyle w:val="Compact"/>
              <w:jc w:val="left"/>
            </w:pPr>
            <w:r>
              <w:rPr>
                <w:b/>
                <w:bCs/>
                <w:sz w:val="18"/>
              </w:rPr>
              <w:t xml:space="preserve">Clinical</w:t>
            </w:r>
          </w:p>
        </w:tc>
        <w:tc>
          <w:tcPr>
            <w:tcW w:w="2142" w:type="dxa"/>
          </w:tcPr>
          <w:p>
            <w:pPr>
              <w:pStyle w:val="Compact"/>
              <w:jc w:val="left"/>
            </w:pPr>
            <w:r>
              <w:rPr>
                <w:sz w:val="18"/>
              </w:rPr>
              <w:t xml:space="preserve">Payment reform changes incentives but has nothing to incentivize; global budgets create pressure without the programs that reduce cost.</w:t>
            </w:r>
          </w:p>
        </w:tc>
        <w:tc>
          <w:tcPr>
            <w:tcW w:w="2142"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8"/>
              </w:rPr>
              <w:t xml:space="preserve">Hospital financial crisis accelerates under global-budget pressure; rural hospitals close.</w:t>
            </w:r>
          </w:p>
        </w:tc>
        <w:tc>
          <w:tcPr>
            <w:tcW w:w="2142" w:type="dxa"/>
          </w:tcPr>
          <w:p>
            <w:pPr>
              <w:pStyle w:val="Compact"/>
              <w:jc w:val="left"/>
            </w:pPr>
            <w:r>
              <w:rPr>
                <w:sz w:val="18"/>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8"/>
              </w:rPr>
              <w:t xml:space="preserve">Equity</w:t>
            </w:r>
          </w:p>
        </w:tc>
        <w:tc>
          <w:tcPr>
            <w:tcW w:w="2142" w:type="dxa"/>
          </w:tcPr>
          <w:p>
            <w:pPr>
              <w:pStyle w:val="Compact"/>
              <w:jc w:val="left"/>
            </w:pPr>
            <w:r>
              <w:rPr>
                <w:sz w:val="18"/>
              </w:rPr>
              <w:t xml:space="preserve">Transformation proceeds but disparities widen; average outcomes improve while geographic and demographic gaps grow.</w:t>
            </w:r>
          </w:p>
        </w:tc>
        <w:tc>
          <w:tcPr>
            <w:tcW w:w="2142"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8"/>
              </w:rPr>
              <w:t xml:space="preserve">Transformation that increases efficiency while reducing equity — technically successful, ethically failed.</w:t>
            </w:r>
          </w:p>
        </w:tc>
        <w:tc>
          <w:tcPr>
            <w:tcW w:w="2142" w:type="dxa"/>
          </w:tcPr>
          <w:p>
            <w:pPr>
              <w:pStyle w:val="Compact"/>
              <w:jc w:val="left"/>
            </w:pPr>
            <w:r>
              <w:rPr>
                <w:sz w:val="18"/>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8"/>
              </w:rPr>
              <w:t xml:space="preserve">Operations</w:t>
            </w:r>
          </w:p>
        </w:tc>
        <w:tc>
          <w:tcPr>
            <w:tcW w:w="2142" w:type="dxa"/>
          </w:tcPr>
          <w:p>
            <w:pPr>
              <w:pStyle w:val="Compact"/>
              <w:jc w:val="left"/>
            </w:pPr>
            <w:r>
              <w:rPr>
                <w:sz w:val="18"/>
              </w:rPr>
              <w:t xml:space="preserve">Statutory mandates exist on paper; clinical programs are designed; data platforms are procured; nothing is implemented.</w:t>
            </w:r>
          </w:p>
        </w:tc>
        <w:tc>
          <w:tcPr>
            <w:tcW w:w="2142" w:type="dxa"/>
          </w:tcPr>
          <w:p>
            <w:pPr>
              <w:pStyle w:val="Compact"/>
              <w:jc w:val="left"/>
            </w:pPr>
            <w:r>
              <w:rPr>
                <w:sz w:val="18"/>
              </w:rPr>
              <w:t xml:space="preserve">Policy accountability fails without capacity to meet deadlines; platforms deployed but unused for management; contracts signed but not managed.</w:t>
            </w:r>
          </w:p>
        </w:tc>
        <w:tc>
          <w:tcPr>
            <w:tcW w:w="2142" w:type="dxa"/>
          </w:tcPr>
          <w:p>
            <w:pPr>
              <w:pStyle w:val="Compact"/>
              <w:jc w:val="left"/>
            </w:pPr>
            <w:r>
              <w:rPr>
                <w:sz w:val="18"/>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autofit"/>
      </w:tblPr>
      <w:tblGrid>
        <w:gridCol w:w="625"/>
        <w:gridCol w:w="3754"/>
        <w:gridCol w:w="3754"/>
        <w:gridCol w:w="938"/>
      </w:tblGrid>
      <w:tr>
        <w:trPr>
          <w:tblHeader w:val="on"/>
          <w:cantSplit/>
        </w:trPr>
        <w:tc>
          <w:tcPr>
            <w:shd w:val="clear" w:color="auto" w:fill="1B3A6B"/>
            <w:tcW w:w="625"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Primary Vermont intervention</w:t>
            </w:r>
          </w:p>
        </w:tc>
        <w:tc>
          <w:tcPr>
            <w:shd w:val="clear" w:color="auto" w:fill="1B3A6B"/>
            <w:tcW w:w="3754" w:type="dxa"/>
          </w:tcPr>
          <w:p>
            <w:pPr>
              <w:pStyle w:val="Compact"/>
              <w:jc w:val="left"/>
            </w:pPr>
            <w:r>
              <w:rPr>
                <w:b/>
                <w:color w:val="FFFFFF"/>
                <w:sz w:val="18"/>
              </w:rPr>
              <w:t xml:space="preserve">Secondary interventions</w:t>
            </w:r>
          </w:p>
        </w:tc>
        <w:tc>
          <w:tcPr>
            <w:shd w:val="clear" w:color="auto" w:fill="1B3A6B"/>
            <w:tcW w:w="938" w:type="dxa"/>
          </w:tcPr>
          <w:p>
            <w:pPr>
              <w:pStyle w:val="Compact"/>
              <w:jc w:val="left"/>
            </w:pPr>
            <w:r>
              <w:rPr>
                <w:b/>
                <w:color w:val="FFFFFF"/>
                <w:sz w:val="18"/>
              </w:rPr>
              <w:t xml:space="preserve">Developed in</w:t>
            </w:r>
          </w:p>
        </w:tc>
      </w:tr>
      <w:tr>
        <w:trPr>
          <w:cantSplit/>
        </w:trPr>
        <w:tc>
          <w:tcPr>
            <w:tcW w:w="625" w:type="dxa"/>
          </w:tcPr>
          <w:p>
            <w:pPr>
              <w:pStyle w:val="Compact"/>
              <w:jc w:val="left"/>
            </w:pPr>
            <w:r>
              <w:rPr>
                <w:b/>
                <w:bCs/>
                <w:sz w:val="18"/>
              </w:rPr>
              <w:t xml:space="preserve">Policy</w:t>
            </w:r>
          </w:p>
        </w:tc>
        <w:tc>
          <w:tcPr>
            <w:tcW w:w="3754" w:type="dxa"/>
          </w:tcPr>
          <w:p>
            <w:pPr>
              <w:pStyle w:val="Compact"/>
              <w:jc w:val="left"/>
            </w:pPr>
            <w:r>
              <w:rPr>
                <w:sz w:val="18"/>
              </w:rPr>
              <w:t xml:space="preserve">Acts 167 (2022), 51 (2023), 68 (2025): the legislative reform cascade; AHEAD Model State Agreement (January 2025)</w:t>
            </w:r>
          </w:p>
        </w:tc>
        <w:tc>
          <w:tcPr>
            <w:tcW w:w="3754" w:type="dxa"/>
          </w:tcPr>
          <w:p>
            <w:pPr>
              <w:pStyle w:val="Compact"/>
              <w:jc w:val="left"/>
            </w:pPr>
            <w:r>
              <w:rPr>
                <w:sz w:val="18"/>
              </w:rPr>
              <w:t xml:space="preserve">Act 55 (drug pricing); Act 49 (insurer solvency); Act 62 (HIE governance); federal RHT Program award</w:t>
            </w:r>
          </w:p>
        </w:tc>
        <w:tc>
          <w:tcPr>
            <w:tcW w:w="938" w:type="dxa"/>
          </w:tcPr>
          <w:p>
            <w:pPr>
              <w:pStyle w:val="Compact"/>
              <w:jc w:val="left"/>
            </w:pPr>
            <w:r>
              <w:rPr>
                <w:sz w:val="18"/>
              </w:rPr>
              <w:t xml:space="preserve">Chapters 2–3</w:t>
            </w:r>
          </w:p>
        </w:tc>
      </w:tr>
      <w:tr>
        <w:trPr/>
        <w:tc>
          <w:tcPr>
            <w:tcW w:w="625" w:type="dxa"/>
          </w:tcPr>
          <w:p>
            <w:pPr>
              <w:pStyle w:val="Compact"/>
              <w:jc w:val="left"/>
            </w:pPr>
            <w:r>
              <w:rPr>
                <w:b/>
                <w:bCs/>
                <w:sz w:val="18"/>
              </w:rPr>
              <w:t xml:space="preserve">Technology</w:t>
            </w:r>
          </w:p>
        </w:tc>
        <w:tc>
          <w:tcPr>
            <w:tcW w:w="3754" w:type="dxa"/>
          </w:tcPr>
          <w:p>
            <w:pPr>
              <w:pStyle w:val="Compact"/>
              <w:jc w:val="left"/>
            </w:pPr>
            <w:r>
              <w:rPr>
                <w:sz w:val="18"/>
              </w:rPr>
              <w:t xml:space="preserve">VHCURES all-payer claims database; Vermont CIN (RHT Program); AHS-GMCB data integration and analytics capability; AI scribe and RPM grants</w:t>
            </w:r>
          </w:p>
        </w:tc>
        <w:tc>
          <w:tcPr>
            <w:tcW w:w="3754" w:type="dxa"/>
          </w:tcPr>
          <w:p>
            <w:pPr>
              <w:pStyle w:val="Compact"/>
              <w:jc w:val="left"/>
            </w:pPr>
            <w:r>
              <w:rPr>
                <w:sz w:val="18"/>
              </w:rPr>
              <w:t xml:space="preserve">VITL/VHIE HIE; DVHA HIT Plan (Act 62); statewide EHR feasibility assessment; FHIR compliance investments</w:t>
            </w:r>
          </w:p>
        </w:tc>
        <w:tc>
          <w:tcPr>
            <w:tcW w:w="938" w:type="dxa"/>
          </w:tcPr>
          <w:p>
            <w:pPr>
              <w:pStyle w:val="Compact"/>
              <w:jc w:val="left"/>
            </w:pPr>
            <w:r>
              <w:rPr>
                <w:sz w:val="18"/>
              </w:rPr>
              <w:t xml:space="preserve">Chapters 4–5</w:t>
            </w:r>
          </w:p>
        </w:tc>
      </w:tr>
      <w:tr>
        <w:trPr/>
        <w:tc>
          <w:tcPr>
            <w:tcW w:w="625" w:type="dxa"/>
          </w:tcPr>
          <w:p>
            <w:pPr>
              <w:pStyle w:val="Compact"/>
              <w:jc w:val="left"/>
            </w:pPr>
            <w:r>
              <w:rPr>
                <w:b/>
                <w:bCs/>
                <w:sz w:val="18"/>
              </w:rPr>
              <w:t xml:space="preserve">Economics</w:t>
            </w:r>
          </w:p>
        </w:tc>
        <w:tc>
          <w:tcPr>
            <w:tcW w:w="3754" w:type="dxa"/>
          </w:tcPr>
          <w:p>
            <w:pPr>
              <w:pStyle w:val="Compact"/>
              <w:jc w:val="left"/>
            </w:pPr>
            <w:r>
              <w:rPr>
                <w:sz w:val="18"/>
              </w:rPr>
              <w:t xml:space="preserve">Reference-based pricing (mandatory, FY2027); global hospital budgets (FY2028–2030); AHEAD total cost of care accountability</w:t>
            </w:r>
          </w:p>
        </w:tc>
        <w:tc>
          <w:tcPr>
            <w:tcW w:w="3754" w:type="dxa"/>
          </w:tcPr>
          <w:p>
            <w:pPr>
              <w:pStyle w:val="Compact"/>
              <w:jc w:val="left"/>
            </w:pPr>
            <w:r>
              <w:rPr>
                <w:sz w:val="18"/>
              </w:rPr>
              <w:t xml:space="preserve">Act 68 hospital spending reduction (2.5%, FY2026); GMCB FY27 budget guidance (−1% commercial rate); Act 55 drug cap ($135M savings)</w:t>
            </w:r>
          </w:p>
        </w:tc>
        <w:tc>
          <w:tcPr>
            <w:tcW w:w="938" w:type="dxa"/>
          </w:tcPr>
          <w:p>
            <w:pPr>
              <w:pStyle w:val="Compact"/>
              <w:jc w:val="left"/>
            </w:pPr>
            <w:r>
              <w:rPr>
                <w:sz w:val="18"/>
              </w:rPr>
              <w:t xml:space="preserve">Chapters 6–7</w:t>
            </w:r>
          </w:p>
        </w:tc>
      </w:tr>
      <w:tr>
        <w:trPr/>
        <w:tc>
          <w:tcPr>
            <w:tcW w:w="625" w:type="dxa"/>
          </w:tcPr>
          <w:p>
            <w:pPr>
              <w:pStyle w:val="Compact"/>
              <w:jc w:val="left"/>
            </w:pPr>
            <w:r>
              <w:rPr>
                <w:b/>
                <w:bCs/>
                <w:sz w:val="18"/>
              </w:rPr>
              <w:t xml:space="preserve">Clinical</w:t>
            </w:r>
          </w:p>
        </w:tc>
        <w:tc>
          <w:tcPr>
            <w:tcW w:w="3754" w:type="dxa"/>
          </w:tcPr>
          <w:p>
            <w:pPr>
              <w:pStyle w:val="Compact"/>
              <w:jc w:val="left"/>
            </w:pPr>
            <w:r>
              <w:rPr>
                <w:sz w:val="18"/>
              </w:rPr>
              <w:t xml:space="preserve">Blueprint for Health (all-payer PCMH + CHT); CoCM and MHI behavioral health integration; CCBHC expansion (5 entities by July 2026)</w:t>
            </w:r>
          </w:p>
        </w:tc>
        <w:tc>
          <w:tcPr>
            <w:tcW w:w="3754" w:type="dxa"/>
          </w:tcPr>
          <w:p>
            <w:pPr>
              <w:pStyle w:val="Compact"/>
              <w:jc w:val="left"/>
            </w:pPr>
            <w:r>
              <w:rPr>
                <w:sz w:val="18"/>
              </w:rPr>
              <w:t xml:space="preserve">Hub-and-Spoke SUD model; PACE program development; COE regionalization; dementia care infrastructure</w:t>
            </w:r>
          </w:p>
        </w:tc>
        <w:tc>
          <w:tcPr>
            <w:tcW w:w="938" w:type="dxa"/>
          </w:tcPr>
          <w:p>
            <w:pPr>
              <w:pStyle w:val="Compact"/>
              <w:jc w:val="left"/>
            </w:pPr>
            <w:r>
              <w:rPr>
                <w:sz w:val="18"/>
              </w:rPr>
              <w:t xml:space="preserve">Chapters 8–9</w:t>
            </w:r>
          </w:p>
        </w:tc>
      </w:tr>
      <w:tr>
        <w:trPr/>
        <w:tc>
          <w:tcPr>
            <w:tcW w:w="625" w:type="dxa"/>
          </w:tcPr>
          <w:p>
            <w:pPr>
              <w:pStyle w:val="Compact"/>
              <w:jc w:val="left"/>
            </w:pPr>
            <w:r>
              <w:rPr>
                <w:b/>
                <w:bCs/>
                <w:sz w:val="18"/>
              </w:rPr>
              <w:t xml:space="preserve">Equity</w:t>
            </w:r>
          </w:p>
        </w:tc>
        <w:tc>
          <w:tcPr>
            <w:tcW w:w="3754" w:type="dxa"/>
          </w:tcPr>
          <w:p>
            <w:pPr>
              <w:pStyle w:val="Compact"/>
              <w:jc w:val="left"/>
            </w:pPr>
            <w:r>
              <w:rPr>
                <w:sz w:val="18"/>
              </w:rPr>
              <w:t xml:space="preserve">Geographic equity monitoring (HSA-level); SDOH integration through AHS HSA Coordinators; rural access preservation in RBP/global budget design</w:t>
            </w:r>
          </w:p>
        </w:tc>
        <w:tc>
          <w:tcPr>
            <w:tcW w:w="3754" w:type="dxa"/>
          </w:tcPr>
          <w:p>
            <w:pPr>
              <w:pStyle w:val="Compact"/>
              <w:jc w:val="left"/>
            </w:pPr>
            <w:r>
              <w:rPr>
                <w:sz w:val="18"/>
              </w:rPr>
              <w:t xml:space="preserve">HRSN universal screening (Blueprint); CCBHC access for all populations; Northeast Kingdom focus; GLP-1 access advocacy</w:t>
            </w:r>
          </w:p>
        </w:tc>
        <w:tc>
          <w:tcPr>
            <w:tcW w:w="938" w:type="dxa"/>
          </w:tcPr>
          <w:p>
            <w:pPr>
              <w:pStyle w:val="Compact"/>
              <w:jc w:val="left"/>
            </w:pPr>
            <w:r>
              <w:rPr>
                <w:sz w:val="18"/>
              </w:rPr>
              <w:t xml:space="preserve">Chapter 10</w:t>
            </w:r>
          </w:p>
        </w:tc>
      </w:tr>
      <w:tr>
        <w:trPr>
          <w:cantSplit/>
        </w:trPr>
        <w:tc>
          <w:tcPr>
            <w:tcW w:w="625" w:type="dxa"/>
          </w:tcPr>
          <w:p>
            <w:pPr>
              <w:pStyle w:val="Compact"/>
              <w:jc w:val="left"/>
            </w:pPr>
            <w:r>
              <w:rPr>
                <w:b/>
                <w:bCs/>
                <w:sz w:val="18"/>
              </w:rPr>
              <w:t xml:space="preserve">Operations</w:t>
            </w:r>
          </w:p>
        </w:tc>
        <w:tc>
          <w:tcPr>
            <w:tcW w:w="3754" w:type="dxa"/>
          </w:tcPr>
          <w:p>
            <w:pPr>
              <w:pStyle w:val="Compact"/>
              <w:jc w:val="left"/>
            </w:pPr>
            <w:r>
              <w:rPr>
                <w:sz w:val="18"/>
              </w:rPr>
              <w:t xml:space="preserve">14-hospital transformation planning (RHRC + AHS); Vermont CIN shared services; Act 68 transformation grants ($2M); PMO establishment</w:t>
            </w:r>
          </w:p>
        </w:tc>
        <w:tc>
          <w:tcPr>
            <w:tcW w:w="3754" w:type="dxa"/>
          </w:tcPr>
          <w:p>
            <w:pPr>
              <w:pStyle w:val="Compact"/>
              <w:jc w:val="left"/>
            </w:pPr>
            <w:r>
              <w:rPr>
                <w:sz w:val="18"/>
              </w:rPr>
              <w:t xml:space="preserve">EMS regionalization; administrative simplification (CON, prior auth); AHS restructuring; Division of Planning and Effectiveness</w:t>
            </w:r>
          </w:p>
        </w:tc>
        <w:tc>
          <w:tcPr>
            <w:tcW w:w="938" w:type="dxa"/>
          </w:tcPr>
          <w:p>
            <w:pPr>
              <w:pStyle w:val="Compact"/>
              <w:jc w:val="left"/>
            </w:pPr>
            <w:r>
              <w:rPr>
                <w:sz w:val="18"/>
              </w:rPr>
              <w:t xml:space="preserve">Chapters 11, 16</w:t>
            </w:r>
          </w:p>
        </w:tc>
      </w:tr>
    </w:tbl>
    <w:p>
      <w:pPr>
        <w:pStyle w:val="Caption"/>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autofit"/>
      </w:tblPr>
      <w:tblGrid>
        <w:gridCol w:w="348"/>
        <w:gridCol w:w="458"/>
        <w:gridCol w:w="2755"/>
        <w:gridCol w:w="2755"/>
        <w:gridCol w:w="2755"/>
      </w:tblGrid>
      <w:tr>
        <w:trPr>
          <w:tblHeader w:val="on"/>
          <w:cantSplit/>
        </w:trPr>
        <w:tc>
          <w:tcPr>
            <w:shd w:val="clear" w:color="auto" w:fill="1B3A6B"/>
            <w:tcW w:w="348" w:type="dxa"/>
          </w:tcPr>
          <w:p>
            <w:pPr>
              <w:pStyle w:val="Compact"/>
              <w:jc w:val="center"/>
            </w:pPr>
            <w:r>
              <w:rPr>
                <w:b/>
                <w:color w:val="FFFFFF"/>
                <w:sz w:val="18"/>
              </w:rPr>
              <w:t xml:space="preserve">#</w:t>
            </w:r>
          </w:p>
        </w:tc>
        <w:tc>
          <w:tcPr>
            <w:shd w:val="clear" w:color="auto" w:fill="1B3A6B"/>
            <w:tcW w:w="458"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Key action</w:t>
            </w:r>
          </w:p>
        </w:tc>
        <w:tc>
          <w:tcPr>
            <w:shd w:val="clear" w:color="auto" w:fill="1B3A6B"/>
            <w:tcW w:w="2755" w:type="dxa"/>
          </w:tcPr>
          <w:p>
            <w:pPr>
              <w:pStyle w:val="Compact"/>
              <w:jc w:val="left"/>
            </w:pPr>
            <w:r>
              <w:rPr>
                <w:b/>
                <w:color w:val="FFFFFF"/>
                <w:sz w:val="18"/>
              </w:rPr>
              <w:t xml:space="preserve">Why this sequence</w:t>
            </w:r>
          </w:p>
        </w:tc>
        <w:tc>
          <w:tcPr>
            <w:shd w:val="clear" w:color="auto" w:fill="1B3A6B"/>
            <w:tcW w:w="2755" w:type="dxa"/>
          </w:tcPr>
          <w:p>
            <w:pPr>
              <w:pStyle w:val="Compact"/>
              <w:jc w:val="left"/>
            </w:pPr>
            <w:r>
              <w:rPr>
                <w:b/>
                <w:color w:val="FFFFFF"/>
                <w:sz w:val="18"/>
              </w:rPr>
              <w:t xml:space="preserve">Vermont anchor</w:t>
            </w:r>
          </w:p>
        </w:tc>
      </w:tr>
      <w:tr>
        <w:trPr>
          <w:cantSplit/>
        </w:trPr>
        <w:tc>
          <w:tcPr>
            <w:tcW w:w="348" w:type="dxa"/>
          </w:tcPr>
          <w:p>
            <w:pPr>
              <w:pStyle w:val="Compact"/>
              <w:jc w:val="center"/>
            </w:pPr>
            <w:r>
              <w:rPr>
                <w:sz w:val="18"/>
              </w:rPr>
              <w:t xml:space="preserve">1</w:t>
            </w:r>
          </w:p>
        </w:tc>
        <w:tc>
          <w:tcPr>
            <w:tcW w:w="458" w:type="dxa"/>
          </w:tcPr>
          <w:p>
            <w:pPr>
              <w:pStyle w:val="Compact"/>
              <w:jc w:val="left"/>
            </w:pPr>
            <w:r>
              <w:rPr>
                <w:sz w:val="18"/>
              </w:rPr>
              <w:t xml:space="preserve">Policy</w:t>
            </w:r>
          </w:p>
        </w:tc>
        <w:tc>
          <w:tcPr>
            <w:tcW w:w="2755" w:type="dxa"/>
          </w:tcPr>
          <w:p>
            <w:pPr>
              <w:pStyle w:val="Compact"/>
              <w:jc w:val="left"/>
            </w:pPr>
            <w:r>
              <w:rPr>
                <w:sz w:val="18"/>
              </w:rPr>
              <w:t xml:space="preserve">Establish enforceable authority, mandate participation, secure transformation capital</w:t>
            </w:r>
          </w:p>
        </w:tc>
        <w:tc>
          <w:tcPr>
            <w:tcW w:w="2755" w:type="dxa"/>
          </w:tcPr>
          <w:p>
            <w:pPr>
              <w:pStyle w:val="Compact"/>
              <w:jc w:val="left"/>
            </w:pPr>
            <w:r>
              <w:rPr>
                <w:sz w:val="18"/>
              </w:rPr>
              <w:t xml:space="preserve">Nothing can be authorized, built, or funded without statutory permission. Mandatory architecture prevents high-cost actors from opting out.</w:t>
            </w:r>
          </w:p>
        </w:tc>
        <w:tc>
          <w:tcPr>
            <w:tcW w:w="2755" w:type="dxa"/>
          </w:tcPr>
          <w:p>
            <w:pPr>
              <w:pStyle w:val="Compact"/>
              <w:jc w:val="left"/>
            </w:pPr>
            <w:r>
              <w:rPr>
                <w:sz w:val="18"/>
              </w:rPr>
              <w:t xml:space="preserve">Acts 167, 51, 68; AHEAD State Agreement; $195M RHT award</w:t>
            </w:r>
          </w:p>
        </w:tc>
      </w:tr>
      <w:tr>
        <w:trPr/>
        <w:tc>
          <w:tcPr>
            <w:tcW w:w="348" w:type="dxa"/>
          </w:tcPr>
          <w:p>
            <w:pPr>
              <w:pStyle w:val="Compact"/>
              <w:jc w:val="center"/>
            </w:pPr>
            <w:r>
              <w:rPr>
                <w:sz w:val="18"/>
              </w:rPr>
              <w:t xml:space="preserve">2</w:t>
            </w:r>
          </w:p>
        </w:tc>
        <w:tc>
          <w:tcPr>
            <w:tcW w:w="458" w:type="dxa"/>
          </w:tcPr>
          <w:p>
            <w:pPr>
              <w:pStyle w:val="Compact"/>
              <w:jc w:val="left"/>
            </w:pPr>
            <w:r>
              <w:rPr>
                <w:sz w:val="18"/>
              </w:rPr>
              <w:t xml:space="preserve">Technology</w:t>
            </w:r>
          </w:p>
        </w:tc>
        <w:tc>
          <w:tcPr>
            <w:tcW w:w="2755" w:type="dxa"/>
          </w:tcPr>
          <w:p>
            <w:pPr>
              <w:pStyle w:val="Compact"/>
              <w:jc w:val="left"/>
            </w:pPr>
            <w:r>
              <w:rPr>
                <w:sz w:val="18"/>
              </w:rPr>
              <w:t xml:space="preserve">Build integrated clinical + claims data infrastructure — real-time — before financial risk is assumed</w:t>
            </w:r>
          </w:p>
        </w:tc>
        <w:tc>
          <w:tcPr>
            <w:tcW w:w="2755"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755" w:type="dxa"/>
          </w:tcPr>
          <w:p>
            <w:pPr>
              <w:pStyle w:val="Compact"/>
              <w:jc w:val="left"/>
            </w:pPr>
            <w:r>
              <w:rPr>
                <w:sz w:val="18"/>
              </w:rPr>
              <w:t xml:space="preserve">VHCURES; VITL/VHIE; AHS-GMCB analytics capability; Vermont CIN</w:t>
            </w:r>
          </w:p>
        </w:tc>
      </w:tr>
      <w:tr>
        <w:trPr/>
        <w:tc>
          <w:tcPr>
            <w:tcW w:w="348" w:type="dxa"/>
          </w:tcPr>
          <w:p>
            <w:pPr>
              <w:pStyle w:val="Compact"/>
              <w:jc w:val="center"/>
            </w:pPr>
            <w:r>
              <w:rPr>
                <w:sz w:val="18"/>
              </w:rPr>
              <w:t xml:space="preserve">3</w:t>
            </w:r>
          </w:p>
        </w:tc>
        <w:tc>
          <w:tcPr>
            <w:tcW w:w="458" w:type="dxa"/>
          </w:tcPr>
          <w:p>
            <w:pPr>
              <w:pStyle w:val="Compact"/>
              <w:jc w:val="left"/>
            </w:pPr>
            <w:r>
              <w:rPr>
                <w:sz w:val="18"/>
              </w:rPr>
              <w:t xml:space="preserve">Economics</w:t>
            </w:r>
          </w:p>
        </w:tc>
        <w:tc>
          <w:tcPr>
            <w:tcW w:w="2755" w:type="dxa"/>
          </w:tcPr>
          <w:p>
            <w:pPr>
              <w:pStyle w:val="Compact"/>
              <w:jc w:val="left"/>
            </w:pPr>
            <w:r>
              <w:rPr>
                <w:sz w:val="18"/>
              </w:rPr>
              <w:t xml:space="preserve">Deploy global budgets and RBP onto a system that can already see itself</w:t>
            </w:r>
          </w:p>
        </w:tc>
        <w:tc>
          <w:tcPr>
            <w:tcW w:w="2755" w:type="dxa"/>
          </w:tcPr>
          <w:p>
            <w:pPr>
              <w:pStyle w:val="Compact"/>
              <w:jc w:val="left"/>
            </w:pPr>
            <w:r>
              <w:rPr>
                <w:sz w:val="18"/>
              </w:rPr>
              <w:t xml:space="preserve">Economics-as-management requires the technology substrate. Payment design (Economics-as-design) happens in parallel during Stage 2.</w:t>
            </w:r>
          </w:p>
        </w:tc>
        <w:tc>
          <w:tcPr>
            <w:tcW w:w="2755" w:type="dxa"/>
          </w:tcPr>
          <w:p>
            <w:pPr>
              <w:pStyle w:val="Compact"/>
              <w:jc w:val="left"/>
            </w:pPr>
            <w:r>
              <w:rPr>
                <w:sz w:val="18"/>
              </w:rPr>
              <w:t xml:space="preserve">Global hospital budgets; RBP at ≤200% Medicare; EAST Fund up to $150M annually</w:t>
            </w:r>
          </w:p>
        </w:tc>
      </w:tr>
      <w:tr>
        <w:trPr/>
        <w:tc>
          <w:tcPr>
            <w:tcW w:w="348" w:type="dxa"/>
          </w:tcPr>
          <w:p>
            <w:pPr>
              <w:pStyle w:val="Compact"/>
              <w:jc w:val="center"/>
            </w:pPr>
            <w:r>
              <w:rPr>
                <w:sz w:val="18"/>
              </w:rPr>
              <w:t xml:space="preserve">4</w:t>
            </w:r>
          </w:p>
        </w:tc>
        <w:tc>
          <w:tcPr>
            <w:tcW w:w="458" w:type="dxa"/>
          </w:tcPr>
          <w:p>
            <w:pPr>
              <w:pStyle w:val="Compact"/>
              <w:jc w:val="left"/>
            </w:pPr>
            <w:r>
              <w:rPr>
                <w:sz w:val="18"/>
              </w:rPr>
              <w:t xml:space="preserve">Clinical</w:t>
            </w:r>
          </w:p>
        </w:tc>
        <w:tc>
          <w:tcPr>
            <w:tcW w:w="2755" w:type="dxa"/>
          </w:tcPr>
          <w:p>
            <w:pPr>
              <w:pStyle w:val="Compact"/>
              <w:jc w:val="left"/>
            </w:pPr>
            <w:r>
              <w:rPr>
                <w:sz w:val="18"/>
              </w:rPr>
              <w:t xml:space="preserve">Redesign care on aligned incentives</w:t>
            </w:r>
          </w:p>
        </w:tc>
        <w:tc>
          <w:tcPr>
            <w:tcW w:w="2755"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8"/>
              </w:rPr>
              <w:t xml:space="preserve">PCMH transformation; CoCM; CCBHC expansion; Blueprint 5.8:1 ROI</w:t>
            </w:r>
          </w:p>
        </w:tc>
      </w:tr>
      <w:tr>
        <w:trPr/>
        <w:tc>
          <w:tcPr>
            <w:tcW w:w="348" w:type="dxa"/>
          </w:tcPr>
          <w:p>
            <w:pPr>
              <w:pStyle w:val="Compact"/>
              <w:jc w:val="center"/>
            </w:pPr>
            <w:r>
              <w:rPr>
                <w:sz w:val="18"/>
              </w:rPr>
              <w:t xml:space="preserve">5</w:t>
            </w:r>
          </w:p>
        </w:tc>
        <w:tc>
          <w:tcPr>
            <w:tcW w:w="458" w:type="dxa"/>
          </w:tcPr>
          <w:p>
            <w:pPr>
              <w:pStyle w:val="Compact"/>
              <w:jc w:val="left"/>
            </w:pPr>
            <w:r>
              <w:rPr>
                <w:sz w:val="18"/>
              </w:rPr>
              <w:t xml:space="preserve">Equity</w:t>
            </w:r>
          </w:p>
        </w:tc>
        <w:tc>
          <w:tcPr>
            <w:tcW w:w="2755" w:type="dxa"/>
          </w:tcPr>
          <w:p>
            <w:pPr>
              <w:pStyle w:val="Compact"/>
              <w:jc w:val="left"/>
            </w:pPr>
            <w:r>
              <w:rPr>
                <w:sz w:val="18"/>
              </w:rPr>
              <w:t xml:space="preserve">Audit, calibrate, correct — with social risk adjustment embedded in payment design</w:t>
            </w:r>
          </w:p>
        </w:tc>
        <w:tc>
          <w:tcPr>
            <w:tcW w:w="2755" w:type="dxa"/>
          </w:tcPr>
          <w:p>
            <w:pPr>
              <w:pStyle w:val="Compact"/>
              <w:jc w:val="left"/>
            </w:pPr>
            <w:r>
              <w:rPr>
                <w:sz w:val="18"/>
              </w:rPr>
              <w:t xml:space="preserve">Equity is a constraining dependency throughout. Without social risk adjustment, global budgets penalize safety-net providers.</w:t>
            </w:r>
          </w:p>
        </w:tc>
        <w:tc>
          <w:tcPr>
            <w:tcW w:w="2755" w:type="dxa"/>
          </w:tcPr>
          <w:p>
            <w:pPr>
              <w:pStyle w:val="Compact"/>
              <w:jc w:val="left"/>
            </w:pPr>
            <w:r>
              <w:rPr>
                <w:sz w:val="18"/>
              </w:rPr>
              <w:t xml:space="preserve">HRSN screening; EAST Fund for SDOH; SRA in global budgets; REH model</w:t>
            </w:r>
          </w:p>
        </w:tc>
      </w:tr>
      <w:tr>
        <w:trPr>
          <w:cantSplit/>
        </w:trPr>
        <w:tc>
          <w:tcPr>
            <w:tcW w:w="348" w:type="dxa"/>
          </w:tcPr>
          <w:p>
            <w:pPr>
              <w:pStyle w:val="Compact"/>
              <w:jc w:val="center"/>
            </w:pPr>
            <w:r>
              <w:rPr>
                <w:sz w:val="18"/>
              </w:rPr>
              <w:t xml:space="preserve">6</w:t>
            </w:r>
          </w:p>
        </w:tc>
        <w:tc>
          <w:tcPr>
            <w:tcW w:w="458" w:type="dxa"/>
          </w:tcPr>
          <w:p>
            <w:pPr>
              <w:pStyle w:val="Compact"/>
              <w:jc w:val="left"/>
            </w:pPr>
            <w:r>
              <w:rPr>
                <w:sz w:val="18"/>
              </w:rPr>
              <w:t xml:space="preserve">Operations</w:t>
            </w:r>
          </w:p>
        </w:tc>
        <w:tc>
          <w:tcPr>
            <w:tcW w:w="2755" w:type="dxa"/>
          </w:tcPr>
          <w:p>
            <w:pPr>
              <w:pStyle w:val="Compact"/>
              <w:jc w:val="left"/>
            </w:pPr>
            <w:r>
              <w:rPr>
                <w:sz w:val="18"/>
              </w:rPr>
              <w:t xml:space="preserve">Close the administrative cost gap and translate strategy into implemented programs</w:t>
            </w:r>
          </w:p>
        </w:tc>
        <w:tc>
          <w:tcPr>
            <w:tcW w:w="2755"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8"/>
              </w:rPr>
              <w:t xml:space="preserve">RHRC methodology; shared services; 14-hospital transformation planning</w:t>
            </w:r>
          </w:p>
        </w:tc>
      </w:tr>
    </w:tbl>
    <w:p>
      <w:pPr>
        <w:pStyle w:val="Caption"/>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autofit"/>
      </w:tblPr>
      <w:tblGrid>
        <w:gridCol w:w="2268"/>
        <w:gridCol w:w="2268"/>
        <w:gridCol w:w="2268"/>
        <w:gridCol w:w="2268"/>
      </w:tblGrid>
      <w:tr>
        <w:trPr>
          <w:tblHeader w:val="on"/>
          <w:cantSplit/>
        </w:trPr>
        <w:tc>
          <w:tcPr>
            <w:shd w:val="clear" w:color="auto" w:fill="1B3A6B"/>
            <w:tcW w:w="2268" w:type="dxa"/>
          </w:tcPr>
          <w:p>
            <w:pPr>
              <w:pStyle w:val="Compact"/>
              <w:jc w:val="left"/>
            </w:pPr>
            <w:r>
              <w:rPr>
                <w:b/>
                <w:color w:val="FFFFFF"/>
                <w:sz w:val="18"/>
              </w:rPr>
              <w:t xml:space="preserve">Sequencing error</w:t>
            </w:r>
          </w:p>
        </w:tc>
        <w:tc>
          <w:tcPr>
            <w:shd w:val="clear" w:color="auto" w:fill="1B3A6B"/>
            <w:tcW w:w="2268" w:type="dxa"/>
          </w:tcPr>
          <w:p>
            <w:pPr>
              <w:pStyle w:val="Compact"/>
              <w:jc w:val="left"/>
            </w:pPr>
            <w:r>
              <w:rPr>
                <w:b/>
                <w:color w:val="FFFFFF"/>
                <w:sz w:val="18"/>
              </w:rPr>
              <w:t xml:space="preserve">Early-warning signals</w:t>
            </w:r>
          </w:p>
        </w:tc>
        <w:tc>
          <w:tcPr>
            <w:shd w:val="clear" w:color="auto" w:fill="1B3A6B"/>
            <w:tcW w:w="2268" w:type="dxa"/>
          </w:tcPr>
          <w:p>
            <w:pPr>
              <w:pStyle w:val="Compact"/>
              <w:jc w:val="left"/>
            </w:pPr>
            <w:r>
              <w:rPr>
                <w:b/>
                <w:color w:val="FFFFFF"/>
                <w:sz w:val="18"/>
              </w:rPr>
              <w:t xml:space="preserve">Vermont evidence</w:t>
            </w:r>
          </w:p>
        </w:tc>
        <w:tc>
          <w:tcPr>
            <w:shd w:val="clear" w:color="auto" w:fill="1B3A6B"/>
            <w:tcW w:w="2268" w:type="dxa"/>
          </w:tcPr>
          <w:p>
            <w:pPr>
              <w:pStyle w:val="Compact"/>
              <w:jc w:val="left"/>
            </w:pPr>
            <w:r>
              <w:rPr>
                <w:b/>
                <w:color w:val="FFFFFF"/>
                <w:sz w:val="18"/>
              </w:rPr>
              <w:t xml:space="preserve">Correction</w:t>
            </w:r>
          </w:p>
        </w:tc>
      </w:tr>
      <w:tr>
        <w:trPr>
          <w:cantSplit/>
        </w:trPr>
        <w:tc>
          <w:tcPr>
            <w:tcW w:w="2268"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68" w:type="dxa"/>
          </w:tcPr>
          <w:p>
            <w:pPr>
              <w:pStyle w:val="Compact"/>
              <w:jc w:val="left"/>
            </w:pPr>
            <w:r>
              <w:rPr>
                <w:sz w:val="18"/>
              </w:rPr>
              <w:t xml:space="preserve">Voluntary participation below 80%; highest-cost providers stay out; redesigns driven by adverse selection</w:t>
            </w:r>
          </w:p>
        </w:tc>
        <w:tc>
          <w:tcPr>
            <w:tcW w:w="2268"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8"/>
              </w:rPr>
              <w:t xml:space="preserve">Act 68 mandatory RBP + global budgets</w:t>
            </w:r>
          </w:p>
        </w:tc>
      </w:tr>
      <w:tr>
        <w:trPr/>
        <w:tc>
          <w:tcPr>
            <w:tcW w:w="2268"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68" w:type="dxa"/>
          </w:tcPr>
          <w:p>
            <w:pPr>
              <w:pStyle w:val="Compact"/>
              <w:jc w:val="left"/>
            </w:pPr>
            <w:r>
              <w:rPr>
                <w:sz w:val="18"/>
              </w:rPr>
              <w:t xml:space="preserve">Adoption below 30% six months post-deployment; continued manual processes; staff workarounds</w:t>
            </w:r>
          </w:p>
        </w:tc>
        <w:tc>
          <w:tcPr>
            <w:tcW w:w="2268" w:type="dxa"/>
          </w:tcPr>
          <w:p>
            <w:pPr>
              <w:pStyle w:val="Compact"/>
              <w:jc w:val="left"/>
            </w:pPr>
            <w:r>
              <w:rPr>
                <w:sz w:val="18"/>
              </w:rPr>
              <w:t xml:space="preserve">VITL: sound platform, incomplete adoption among smaller providers for lack of Operations-pillar support to connect and train them</w:t>
            </w:r>
          </w:p>
        </w:tc>
        <w:tc>
          <w:tcPr>
            <w:tcW w:w="2268" w:type="dxa"/>
          </w:tcPr>
          <w:p>
            <w:pPr>
              <w:pStyle w:val="Compact"/>
              <w:jc w:val="left"/>
            </w:pPr>
            <w:r>
              <w:rPr>
                <w:sz w:val="18"/>
              </w:rPr>
              <w:t xml:space="preserve">Vermont CIN shared-services model</w:t>
            </w:r>
          </w:p>
        </w:tc>
      </w:tr>
      <w:tr>
        <w:trPr/>
        <w:tc>
          <w:tcPr>
            <w:tcW w:w="2268"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68" w:type="dxa"/>
          </w:tcPr>
          <w:p>
            <w:pPr>
              <w:pStyle w:val="Compact"/>
              <w:jc w:val="left"/>
            </w:pPr>
            <w:r>
              <w:rPr>
                <w:sz w:val="18"/>
              </w:rPr>
              <w:t xml:space="preserve">Program running at a loss absorbed by cross-subsidy; support contingent on that cross-subsidy; perpetual budget-cut risk</w:t>
            </w:r>
          </w:p>
        </w:tc>
        <w:tc>
          <w:tcPr>
            <w:tcW w:w="2268" w:type="dxa"/>
          </w:tcPr>
          <w:p>
            <w:pPr>
              <w:pStyle w:val="Compact"/>
              <w:jc w:val="left"/>
            </w:pPr>
            <w:r>
              <w:rPr>
                <w:sz w:val="18"/>
              </w:rPr>
              <w:t xml:space="preserve">Blueprint PCMHs produce the 5.8:1 ROI, but under FFS most of it accrues to payers, not the practices generating it</w:t>
            </w:r>
          </w:p>
        </w:tc>
        <w:tc>
          <w:tcPr>
            <w:tcW w:w="2268" w:type="dxa"/>
          </w:tcPr>
          <w:p>
            <w:pPr>
              <w:pStyle w:val="Compact"/>
              <w:jc w:val="left"/>
            </w:pPr>
            <w:r>
              <w:rPr>
                <w:sz w:val="18"/>
              </w:rPr>
              <w:t xml:space="preserve">AHEAD global budgets align incentives with clinical investment</w:t>
            </w:r>
          </w:p>
        </w:tc>
      </w:tr>
      <w:tr>
        <w:trPr/>
        <w:tc>
          <w:tcPr>
            <w:tcW w:w="2268"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68" w:type="dxa"/>
          </w:tcPr>
          <w:p>
            <w:pPr>
              <w:pStyle w:val="Compact"/>
              <w:jc w:val="left"/>
            </w:pPr>
            <w:r>
              <w:rPr>
                <w:sz w:val="18"/>
              </w:rPr>
              <w:t xml:space="preserve">Equity staff flagging the same structural problems in finalized designs; high rate of equity modifications at approval stage</w:t>
            </w:r>
          </w:p>
        </w:tc>
        <w:tc>
          <w:tcPr>
            <w:tcW w:w="2268"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8"/>
              </w:rPr>
              <w:t xml:space="preserve">Health Equity Advisory Commission consulted at design stage, not comment stage</w:t>
            </w:r>
          </w:p>
        </w:tc>
      </w:tr>
      <w:tr>
        <w:trPr>
          <w:cantSplit/>
        </w:trPr>
        <w:tc>
          <w:tcPr>
            <w:tcW w:w="2268"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68"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268"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8"/>
              </w:rPr>
              <w:t xml:space="preserve">RHRC builds hospital-level capacity before AHEAD accountability takes full effect</w:t>
            </w:r>
          </w:p>
        </w:tc>
      </w:tr>
    </w:tbl>
    <w:p>
      <w:pPr>
        <w:pStyle w:val="Caption"/>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keepNext/>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autofit"/>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autofit"/>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autofit"/>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autofit"/>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autofit"/>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autofit"/>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autofit"/>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autofit"/>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autofit"/>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autofit"/>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autofit"/>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autofit"/>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autofit"/>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autofit"/>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autofit"/>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autofit"/>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autofit"/>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autofit"/>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autofit"/>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autofit"/>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autofit"/>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autofit"/>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autofit"/>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autofit"/>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6" w:name="_Toc1375"/>
      <w:r>
        <w:rPr>
          <w:b/>
          <w:bCs/>
          <w:color w:val="161B22"/>
        </w:rPr>
        <w:t xml:space="preserve">The Six-Pillar Forecast: 2026–2035</w:t>
      </w:r>
      <w:bookmarkEnd w:id="1376"/>
    </w:p>
    <w:tbl>
      <w:tblPr>
        <w:tblStyle w:val="HTRTable"/>
        <w:tblLook w:firstRow="1" w:lastRow="0" w:firstColumn="0" w:lastColumn="0" w:noHBand="0" w:noVBand="1" w:val="0020"/>
        <w:tblW w:w="9072" w:type="dxa"/>
        <w:tblLayout w:type="autofit"/>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autofit"/>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autofit"/>
      </w:tblPr>
      <w:tblGrid>
        <w:gridCol w:w="359"/>
        <w:gridCol w:w="2215"/>
        <w:gridCol w:w="2215"/>
        <w:gridCol w:w="2067"/>
        <w:gridCol w:w="2215"/>
      </w:tblGrid>
      <w:tr>
        <w:trPr>
          <w:tblHeader w:val="on"/>
          <w:cantSplit/>
        </w:trPr>
        <w:tc>
          <w:tcPr>
            <w:shd w:val="clear" w:color="auto" w:fill="1B3A6B"/>
            <w:tcW w:w="359" w:type="dxa"/>
          </w:tcPr>
          <w:p>
            <w:pPr>
              <w:pStyle w:val="Compact"/>
              <w:jc w:val="left"/>
            </w:pPr>
            <w:r>
              <w:rPr>
                <w:b/>
                <w:color w:val="FFFFFF"/>
                <w:sz w:val="18"/>
              </w:rPr>
              <w:t xml:space="preserve">Level</w:t>
            </w:r>
          </w:p>
        </w:tc>
        <w:tc>
          <w:tcPr>
            <w:shd w:val="clear" w:color="auto" w:fill="1B3A6B"/>
            <w:tcW w:w="2215" w:type="dxa"/>
          </w:tcPr>
          <w:p>
            <w:pPr>
              <w:pStyle w:val="Compact"/>
              <w:jc w:val="left"/>
            </w:pPr>
            <w:r>
              <w:rPr>
                <w:b/>
                <w:color w:val="FFFFFF"/>
                <w:sz w:val="18"/>
              </w:rPr>
              <w:t xml:space="preserve">PMI definition</w:t>
            </w:r>
          </w:p>
        </w:tc>
        <w:tc>
          <w:tcPr>
            <w:shd w:val="clear" w:color="auto" w:fill="1B3A6B"/>
            <w:tcW w:w="2215" w:type="dxa"/>
          </w:tcPr>
          <w:p>
            <w:pPr>
              <w:pStyle w:val="Compact"/>
              <w:jc w:val="left"/>
            </w:pPr>
            <w:r>
              <w:rPr>
                <w:b/>
                <w:color w:val="FFFFFF"/>
                <w:sz w:val="18"/>
              </w:rPr>
              <w:t xml:space="preserve">Vermont example</w:t>
            </w:r>
          </w:p>
        </w:tc>
        <w:tc>
          <w:tcPr>
            <w:shd w:val="clear" w:color="auto" w:fill="1B3A6B"/>
            <w:tcW w:w="2067" w:type="dxa"/>
          </w:tcPr>
          <w:p>
            <w:pPr>
              <w:pStyle w:val="Compact"/>
              <w:jc w:val="left"/>
            </w:pPr>
            <w:r>
              <w:rPr>
                <w:b/>
                <w:color w:val="FFFFFF"/>
                <w:sz w:val="18"/>
              </w:rPr>
              <w:t xml:space="preserve">Who manages it</w:t>
            </w:r>
          </w:p>
        </w:tc>
        <w:tc>
          <w:tcPr>
            <w:shd w:val="clear" w:color="auto" w:fill="1B3A6B"/>
            <w:tcW w:w="2215" w:type="dxa"/>
          </w:tcPr>
          <w:p>
            <w:pPr>
              <w:pStyle w:val="Compact"/>
              <w:jc w:val="left"/>
            </w:pPr>
            <w:r>
              <w:rPr>
                <w:b/>
                <w:color w:val="FFFFFF"/>
                <w:sz w:val="18"/>
              </w:rPr>
              <w:t xml:space="preserve">Success measure</w:t>
            </w:r>
          </w:p>
        </w:tc>
      </w:tr>
      <w:tr>
        <w:trPr>
          <w:cantSplit/>
        </w:trPr>
        <w:tc>
          <w:tcPr>
            <w:tcW w:w="359" w:type="dxa"/>
          </w:tcPr>
          <w:p>
            <w:pPr>
              <w:pStyle w:val="Compact"/>
              <w:jc w:val="left"/>
            </w:pPr>
            <w:r>
              <w:rPr>
                <w:sz w:val="18"/>
              </w:rPr>
              <w:t xml:space="preserve">Project</w:t>
            </w:r>
          </w:p>
        </w:tc>
        <w:tc>
          <w:tcPr>
            <w:tcW w:w="2215" w:type="dxa"/>
          </w:tcPr>
          <w:p>
            <w:pPr>
              <w:pStyle w:val="Compact"/>
              <w:jc w:val="left"/>
            </w:pPr>
            <w:r>
              <w:rPr>
                <w:sz w:val="18"/>
              </w:rPr>
              <w:t xml:space="preserve">Temporary endeavor creating a unique result; defined scope, schedule, budget.</w:t>
            </w:r>
          </w:p>
        </w:tc>
        <w:tc>
          <w:tcPr>
            <w:tcW w:w="2215" w:type="dxa"/>
          </w:tcPr>
          <w:p>
            <w:pPr>
              <w:pStyle w:val="Compact"/>
              <w:jc w:val="left"/>
            </w:pPr>
            <w:r>
              <w:rPr>
                <w:sz w:val="18"/>
              </w:rPr>
              <w:t xml:space="preserve">VHCURES analytics-vendor deployment; HCC gap closure at Springfield; CoCM deployment at a Blueprint practice; RBP rulemaking.</w:t>
            </w:r>
          </w:p>
        </w:tc>
        <w:tc>
          <w:tcPr>
            <w:tcW w:w="2067" w:type="dxa"/>
          </w:tcPr>
          <w:p>
            <w:pPr>
              <w:pStyle w:val="Compact"/>
              <w:jc w:val="left"/>
            </w:pPr>
            <w:r>
              <w:rPr>
                <w:sz w:val="18"/>
              </w:rPr>
              <w:t xml:space="preserve">Project Manager (pillar-, hospital-, or program-level)</w:t>
            </w:r>
          </w:p>
        </w:tc>
        <w:tc>
          <w:tcPr>
            <w:tcW w:w="2215" w:type="dxa"/>
          </w:tcPr>
          <w:p>
            <w:pPr>
              <w:pStyle w:val="Compact"/>
              <w:jc w:val="left"/>
            </w:pPr>
            <w:r>
              <w:rPr>
                <w:sz w:val="18"/>
              </w:rPr>
              <w:t xml:space="preserve">On scope, schedule, budget; deliverable accepted.</w:t>
            </w:r>
          </w:p>
        </w:tc>
      </w:tr>
      <w:tr>
        <w:trPr/>
        <w:tc>
          <w:tcPr>
            <w:tcW w:w="359" w:type="dxa"/>
          </w:tcPr>
          <w:p>
            <w:pPr>
              <w:pStyle w:val="Compact"/>
              <w:jc w:val="left"/>
            </w:pPr>
            <w:r>
              <w:rPr>
                <w:sz w:val="18"/>
              </w:rPr>
              <w:t xml:space="preserve">Program</w:t>
            </w:r>
          </w:p>
        </w:tc>
        <w:tc>
          <w:tcPr>
            <w:tcW w:w="2215" w:type="dxa"/>
          </w:tcPr>
          <w:p>
            <w:pPr>
              <w:pStyle w:val="Compact"/>
              <w:jc w:val="left"/>
            </w:pPr>
            <w:r>
              <w:rPr>
                <w:sz w:val="18"/>
              </w:rPr>
              <w:t xml:space="preserve">Related projects managed together for benefits not achievable individually.</w:t>
            </w:r>
          </w:p>
        </w:tc>
        <w:tc>
          <w:tcPr>
            <w:tcW w:w="2215" w:type="dxa"/>
          </w:tcPr>
          <w:p>
            <w:pPr>
              <w:pStyle w:val="Compact"/>
              <w:jc w:val="left"/>
            </w:pPr>
            <w:r>
              <w:rPr>
                <w:sz w:val="18"/>
              </w:rPr>
              <w:t xml:space="preserve">Technology Pillar program (VHCURES + VITL + CIN + AI governance); Blueprint PCMH expansion (14 HSA projects); AHEAD Implementation Program.</w:t>
            </w:r>
          </w:p>
        </w:tc>
        <w:tc>
          <w:tcPr>
            <w:tcW w:w="2067" w:type="dxa"/>
          </w:tcPr>
          <w:p>
            <w:pPr>
              <w:pStyle w:val="Compact"/>
              <w:jc w:val="left"/>
            </w:pPr>
            <w:r>
              <w:rPr>
                <w:sz w:val="18"/>
              </w:rPr>
              <w:t xml:space="preserve">Program Manager (pillar-level)</w:t>
            </w:r>
          </w:p>
        </w:tc>
        <w:tc>
          <w:tcPr>
            <w:tcW w:w="2215" w:type="dxa"/>
          </w:tcPr>
          <w:p>
            <w:pPr>
              <w:pStyle w:val="Compact"/>
              <w:jc w:val="left"/>
            </w:pPr>
            <w:r>
              <w:rPr>
                <w:sz w:val="18"/>
              </w:rPr>
              <w:t xml:space="preserve">Benefits realized; interdependencies managed.</w:t>
            </w:r>
          </w:p>
        </w:tc>
      </w:tr>
      <w:tr>
        <w:trPr>
          <w:cantSplit/>
        </w:trPr>
        <w:tc>
          <w:tcPr>
            <w:tcW w:w="359" w:type="dxa"/>
          </w:tcPr>
          <w:p>
            <w:pPr>
              <w:pStyle w:val="Compact"/>
              <w:jc w:val="left"/>
            </w:pPr>
            <w:r>
              <w:rPr>
                <w:sz w:val="18"/>
              </w:rPr>
              <w:t xml:space="preserve">Portfolio</w:t>
            </w:r>
          </w:p>
        </w:tc>
        <w:tc>
          <w:tcPr>
            <w:tcW w:w="2215" w:type="dxa"/>
          </w:tcPr>
          <w:p>
            <w:pPr>
              <w:pStyle w:val="Compact"/>
              <w:jc w:val="left"/>
            </w:pPr>
            <w:r>
              <w:rPr>
                <w:sz w:val="18"/>
              </w:rPr>
              <w:t xml:space="preserve">A collection of programs/projects/operations managed as a group to achieve strategy.</w:t>
            </w:r>
          </w:p>
        </w:tc>
        <w:tc>
          <w:tcPr>
            <w:tcW w:w="2215" w:type="dxa"/>
          </w:tcPr>
          <w:p>
            <w:pPr>
              <w:pStyle w:val="Compact"/>
              <w:jc w:val="left"/>
            </w:pPr>
            <w:r>
              <w:rPr>
                <w:sz w:val="18"/>
              </w:rPr>
              <w:t xml:space="preserve">Vermont’s full six-pillar transformation: all 19 components across the pillars, aligned to Act 167’s five goals and the December 2028 plan.</w:t>
            </w:r>
          </w:p>
        </w:tc>
        <w:tc>
          <w:tcPr>
            <w:tcW w:w="2067" w:type="dxa"/>
          </w:tcPr>
          <w:p>
            <w:pPr>
              <w:pStyle w:val="Compact"/>
              <w:jc w:val="left"/>
            </w:pPr>
            <w:r>
              <w:rPr>
                <w:sz w:val="18"/>
              </w:rPr>
              <w:t xml:space="preserve">Portfolio Manager (AHS Secretary-level or dedicated CPO)</w:t>
            </w:r>
          </w:p>
        </w:tc>
        <w:tc>
          <w:tcPr>
            <w:tcW w:w="2215" w:type="dxa"/>
          </w:tcPr>
          <w:p>
            <w:pPr>
              <w:pStyle w:val="Compact"/>
              <w:jc w:val="left"/>
            </w:pPr>
            <w:r>
              <w:rPr>
                <w:sz w:val="18"/>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398" w:name="_Toc1397"/>
      <w:r>
        <w:rPr>
          <w:b/>
          <w:bCs/>
          <w:color w:val="161B22"/>
        </w:rPr>
        <w:t xml:space="preserve">Vermont’s Transformation Portfolio: 19 Components</w:t>
      </w:r>
      <w:bookmarkEnd w:id="1398"/>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0" w:name="_Toc1399"/>
      <w:r>
        <w:rPr>
          <w:b/>
          <w:bCs/>
          <w:color w:val="161B22"/>
        </w:rPr>
        <w:t xml:space="preserve">Pillar-Level Project Managers: Six Roles, One Framework</w:t>
      </w:r>
      <w:bookmarkEnd w:id="1400"/>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Portfolio Sequence Is Dependency Sequence</w:t>
      </w:r>
      <w:bookmarkEnd w:id="1402"/>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03" w:name="_Toc1402"/>
      <w:r>
        <w:rPr>
          <w:b/>
          <w:bCs/>
          <w:color w:val="161B22"/>
        </w:rPr>
        <w:t xml:space="preserve">Predictive vs. Adaptive Approaches</w:t>
      </w:r>
      <w:bookmarkEnd w:id="1403"/>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04" w:name="_Toc1403"/>
      <w:r>
        <w:rPr>
          <w:b/>
          <w:bCs/>
          <w:color w:val="161B22"/>
        </w:rPr>
        <w:t xml:space="preserve">The Portfolio Risk Register</w:t>
      </w:r>
      <w:bookmarkEnd w:id="1404"/>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05" w:name="_Toc1404"/>
      <w:r>
        <w:rPr>
          <w:b/>
          <w:bCs/>
          <w:color w:val="161B22"/>
        </w:rPr>
        <w:t xml:space="preserve">Benefits Realization: Connecting the PMO to Act 167’s Five Goals</w:t>
      </w:r>
      <w:bookmarkEnd w:id="1405"/>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06" w:name="_Toc1405"/>
      <w:r>
        <w:rPr>
          <w:b/>
          <w:bCs/>
          <w:color w:val="161B22"/>
        </w:rPr>
        <w:t xml:space="preserve">The Business Case</w:t>
      </w:r>
      <w:bookmarkEnd w:id="1406"/>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07" w:name="_Toc1406"/>
      <w:r>
        <w:rPr>
          <w:b/>
          <w:bCs/>
          <w:color w:val="161B22"/>
        </w:rPr>
        <w:t xml:space="preserve">Implementation Roadmap</w:t>
      </w:r>
      <w:bookmarkEnd w:id="1407"/>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08" w:name="_Toc1407"/>
      <w:r>
        <w:rPr>
          <w:b/>
          <w:bCs/>
          <w:color w:val="161B22"/>
        </w:rPr>
        <w:t xml:space="preserve">Answering the Four Objections</w:t>
      </w:r>
      <w:bookmarkEnd w:id="1408"/>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09" w:name="_Toc1408"/>
      <w:r>
        <w:rPr>
          <w:b/>
          <w:bCs/>
          <w:color w:val="161B22"/>
        </w:rPr>
        <w:t xml:space="preserve">Work This Chapter on the Platform</w:t>
      </w:r>
      <w:bookmarkEnd w:id="1409"/>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autofit"/>
      </w:tblPr>
      <w:tblGrid>
        <w:gridCol w:w="3653"/>
        <w:gridCol w:w="1765"/>
        <w:gridCol w:w="3653"/>
      </w:tblGrid>
      <w:tr>
        <w:trPr>
          <w:tblHeader w:val="on"/>
          <w:cantSplit/>
        </w:trPr>
        <w:tc>
          <w:tcPr>
            <w:shd w:val="clear" w:color="auto" w:fill="1B3A6B"/>
            <w:tcW w:w="3653" w:type="dxa"/>
          </w:tcPr>
          <w:p>
            <w:pPr>
              <w:pStyle w:val="Compact"/>
              <w:jc w:val="left"/>
            </w:pPr>
            <w:r>
              <w:rPr>
                <w:b/>
                <w:color w:val="FFFFFF"/>
                <w:sz w:val="18"/>
              </w:rPr>
              <w:t xml:space="preserve">Do this</w:t>
            </w:r>
          </w:p>
        </w:tc>
        <w:tc>
          <w:tcPr>
            <w:shd w:val="clear" w:color="auto" w:fill="1B3A6B"/>
            <w:tcW w:w="1765" w:type="dxa"/>
          </w:tcPr>
          <w:p>
            <w:pPr>
              <w:pStyle w:val="Compact"/>
              <w:jc w:val="left"/>
            </w:pPr>
            <w:r>
              <w:rPr>
                <w:b/>
                <w:color w:val="FFFFFF"/>
                <w:sz w:val="18"/>
              </w:rPr>
              <w:t xml:space="preserve">On this tool</w:t>
            </w:r>
          </w:p>
        </w:tc>
        <w:tc>
          <w:tcPr>
            <w:shd w:val="clear" w:color="auto" w:fill="1B3A6B"/>
            <w:tcW w:w="3653" w:type="dxa"/>
          </w:tcPr>
          <w:p>
            <w:pPr>
              <w:pStyle w:val="Compact"/>
              <w:jc w:val="left"/>
            </w:pPr>
            <w:r>
              <w:rPr>
                <w:b/>
                <w:color w:val="FFFFFF"/>
                <w:sz w:val="18"/>
              </w:rPr>
              <w:t xml:space="preserve">What to look for</w:t>
            </w:r>
          </w:p>
        </w:tc>
      </w:tr>
      <w:tr>
        <w:trPr>
          <w:cantSplit/>
        </w:trPr>
        <w:tc>
          <w:tcPr>
            <w:tcW w:w="3653" w:type="dxa"/>
          </w:tcPr>
          <w:p>
            <w:pPr>
              <w:pStyle w:val="Compact"/>
              <w:jc w:val="left"/>
            </w:pPr>
            <w:r>
              <w:rPr>
                <w:sz w:val="18"/>
              </w:rPr>
              <w:t xml:space="preserve">Identify which pillar is the binding constraint on the whole portfolio right now</w:t>
            </w:r>
          </w:p>
        </w:tc>
        <w:tc>
          <w:tcPr>
            <w:tcW w:w="1765" w:type="dxa"/>
          </w:tcPr>
          <w:p>
            <w:pPr>
              <w:pStyle w:val="Compact"/>
              <w:jc w:val="left"/>
            </w:pPr>
            <w:hyperlink r:id="rId89">
              <w:r>
                <w:rPr>
                  <w:rStyle w:val="Hyperlink"/>
                  <w:b/>
                  <w:bCs/>
                </w:rPr>
                <w:t xml:space="preserve">Transformation Friction Index</w:t>
              </w:r>
            </w:hyperlink>
          </w:p>
        </w:tc>
        <w:tc>
          <w:tcPr>
            <w:tcW w:w="3653"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653" w:type="dxa"/>
          </w:tcPr>
          <w:p>
            <w:pPr>
              <w:pStyle w:val="Compact"/>
              <w:jc w:val="left"/>
            </w:pPr>
            <w:r>
              <w:rPr>
                <w:sz w:val="18"/>
              </w:rPr>
              <w:t xml:space="preserve">Track the capital committed against each pillar and see where funding and dependency order disagree</w:t>
            </w:r>
          </w:p>
        </w:tc>
        <w:tc>
          <w:tcPr>
            <w:tcW w:w="1765" w:type="dxa"/>
          </w:tcPr>
          <w:p>
            <w:pPr>
              <w:pStyle w:val="Compact"/>
              <w:jc w:val="left"/>
            </w:pPr>
            <w:hyperlink r:id="rId443">
              <w:r>
                <w:rPr>
                  <w:rStyle w:val="Hyperlink"/>
                  <w:b/>
                  <w:bCs/>
                </w:rPr>
                <w:t xml:space="preserve">Investment Tracker</w:t>
              </w:r>
            </w:hyperlink>
          </w:p>
        </w:tc>
        <w:tc>
          <w:tcPr>
            <w:tcW w:w="3653"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653" w:type="dxa"/>
          </w:tcPr>
          <w:p>
            <w:pPr>
              <w:pStyle w:val="Compact"/>
              <w:jc w:val="left"/>
            </w:pPr>
            <w:r>
              <w:rPr>
                <w:sz w:val="18"/>
              </w:rPr>
              <w:t xml:space="preserve">Watch the six-pillar status of a transformation move over time rather than at a single reporting date</w:t>
            </w:r>
          </w:p>
        </w:tc>
        <w:tc>
          <w:tcPr>
            <w:tcW w:w="1765" w:type="dxa"/>
          </w:tcPr>
          <w:p>
            <w:pPr>
              <w:pStyle w:val="Compact"/>
              <w:jc w:val="left"/>
            </w:pPr>
            <w:hyperlink r:id="rId444">
              <w:r>
                <w:rPr>
                  <w:rStyle w:val="Hyperlink"/>
                  <w:b/>
                  <w:bCs/>
                </w:rPr>
                <w:t xml:space="preserve">HTI Dashboard</w:t>
              </w:r>
            </w:hyperlink>
          </w:p>
        </w:tc>
        <w:tc>
          <w:tcPr>
            <w:tcW w:w="3653" w:type="dxa"/>
          </w:tcPr>
          <w:p>
            <w:pPr>
              <w:pStyle w:val="Compact"/>
              <w:jc w:val="left"/>
            </w:pPr>
            <w:r>
              <w:rPr>
                <w:sz w:val="18"/>
              </w:rPr>
              <w:t xml:space="preserve">Whether a pillar’s status is improving, flat, or decaying between reporting intervals — the trend a monthly report cannot show.</w:t>
            </w:r>
          </w:p>
        </w:tc>
      </w:tr>
      <w:tr>
        <w:trPr>
          <w:cantSplit/>
        </w:trPr>
        <w:tc>
          <w:tcPr>
            <w:tcW w:w="3653" w:type="dxa"/>
          </w:tcPr>
          <w:p>
            <w:pPr>
              <w:pStyle w:val="Compact"/>
              <w:jc w:val="left"/>
            </w:pPr>
            <w:r>
              <w:rPr>
                <w:sz w:val="18"/>
              </w:rPr>
              <w:t xml:space="preserve">Test what happens to composite readiness when one component slips</w:t>
            </w:r>
          </w:p>
        </w:tc>
        <w:tc>
          <w:tcPr>
            <w:tcW w:w="1765" w:type="dxa"/>
          </w:tcPr>
          <w:p>
            <w:pPr>
              <w:pStyle w:val="Compact"/>
              <w:jc w:val="left"/>
            </w:pPr>
            <w:hyperlink r:id="rId43">
              <w:r>
                <w:rPr>
                  <w:rStyle w:val="Hyperlink"/>
                  <w:b/>
                  <w:bCs/>
                </w:rPr>
                <w:t xml:space="preserve">HTR Simulator</w:t>
              </w:r>
            </w:hyperlink>
          </w:p>
        </w:tc>
        <w:tc>
          <w:tcPr>
            <w:tcW w:w="3653" w:type="dxa"/>
          </w:tcPr>
          <w:p>
            <w:pPr>
              <w:pStyle w:val="Compact"/>
              <w:jc w:val="left"/>
            </w:pPr>
            <w:r>
              <w:rPr>
                <w:sz w:val="18"/>
              </w:rPr>
              <w:t xml:space="preserve">Drop the Technology score and watch Economics and Clinical fall with it. This is the risk register’s R-01 in visual form.</w:t>
            </w:r>
          </w:p>
        </w:tc>
      </w:tr>
    </w:tbl>
    <w:p>
      <w:pPr>
        <w:pStyle w:val="Caption"/>
        <w:keepNext/>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10" w:name="_Toc1409"/>
      <w:r>
        <w:rPr>
          <w:b/>
          <w:bCs/>
          <w:color w:val="161B22"/>
        </w:rPr>
        <w:t xml:space="preserve">Implications for You</w:t>
      </w:r>
      <w:bookmarkEnd w:id="1410"/>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11" w:name="_Toc1410"/>
      <w:r>
        <w:rPr>
          <w:b/>
          <w:bCs/>
          <w:color w:val="161B22"/>
        </w:rPr>
        <w:t xml:space="preserve">Key Concepts in This Chapter</w:t>
      </w:r>
      <w:bookmarkEnd w:id="1411"/>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12" w:name="_Toc1411"/>
      <w:r>
        <w:rPr>
          <w:b/>
          <w:bCs/>
          <w:color w:val="161B22"/>
        </w:rPr>
        <w:t xml:space="preserve">Chapter 16 — The AHS Restructuring Roadmap: A Six-Pillar Framework for System Architects</w:t>
      </w:r>
      <w:bookmarkEnd w:id="14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3" w:name="_Toc1412"/>
      <w:r>
        <w:rPr>
          <w:b/>
          <w:bCs/>
          <w:color w:val="161B22"/>
        </w:rPr>
        <w:t xml:space="preserve">The Statutory Mandate — What Act 68 Actually Requires AHS to Do</w:t>
      </w:r>
      <w:bookmarkEnd w:id="1413"/>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4" w:name="_Toc1413"/>
      <w:r>
        <w:rPr>
          <w:b/>
          <w:bCs/>
          <w:color w:val="161B22"/>
        </w:rPr>
        <w:t xml:space="preserve">The Organizational Diagnosis — Why AHS Must Restructure, Not Just Plan</w:t>
      </w:r>
      <w:bookmarkEnd w:id="1414"/>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15" w:name="_Toc1414"/>
      <w:r>
        <w:rPr>
          <w:b/>
          <w:bCs/>
          <w:color w:val="161B22"/>
        </w:rPr>
        <w:t xml:space="preserve">The Four Structural Gaps</w:t>
      </w:r>
      <w:bookmarkEnd w:id="1415"/>
    </w:p>
    <w:tbl>
      <w:tblPr>
        <w:tblStyle w:val="HTRTable"/>
        <w:tblLook w:firstRow="1" w:lastRow="0" w:firstColumn="0" w:lastColumn="0" w:noHBand="0" w:noVBand="1" w:val="0020"/>
        <w:tblW w:w="9072" w:type="dxa"/>
        <w:tblLayout w:type="autofit"/>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16" w:name="_Toc1415"/>
      <w:r>
        <w:rPr>
          <w:b/>
          <w:bCs/>
          <w:color w:val="161B22"/>
        </w:rPr>
        <w:t xml:space="preserve">The Redesigned AHS Operating Model — A Population Health System Operator</w:t>
      </w:r>
      <w:bookmarkEnd w:id="1416"/>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7" w:name="_Toc1416"/>
      <w:r>
        <w:rPr>
          <w:b/>
          <w:bCs/>
          <w:color w:val="161B22"/>
        </w:rPr>
        <w:t xml:space="preserve">Level 1 — Statewide System Architect</w:t>
      </w:r>
      <w:bookmarkEnd w:id="1417"/>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18" w:name="_Toc1417"/>
      <w:r>
        <w:rPr>
          <w:b/>
          <w:bCs/>
          <w:color w:val="161B22"/>
        </w:rPr>
        <w:t xml:space="preserve">Level 2 — Regional Network Convener (HSA Level)</w:t>
      </w:r>
      <w:bookmarkEnd w:id="1418"/>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autofit"/>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19" w:name="_Toc1418"/>
      <w:r>
        <w:rPr>
          <w:b/>
          <w:bCs/>
          <w:color w:val="161B22"/>
        </w:rPr>
        <w:t xml:space="preserve">Level 3 — Program Delivery Operator</w:t>
      </w:r>
      <w:bookmarkEnd w:id="1419"/>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0" w:name="_Toc1419"/>
      <w:r>
        <w:rPr>
          <w:b/>
          <w:bCs/>
          <w:color w:val="161B22"/>
        </w:rPr>
        <w:t xml:space="preserve">The Six-Pillar Framework Applied to AHS’s Mandate</w:t>
      </w:r>
      <w:bookmarkEnd w:id="1420"/>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21" w:name="_Toc1420"/>
      <w:r>
        <w:rPr>
          <w:b/>
          <w:bCs/>
          <w:color w:val="161B22"/>
        </w:rPr>
        <w:t xml:space="preserve">The AHS Restructuring Implementation Timeline</w:t>
      </w:r>
      <w:bookmarkEnd w:id="1421"/>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22" w:name="_Toc1421"/>
      <w:r>
        <w:rPr>
          <w:b/>
          <w:bCs/>
          <w:color w:val="161B22"/>
        </w:rPr>
        <w:t xml:space="preserve">A Framework for the 2028 Statewide Strategic Plan</w:t>
      </w:r>
      <w:bookmarkEnd w:id="1422"/>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3" w:name="_Toc1422"/>
      <w:r>
        <w:rPr>
          <w:b/>
          <w:bCs/>
          <w:color w:val="161B22"/>
        </w:rPr>
        <w:t xml:space="preserve">The Central Commitment the Plan Must Make</w:t>
      </w:r>
      <w:bookmarkEnd w:id="1423"/>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4" w:name="_Toc1423"/>
      <w:r>
        <w:rPr>
          <w:b/>
          <w:bCs/>
          <w:color w:val="161B22"/>
        </w:rPr>
        <w:t xml:space="preserve">Vermont as National Template — Why This Restructuring Matters Beyond Vermont</w:t>
      </w:r>
      <w:bookmarkEnd w:id="1424"/>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6" w:name="_Toc1425"/>
      <w:r>
        <w:rPr>
          <w:b/>
          <w:bCs/>
          <w:color w:val="161B22"/>
        </w:rPr>
        <w:t xml:space="preserve">Conclusion — What Vermont Proves, and What Remains to Be Proven</w:t>
      </w:r>
      <w:bookmarkEnd w:id="1426"/>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7" w:name="_Toc1426"/>
      <w:r>
        <w:rPr>
          <w:b/>
          <w:bCs/>
          <w:color w:val="161B22"/>
        </w:rPr>
        <w:t xml:space="preserve">What Failure Actually Looks Like</w:t>
      </w:r>
      <w:bookmarkEnd w:id="1427"/>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8" w:name="_Toc1427"/>
      <w:r>
        <w:rPr>
          <w:b/>
          <w:bCs/>
          <w:color w:val="161B22"/>
        </w:rPr>
        <w:t xml:space="preserve">The Three Decisions That Are Not Yet Made</w:t>
      </w:r>
      <w:bookmarkEnd w:id="1428"/>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9" w:name="_Toc1428"/>
      <w:r>
        <w:rPr>
          <w:b/>
          <w:bCs/>
          <w:color w:val="161B22"/>
        </w:rPr>
        <w:t xml:space="preserve">Decision 1: Will the Statewide Strategic Plan Be Binding or Descriptive?</w:t>
      </w:r>
      <w:bookmarkEnd w:id="1429"/>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30" w:name="_Toc1429"/>
      <w:r>
        <w:rPr>
          <w:b/>
          <w:bCs/>
          <w:color w:val="161B22"/>
        </w:rPr>
        <w:t xml:space="preserve">Decision 2: Will the Analytics Vendor Be Operational Before AHEAD’s Financial Accountability Begins?</w:t>
      </w:r>
      <w:bookmarkEnd w:id="1430"/>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31" w:name="_Toc1430"/>
      <w:r>
        <w:rPr>
          <w:b/>
          <w:bCs/>
          <w:color w:val="161B22"/>
        </w:rPr>
        <w:t xml:space="preserve">Decision 3: Will H.R. 1’s Medicaid Cuts Force a Contraction or Accelerate a Transformation?</w:t>
      </w:r>
      <w:bookmarkEnd w:id="1431"/>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32" w:name="_Toc1431"/>
      <w:r>
        <w:rPr>
          <w:b/>
          <w:bCs/>
          <w:color w:val="161B22"/>
        </w:rPr>
        <w:t xml:space="preserve">What Vermont Has Proved — As of April 2026</w:t>
      </w:r>
      <w:bookmarkEnd w:id="1432"/>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3" w:name="_Toc1432"/>
      <w:r>
        <w:rPr>
          <w:b/>
          <w:bCs/>
          <w:color w:val="161B22"/>
        </w:rPr>
        <w:t xml:space="preserve">The People This Book Cannot Reach</w:t>
      </w:r>
      <w:bookmarkEnd w:id="1433"/>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4" w:name="_Toc1433"/>
      <w:r>
        <w:rPr>
          <w:b/>
          <w:bCs/>
          <w:color w:val="161B22"/>
        </w:rPr>
        <w:t xml:space="preserve">The Call</w:t>
      </w:r>
      <w:bookmarkEnd w:id="1434"/>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5" w:name="_Toc1434"/>
      <w:r>
        <w:rPr>
          <w:b/>
          <w:bCs/>
          <w:color w:val="161B22"/>
        </w:rPr>
        <w:t xml:space="preserve">Key Concepts in This Chapter</w:t>
      </w:r>
      <w:bookmarkEnd w:id="1435"/>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6" w:name="_Toc1435"/>
      <w:r>
        <w:rPr>
          <w:b/>
          <w:bCs/>
          <w:color w:val="161B22"/>
        </w:rPr>
        <w:t xml:space="preserve">Appendix A — Vermont System Portrait</w:t>
      </w:r>
      <w:bookmarkEnd w:id="1436"/>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7" w:name="_Toc1436"/>
      <w:r>
        <w:rPr>
          <w:b/>
          <w:bCs/>
          <w:color w:val="161B22"/>
        </w:rPr>
        <w:t xml:space="preserve">A.1 Vermont: The State</w:t>
      </w:r>
      <w:bookmarkEnd w:id="1437"/>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38" w:name="_Toc1437"/>
      <w:r>
        <w:rPr>
          <w:b/>
          <w:bCs/>
          <w:color w:val="161B22"/>
        </w:rPr>
        <w:t xml:space="preserve">A.2 Demographics and Population Projections</w:t>
      </w:r>
      <w:bookmarkEnd w:id="1438"/>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39" w:name="_Toc1438"/>
      <w:r>
        <w:rPr>
          <w:b/>
          <w:bCs/>
          <w:color w:val="161B22"/>
        </w:rPr>
        <w:t xml:space="preserve">A.3 Regulatory Architecture: The Green Mountain Care Board</w:t>
      </w:r>
      <w:bookmarkEnd w:id="1439"/>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40" w:name="_Toc1439"/>
      <w:r>
        <w:rPr>
          <w:b/>
          <w:bCs/>
          <w:color w:val="161B22"/>
        </w:rPr>
        <w:t xml:space="preserve">A.4 The Hospital System</w:t>
      </w:r>
      <w:bookmarkEnd w:id="1440"/>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41" w:name="_Toc1440"/>
      <w:r>
        <w:rPr>
          <w:b/>
          <w:bCs/>
          <w:color w:val="161B22"/>
        </w:rPr>
        <w:t xml:space="preserve">The Fourteen Hospitals (January 2026 transformation plans)</w:t>
      </w:r>
      <w:bookmarkEnd w:id="1441"/>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42" w:name="_Toc1441"/>
      <w:r>
        <w:rPr>
          <w:b/>
          <w:bCs/>
          <w:color w:val="161B22"/>
        </w:rPr>
        <w:t xml:space="preserve">Patterns in the Data</w:t>
      </w:r>
      <w:bookmarkEnd w:id="1442"/>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43" w:name="_Toc1442"/>
      <w:r>
        <w:rPr>
          <w:b/>
          <w:bCs/>
          <w:color w:val="161B22"/>
        </w:rPr>
        <w:t xml:space="preserve">A.5 The Transformation Plans: A System in Motion</w:t>
      </w:r>
      <w:bookmarkEnd w:id="1443"/>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4" w:name="_Toc1443"/>
      <w:r>
        <w:rPr>
          <w:b/>
          <w:bCs/>
          <w:color w:val="161B22"/>
        </w:rPr>
        <w:t xml:space="preserve">A.6 The Insurance and Premium Crisis</w:t>
      </w:r>
      <w:bookmarkEnd w:id="1444"/>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5" w:name="_Toc1444"/>
      <w:r>
        <w:rPr>
          <w:b/>
          <w:bCs/>
          <w:color w:val="161B22"/>
        </w:rPr>
        <w:t xml:space="preserve">A.7 Healthcare Workforce</w:t>
      </w:r>
      <w:bookmarkEnd w:id="1445"/>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6" w:name="_Toc1445"/>
      <w:r>
        <w:rPr>
          <w:b/>
          <w:bCs/>
          <w:color w:val="161B22"/>
        </w:rPr>
        <w:t xml:space="preserve">A.8 Clinical Quality Indicators</w:t>
      </w:r>
      <w:bookmarkEnd w:id="1446"/>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47" w:name="_Toc1446"/>
      <w:r>
        <w:rPr>
          <w:b/>
          <w:bCs/>
          <w:color w:val="161B22"/>
        </w:rPr>
        <w:t xml:space="preserve">Appendix B — Act 68 Statutory Timeline and Milestones</w:t>
      </w:r>
      <w:bookmarkEnd w:id="1447"/>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48" w:name="_Toc1447"/>
      <w:r>
        <w:rPr>
          <w:b/>
          <w:bCs/>
          <w:color w:val="161B22"/>
        </w:rPr>
        <w:t xml:space="preserve">Policy-Pillar Implementation Matrix</w:t>
      </w:r>
      <w:bookmarkEnd w:id="1448"/>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49" w:name="_Toc1448"/>
      <w:r>
        <w:rPr>
          <w:b/>
          <w:bCs/>
          <w:color w:val="161B22"/>
        </w:rPr>
        <w:t xml:space="preserve">Appendix C — The 14-Hospital Centers of Excellence Assignment Framework</w:t>
      </w:r>
      <w:bookmarkEnd w:id="1449"/>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autofit"/>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50" w:name="_Toc1449"/>
      <w:r>
        <w:rPr>
          <w:b/>
          <w:bCs/>
          <w:color w:val="161B22"/>
        </w:rPr>
        <w:t xml:space="preserve">Appendix D — AHEAD State Agreement: Key Terms and Provisions</w:t>
      </w:r>
      <w:bookmarkEnd w:id="1450"/>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51" w:name="_Toc1450"/>
      <w:r>
        <w:rPr>
          <w:b/>
          <w:bCs/>
          <w:color w:val="161B22"/>
        </w:rPr>
        <w:t xml:space="preserve">Appendix E — HTR Platform Tools and Methodology Overview</w:t>
      </w:r>
      <w:bookmarkEnd w:id="1451"/>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52" w:name="_Toc1451"/>
      <w:r>
        <w:rPr>
          <w:b/>
          <w:bCs/>
          <w:color w:val="161B22"/>
        </w:rPr>
        <w:t xml:space="preserve">Appendix F — Vermont Transformation Scorecard: 2022 Baseline, 2026 Status, 2028 Target</w:t>
      </w:r>
      <w:bookmarkEnd w:id="1452"/>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53" w:name="_Toc1452"/>
      <w:r>
        <w:rPr>
          <w:b/>
          <w:bCs/>
          <w:color w:val="161B22"/>
        </w:rPr>
        <w:t xml:space="preserve">Policy Pillar</w:t>
      </w:r>
      <w:bookmarkEnd w:id="1453"/>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54" w:name="_Toc1453"/>
      <w:r>
        <w:rPr>
          <w:b/>
          <w:bCs/>
          <w:color w:val="161B22"/>
        </w:rPr>
        <w:t xml:space="preserve">Technology Pillar</w:t>
      </w:r>
      <w:bookmarkEnd w:id="1454"/>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55" w:name="_Toc1454"/>
      <w:r>
        <w:rPr>
          <w:b/>
          <w:bCs/>
          <w:color w:val="161B22"/>
        </w:rPr>
        <w:t xml:space="preserve">Economics Pillar</w:t>
      </w:r>
      <w:bookmarkEnd w:id="1455"/>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56" w:name="_Toc1455"/>
      <w:r>
        <w:rPr>
          <w:b/>
          <w:bCs/>
          <w:color w:val="161B22"/>
        </w:rPr>
        <w:t xml:space="preserve">Clinical Pillar</w:t>
      </w:r>
      <w:bookmarkEnd w:id="1456"/>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57" w:name="_Toc1456"/>
      <w:r>
        <w:rPr>
          <w:b/>
          <w:bCs/>
          <w:color w:val="161B22"/>
        </w:rPr>
        <w:t xml:space="preserve">Equity Pillar</w:t>
      </w:r>
      <w:bookmarkEnd w:id="1457"/>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58" w:name="_Toc1457"/>
      <w:r>
        <w:rPr>
          <w:b/>
          <w:bCs/>
          <w:color w:val="161B22"/>
        </w:rPr>
        <w:t xml:space="preserve">Operations Pillar</w:t>
      </w:r>
      <w:bookmarkEnd w:id="1458"/>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9" w:name="_Toc1458"/>
      <w:r>
        <w:rPr>
          <w:b/>
          <w:bCs/>
          <w:color w:val="161B22"/>
        </w:rPr>
        <w:t xml:space="preserve">Appendix G — A Reader’s Guide to the Health Transformation Review Platform</w:t>
      </w:r>
      <w:bookmarkEnd w:id="1459"/>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60" w:name="_Toc1459"/>
      <w:r>
        <w:rPr>
          <w:b/>
          <w:bCs/>
          <w:color w:val="161B22"/>
        </w:rPr>
        <w:t xml:space="preserve">What This Platform Is</w:t>
      </w:r>
      <w:bookmarkEnd w:id="1460"/>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61" w:name="_Toc1460"/>
      <w:r>
        <w:rPr>
          <w:b/>
          <w:bCs/>
          <w:color w:val="161B22"/>
        </w:rPr>
        <w:t xml:space="preserve">Navigating the Platform</w:t>
      </w:r>
      <w:bookmarkEnd w:id="1461"/>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62" w:name="_Toc1461"/>
      <w:r>
        <w:rPr>
          <w:b/>
          <w:bCs/>
          <w:color w:val="161B22"/>
        </w:rPr>
        <w:t xml:space="preserve">The Six Pillars of Intelligence</w:t>
      </w:r>
      <w:bookmarkEnd w:id="1462"/>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3" w:name="_Toc1462"/>
      <w:r>
        <w:rPr>
          <w:b/>
          <w:bCs/>
          <w:color w:val="161B22"/>
        </w:rPr>
        <w:t xml:space="preserve">The Academy</w:t>
      </w:r>
      <w:bookmarkEnd w:id="1463"/>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4" w:name="_Toc1463"/>
      <w:r>
        <w:rPr>
          <w:b/>
          <w:bCs/>
          <w:color w:val="161B22"/>
        </w:rPr>
        <w:t xml:space="preserve">The Research Lab</w:t>
      </w:r>
      <w:bookmarkEnd w:id="1464"/>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5" w:name="_Toc1464"/>
      <w:r>
        <w:rPr>
          <w:b/>
          <w:bCs/>
          <w:color w:val="161B22"/>
        </w:rPr>
        <w:t xml:space="preserve">States &amp; Programs</w:t>
      </w:r>
      <w:bookmarkEnd w:id="1465"/>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6" w:name="_Toc1465"/>
      <w:r>
        <w:rPr>
          <w:b/>
          <w:bCs/>
          <w:color w:val="161B22"/>
        </w:rPr>
        <w:t xml:space="preserve">Advisory &amp; Services and the AI Analyst</w:t>
      </w:r>
      <w:bookmarkEnd w:id="1466"/>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7" w:name="_Toc1466"/>
      <w:r>
        <w:rPr>
          <w:b/>
          <w:bCs/>
          <w:color w:val="161B22"/>
        </w:rPr>
        <w:t xml:space="preserve">Reader Profiles and Recommended Paths</w:t>
      </w:r>
      <w:bookmarkEnd w:id="1467"/>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8" w:name="_Toc1467"/>
      <w:r>
        <w:rPr>
          <w:b/>
          <w:bCs/>
          <w:color w:val="161B22"/>
        </w:rPr>
        <w:t xml:space="preserve">Appendix H — Adapting and Stress-Testing the Framework</w:t>
      </w:r>
      <w:bookmarkEnd w:id="1468"/>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69" w:name="_Toc1468"/>
      <w:r>
        <w:rPr>
          <w:b/>
          <w:bCs/>
          <w:color w:val="161B22"/>
        </w:rPr>
        <w:t xml:space="preserve">H.1 Glossary of Vermont-Specific Acronyms and Institutions</w:t>
      </w:r>
      <w:bookmarkEnd w:id="1469"/>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70" w:name="_Toc1469"/>
      <w:r>
        <w:rPr>
          <w:b/>
          <w:bCs/>
          <w:color w:val="161B22"/>
        </w:rPr>
        <w:t xml:space="preserve">H.2 Worksheet — Adapt This Framework to Your State</w:t>
      </w:r>
      <w:bookmarkEnd w:id="1470"/>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71" w:name="_Toc1470"/>
      <w:r>
        <w:rPr>
          <w:b/>
          <w:bCs/>
          <w:color w:val="161B22"/>
        </w:rPr>
        <w:t xml:space="preserve">H.3 The Transition Window — Financing FY2027–2030</w:t>
      </w:r>
      <w:bookmarkEnd w:id="1471"/>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72" w:name="_Toc1471"/>
      <w:r>
        <w:rPr>
          <w:b/>
          <w:bCs/>
          <w:color w:val="161B22"/>
        </w:rPr>
        <w:t xml:space="preserve">What bridges exist</w:t>
      </w:r>
      <w:bookmarkEnd w:id="1472"/>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3" w:name="_Toc1472"/>
      <w:r>
        <w:rPr>
          <w:b/>
          <w:bCs/>
          <w:color w:val="161B22"/>
        </w:rPr>
        <w:t xml:space="preserve">What this means for a hospital CFO</w:t>
      </w:r>
      <w:bookmarkEnd w:id="1473"/>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74" w:name="_Toc1473"/>
      <w:r>
        <w:rPr>
          <w:b/>
          <w:bCs/>
          <w:color w:val="161B22"/>
        </w:rPr>
        <w:t xml:space="preserve">H.4 Two Clocks — Reconciling Act 68 and AHEAD Cohort 2 Timelines</w:t>
      </w:r>
      <w:bookmarkEnd w:id="1474"/>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5" w:name="_Toc1474"/>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5"/>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6" w:name="_Toc1475"/>
      <w:r>
        <w:rPr>
          <w:b/>
          <w:bCs/>
          <w:color w:val="161B22"/>
        </w:rPr>
        <w:t xml:space="preserve">GMCB’s enforcement toolkit</w:t>
      </w:r>
      <w:bookmarkEnd w:id="1476"/>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77" w:name="_Toc1476"/>
      <w:r>
        <w:rPr>
          <w:b/>
          <w:bCs/>
          <w:color w:val="161B22"/>
        </w:rPr>
        <w:t xml:space="preserve">The test case: GMCB v. UVMMC</w:t>
      </w:r>
      <w:bookmarkEnd w:id="1477"/>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8" w:name="_Toc1477"/>
      <w:r>
        <w:rPr>
          <w:b/>
          <w:bCs/>
          <w:color w:val="161B22"/>
        </w:rPr>
        <w:t xml:space="preserve">Appendix I — The HTR Lab Workbook: A Six-Pillar Practicum</w:t>
      </w:r>
      <w:bookmarkEnd w:id="1478"/>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9" w:name="_Toc1478"/>
      <w:r>
        <w:rPr>
          <w:b/>
          <w:bCs/>
          <w:color w:val="161B22"/>
        </w:rPr>
        <w:t xml:space="preserve">How to Use This Workbook</w:t>
      </w:r>
      <w:bookmarkEnd w:id="1479"/>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80" w:name="_Toc1479"/>
      <w:r>
        <w:rPr>
          <w:b/>
          <w:bCs/>
          <w:color w:val="161B22"/>
        </w:rPr>
        <w:t xml:space="preserve">Stage 1 — Policy: Establish the Mandate</w:t>
      </w:r>
      <w:bookmarkEnd w:id="1480"/>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81" w:name="_Toc1480"/>
      <w:r>
        <w:rPr>
          <w:b/>
          <w:bCs/>
          <w:color w:val="161B22"/>
        </w:rPr>
        <w:t xml:space="preserve">Stage 2 — Technology: Build the Substrate</w:t>
      </w:r>
      <w:bookmarkEnd w:id="1481"/>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82" w:name="_Toc1481"/>
      <w:r>
        <w:rPr>
          <w:b/>
          <w:bCs/>
          <w:color w:val="161B22"/>
        </w:rPr>
        <w:t xml:space="preserve">Stage 3 — Economics: Put Incentives on a Visible System</w:t>
      </w:r>
      <w:bookmarkEnd w:id="1482"/>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3" w:name="_Toc1482"/>
      <w:r>
        <w:rPr>
          <w:b/>
          <w:bCs/>
          <w:color w:val="161B22"/>
        </w:rPr>
        <w:t xml:space="preserve">Stage 4 — Clinical: Redesign Care on Aligned Incentives</w:t>
      </w:r>
      <w:bookmarkEnd w:id="1483"/>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4" w:name="_Toc1483"/>
      <w:r>
        <w:rPr>
          <w:b/>
          <w:bCs/>
          <w:color w:val="161B22"/>
        </w:rPr>
        <w:t xml:space="preserve">Stage 5 — Equity: Calibrate for the Gap, Not the Average</w:t>
      </w:r>
      <w:bookmarkEnd w:id="1484"/>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5" w:name="_Toc1484"/>
      <w:r>
        <w:rPr>
          <w:b/>
          <w:bCs/>
          <w:color w:val="161B22"/>
        </w:rPr>
        <w:t xml:space="preserve">Stage 6 — Operations: Close the Execution Gap</w:t>
      </w:r>
      <w:bookmarkEnd w:id="1485"/>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6" w:name="_Toc1485"/>
      <w:r>
        <w:rPr>
          <w:b/>
          <w:bCs/>
          <w:color w:val="161B22"/>
        </w:rPr>
        <w:t xml:space="preserve">Figure Index</w:t>
      </w:r>
      <w:bookmarkEnd w:id="1486"/>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Vermont statewide EHR: case for and against. The feasibility assessment underway will weigh these factors against Vermont’s specific cost, disruption tolerance, and FHIR interoperability capacity.</w:t>
      </w:r>
    </w:p>
    <w:p>
      <w:pPr>
        <w:pStyle w:val="Caption"/>
      </w:pPr>
      <w:r>
        <w:t xml:space="preserve">Figure 4.5 — Vermont FHIR compliance landscape (estimated as of 2026). Sources: AHS Legislative Presentation January 2025; Vermont RHT Program Application; GMCB HIE connectivity criteria.</w:t>
      </w:r>
    </w:p>
    <w:p>
      <w:pPr>
        <w:pStyle w:val="Caption"/>
      </w:pPr>
      <w: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Heading1"/>
      </w:pPr>
      <w:bookmarkStart w:id="1487" w:name="_Toc1486"/>
      <w:r>
        <w:rPr>
          <w:b/>
          <w:bCs/>
          <w:color w:val="161B22"/>
        </w:rPr>
        <w:t xml:space="preserve">Bibliography and Source Notes</w:t>
      </w:r>
      <w:bookmarkEnd w:id="1487"/>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8" w:name="_Toc1487"/>
      <w:r>
        <w:rPr>
          <w:b/>
          <w:bCs/>
          <w:color w:val="161B22"/>
        </w:rPr>
        <w:t xml:space="preserve">Index (Selected)</w:t>
      </w:r>
      <w:bookmarkEnd w:id="1488"/>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44"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43"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44"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43"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2026-07-29T15:55:37Z</dcterms:created>
  <dcterms:modified xsi:type="dcterms:W3CDTF">2026-07-29T15:55:37Z</dcterms:modified>
</cp:coreProperties>
</file>

<file path=docProps/custom.xml><?xml version="1.0" encoding="utf-8"?>
<Properties xmlns="http://schemas.openxmlformats.org/officeDocument/2006/custom-properties" xmlns:vt="http://schemas.openxmlformats.org/officeDocument/2006/docPropsVTypes"/>
</file>