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pBdr>
          <w:top w:val="single" w:sz="4" w:space="8" w:color="B8B8B8"/>
        </w:pBdr>
        <w:spacing w:before="360" w:after="0"/>
      </w:pPr>
      <w:r>
        <w:rPr>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pP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pBdr>
          <w:top w:val="single" w:sz="4" w:space="8" w:color="B8B8B8"/>
        </w:pBdr>
        <w:spacing w:before="160" w:after="120"/>
      </w:pPr>
      <w:r>
        <w:rPr>
          <w:rFonts w:ascii="Calibri" w:hAnsi="Calibri"/>
          <w:i/>
          <w:color w:val="00000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pBdr>
          <w:top w:val="single" w:sz="4" w:space="8" w:color="B8B8B8"/>
        </w:pBdr>
        <w:spacing w:before="160" w:after="120"/>
      </w:pPr>
      <w:r>
        <w:rPr>
          <w:rFonts w:ascii="Calibri" w:hAnsi="Calibri"/>
          <w:i/>
          <w:color w:val="00000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pBdr>
          <w:top w:val="single" w:sz="4" w:space="8" w:color="B8B8B8"/>
        </w:pBdr>
        <w:spacing w:before="160" w:after="120"/>
      </w:pPr>
      <w:r>
        <w:rPr>
          <w:rFonts w:ascii="Calibri" w:hAnsi="Calibri"/>
          <w:i/>
          <w:color w:val="00000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pBdr>
          <w:top w:val="single" w:sz="4" w:space="8" w:color="B8B8B8"/>
        </w:pBdr>
        <w:spacing w:before="160" w:after="120"/>
      </w:pPr>
      <w:r>
        <w:rPr>
          <w:rFonts w:ascii="Calibri" w:hAnsi="Calibri"/>
          <w:i/>
          <w:color w:val="00000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pBdr>
          <w:top w:val="single" w:sz="4" w:space="8" w:color="B8B8B8"/>
        </w:pBdr>
        <w:spacing w:before="160" w:after="120"/>
      </w:pPr>
      <w:r>
        <w:rPr>
          <w:rFonts w:ascii="Calibri" w:hAnsi="Calibri"/>
          <w:i/>
          <w:color w:val="00000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pBdr>
          <w:top w:val="single" w:sz="4" w:space="8" w:color="B8B8B8"/>
        </w:pBdr>
        <w:spacing w:before="160" w:after="120"/>
      </w:pPr>
      <w:r>
        <w:rPr>
          <w:rFonts w:ascii="Calibri" w:hAnsi="Calibri"/>
          <w:i/>
          <w:color w:val="00000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pBdr>
          <w:top w:val="single" w:sz="4" w:space="8" w:color="B8B8B8"/>
        </w:pBdr>
        <w:spacing w:before="160" w:after="120"/>
      </w:pPr>
      <w:r>
        <w:rPr>
          <w:rFonts w:ascii="Calibri" w:hAnsi="Calibri"/>
          <w:i/>
          <w:color w:val="00000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pBdr>
          <w:top w:val="single" w:sz="4" w:space="8" w:color="B8B8B8"/>
        </w:pBdr>
        <w:spacing w:before="160" w:after="120"/>
      </w:pPr>
      <w:r>
        <w:rPr>
          <w:rFonts w:ascii="Calibri" w:hAnsi="Calibri"/>
          <w:i/>
          <w:color w:val="00000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pBdr>
          <w:top w:val="single" w:sz="4" w:space="8" w:color="B8B8B8"/>
        </w:pBdr>
        <w:spacing w:before="160" w:after="120"/>
      </w:pPr>
      <w:r>
        <w:rPr>
          <w:rFonts w:ascii="Calibri" w:hAnsi="Calibri"/>
          <w:i/>
          <w:color w:val="00000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pBdr>
          <w:top w:val="single" w:sz="4" w:space="8" w:color="B8B8B8"/>
        </w:pBdr>
        <w:spacing w:before="160" w:after="120"/>
      </w:pPr>
      <w:r>
        <w:rPr>
          <w:rFonts w:ascii="Calibri" w:hAnsi="Calibri"/>
          <w:i/>
          <w:color w:val="00000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pBdr>
          <w:top w:val="single" w:sz="4" w:space="8" w:color="B8B8B8"/>
        </w:pBdr>
        <w:spacing w:before="360" w:after="0"/>
      </w:pPr>
      <w:r>
        <w:rPr>
          <w:i/>
          <w:color w:val="404040"/>
          <w:sz w:val="18"/>
        </w:rPr>
        <w:t xml:space="preserve">Sources: KFF,</w:t>
      </w:r>
      <w:r>
        <w:rPr>
          <w:i/>
          <w:color w:val="404040"/>
          <w:sz w:val="18"/>
        </w:rPr>
        <w:t xml:space="preserve"> </w:t>
      </w:r>
      <w:r>
        <w:rPr>
          <w:i/>
          <w:color w:val="404040"/>
          <w:sz w:val="18"/>
        </w:rPr>
        <w:t xml:space="preserve">“A Closer Look at the $50 Billion Rural Health Fund in the New Reconciliation Law”</w:t>
      </w:r>
      <w:r>
        <w:rPr>
          <w:i/>
          <w:color w:val="404040"/>
          <w:sz w:val="18"/>
        </w:rPr>
        <w:t xml:space="preserve"> </w:t>
      </w:r>
      <w:r>
        <w:rPr>
          <w:i/>
          <w:color w:val="404040"/>
          <w:sz w:val="18"/>
        </w:rPr>
        <w:t xml:space="preserve">(September 2025); KFF,</w:t>
      </w:r>
      <w:r>
        <w:rPr>
          <w:i/>
          <w:color w:val="404040"/>
          <w:sz w:val="18"/>
        </w:rPr>
        <w:t xml:space="preserve"> </w:t>
      </w:r>
      <w:r>
        <w:rPr>
          <w:i/>
          <w:color w:val="404040"/>
          <w:sz w:val="18"/>
        </w:rPr>
        <w:t xml:space="preserve">“How Might Federal Medicaid Cuts in the Enacted Reconciliation Package Affect Rural Areas?”</w:t>
      </w:r>
      <w:r>
        <w:rPr>
          <w:i/>
          <w:color w:val="404040"/>
          <w:sz w:val="18"/>
        </w:rPr>
        <w:t xml:space="preserve">; KFF,</w:t>
      </w:r>
      <w:r>
        <w:rPr>
          <w:i/>
          <w:color w:val="404040"/>
          <w:sz w:val="18"/>
        </w:rPr>
        <w:t xml:space="preserve"> </w:t>
      </w:r>
      <w:r>
        <w:rPr>
          <w:i/>
          <w:color w:val="404040"/>
          <w:sz w:val="18"/>
        </w:rPr>
        <w:t xml:space="preserve">“What to Know About the BALANCE Model for GLP-1s in Medicare and Medicaid”</w:t>
      </w:r>
      <w:r>
        <w:rPr>
          <w:i/>
          <w:color w:val="404040"/>
          <w:sz w:val="18"/>
        </w:rPr>
        <w:t xml:space="preserve"> </w:t>
      </w:r>
      <w:r>
        <w:rPr>
          <w:i/>
          <w:color w:val="404040"/>
          <w:sz w:val="18"/>
        </w:rPr>
        <w:t xml:space="preserve">(2026); Chartis, 2026 State of Rural Health (February 2026); Peterson-KFF Health System Tracker,</w:t>
      </w:r>
      <w:r>
        <w:rPr>
          <w:i/>
          <w:color w:val="404040"/>
          <w:sz w:val="18"/>
        </w:rPr>
        <w:t xml:space="preserve"> </w:t>
      </w:r>
      <w:r>
        <w:rPr>
          <w:i/>
          <w:color w:val="404040"/>
          <w:sz w:val="18"/>
        </w:rPr>
        <w:t xml:space="preserve">“Eight Trends Shaping 2026 Healthcare Costs”</w:t>
      </w:r>
      <w:r>
        <w:rPr>
          <w:i/>
          <w:color w:val="404040"/>
          <w:sz w:val="18"/>
        </w:rPr>
        <w:t xml:space="preserve"> </w:t>
      </w:r>
      <w:r>
        <w:rPr>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pBdr>
          <w:top w:val="single" w:sz="4" w:space="8" w:color="B8B8B8"/>
        </w:pBdr>
        <w:spacing w:before="160" w:after="120"/>
      </w:pPr>
      <w:r>
        <w:rPr>
          <w:rFonts w:ascii="Calibri" w:hAnsi="Calibri"/>
          <w:i/>
          <w:color w:val="00000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pBdr>
          <w:top w:val="single" w:sz="4" w:space="8" w:color="B8B8B8"/>
        </w:pBdr>
        <w:spacing w:before="160" w:after="120"/>
      </w:pPr>
      <w:r>
        <w:rPr>
          <w:rFonts w:ascii="Calibri" w:hAnsi="Calibri"/>
          <w:i/>
          <w:color w:val="00000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pBdr>
          <w:top w:val="single" w:sz="4" w:space="8" w:color="B8B8B8"/>
        </w:pBdr>
        <w:spacing w:before="160" w:after="120"/>
      </w:pPr>
      <w:r>
        <w:rPr>
          <w:rFonts w:ascii="Calibri" w:hAnsi="Calibri"/>
          <w:i/>
          <w:color w:val="00000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pBdr>
          <w:top w:val="single" w:sz="4" w:space="8" w:color="B8B8B8"/>
        </w:pBdr>
        <w:spacing w:before="360" w:after="0"/>
      </w:pPr>
      <w:r>
        <w:rPr>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2026-07-27T19:58:33Z</dcterms:created>
  <dcterms:modified xsi:type="dcterms:W3CDTF">2026-07-27T19:58:33Z</dcterms:modified>
</cp:coreProperties>
</file>

<file path=docProps/custom.xml><?xml version="1.0" encoding="utf-8"?>
<Properties xmlns="http://schemas.openxmlformats.org/officeDocument/2006/custom-properties" xmlns:vt="http://schemas.openxmlformats.org/officeDocument/2006/docPropsVTypes"/>
</file>