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Bechir BenSaid</w:t>
      </w:r>
    </w:p>
    <w:p>
      <w:pPr>
        <w:pStyle w:val="BodyText"/>
        <w:spacing w:after="0"/>
        <w:jc w:val="left"/>
      </w:pPr>
      <w:r>
        <w:rPr>
          <w:b w:val="0"/>
          <w:i w:val="0"/>
          <w:iCs/>
          <w:color w:val="555555"/>
          <w:sz w:val="20"/>
        </w:rPr>
        <w:t>April 2026</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Six Pillars Defined</w:t>
        </w:r>
      </w:hyperlink>
      <w:r>
        <w:tab/>
      </w:r>
      <w:r>
        <w:fldChar w:fldCharType="begin"/>
      </w:r>
      <w:r>
        <w:instrText xml:space="preserve"> PAGEREF _Toc1025 \h </w:instrText>
      </w:r>
      <w:r>
        <w:fldChar w:fldCharType="separate"/>
      </w:r>
      <w:r>
        <w:t>1</w:t>
      </w:r>
      <w:r>
        <w:fldChar w:fldCharType="end"/>
      </w:r>
    </w:p>
    <w:p>
      <w:pPr>
        <w:pStyle w:val="TOC2"/>
      </w:pPr>
      <w:hyperlink w:anchor="_Toc1026">
        <w:r>
          <w:t xml:space="preserve">The Architecture of Interdependency: The Fifteen Dependency Relationships</w:t>
        </w:r>
      </w:hyperlink>
      <w:r>
        <w:tab/>
      </w:r>
      <w:r>
        <w:fldChar w:fldCharType="begin"/>
      </w:r>
      <w:r>
        <w:instrText xml:space="preserve"> PAGEREF _Toc1026 \h </w:instrText>
      </w:r>
      <w:r>
        <w:fldChar w:fldCharType="separate"/>
      </w:r>
      <w:r>
        <w:t>1</w:t>
      </w:r>
      <w:r>
        <w:fldChar w:fldCharType="end"/>
      </w:r>
    </w:p>
    <w:p>
      <w:pPr>
        <w:pStyle w:val="TOC2"/>
      </w:pPr>
      <w:hyperlink w:anchor="_Toc1033">
        <w:r>
          <w:t xml:space="preserve">The Failure Cascade: What Happens When a Pillar Is Missing</w:t>
        </w:r>
      </w:hyperlink>
      <w:r>
        <w:tab/>
      </w:r>
      <w:r>
        <w:fldChar w:fldCharType="begin"/>
      </w:r>
      <w:r>
        <w:instrText xml:space="preserve"> PAGEREF _Toc1033 \h </w:instrText>
      </w:r>
      <w:r>
        <w:fldChar w:fldCharType="separate"/>
      </w:r>
      <w:r>
        <w:t>1</w:t>
      </w:r>
      <w:r>
        <w:fldChar w:fldCharType="end"/>
      </w:r>
    </w:p>
    <w:p>
      <w:pPr>
        <w:pStyle w:val="TOC2"/>
      </w:pPr>
      <w:hyperlink w:anchor="_Toc1034">
        <w:r>
          <w:t xml:space="preserve">Using the Dependency Map as an Analytical Tool</w:t>
        </w:r>
      </w:hyperlink>
      <w:r>
        <w:tab/>
      </w:r>
      <w:r>
        <w:fldChar w:fldCharType="begin"/>
      </w:r>
      <w:r>
        <w:instrText xml:space="preserve"> PAGEREF _Toc1034 \h </w:instrText>
      </w:r>
      <w:r>
        <w:fldChar w:fldCharType="separate"/>
      </w:r>
      <w:r>
        <w:t>1</w:t>
      </w:r>
      <w:r>
        <w:fldChar w:fldCharType="end"/>
      </w:r>
    </w:p>
    <w:p>
      <w:pPr>
        <w:pStyle w:val="TOC2"/>
      </w:pPr>
      <w:hyperlink w:anchor="_Toc1035">
        <w:r>
          <w:t xml:space="preserve">The Vermont Thread: Six Pillars in One System</w:t>
        </w:r>
      </w:hyperlink>
      <w:r>
        <w:tab/>
      </w:r>
      <w:r>
        <w:fldChar w:fldCharType="begin"/>
      </w:r>
      <w:r>
        <w:instrText xml:space="preserve"> PAGEREF _Toc1035 \h </w:instrText>
      </w:r>
      <w:r>
        <w:fldChar w:fldCharType="separate"/>
      </w:r>
      <w:r>
        <w:t>1</w:t>
      </w:r>
      <w:r>
        <w:fldChar w:fldCharType="end"/>
      </w:r>
    </w:p>
    <w:p>
      <w:pPr>
        <w:pStyle w:val="TOC2"/>
      </w:pPr>
      <w:hyperlink w:anchor="_Toc1036">
        <w:r>
          <w:t xml:space="preserve">From Framework to Sequence: Why Order Is Not Optional</w:t>
        </w:r>
      </w:hyperlink>
      <w:r>
        <w:tab/>
      </w:r>
      <w:r>
        <w:fldChar w:fldCharType="begin"/>
      </w:r>
      <w:r>
        <w:instrText xml:space="preserve"> PAGEREF _Toc1036 \h </w:instrText>
      </w:r>
      <w:r>
        <w:fldChar w:fldCharType="separate"/>
      </w:r>
      <w:r>
        <w:t>1</w:t>
      </w:r>
      <w:r>
        <w:fldChar w:fldCharType="end"/>
      </w:r>
    </w:p>
    <w:p>
      <w:pPr>
        <w:pStyle w:val="TOC2"/>
      </w:pPr>
      <w:hyperlink w:anchor="_Toc1037">
        <w:r>
          <w:t xml:space="preserve">The Core Argument: Dependency Logic Determines Sequence</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The OneCare Failure: A Sequencing Autopsy</w:t>
        </w:r>
      </w:hyperlink>
      <w:r>
        <w:tab/>
      </w:r>
      <w:r>
        <w:fldChar w:fldCharType="begin"/>
      </w:r>
      <w:r>
        <w:instrText xml:space="preserve"> PAGEREF _Toc1038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Introduced or Expanded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Introduced or Expanded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Introduced or Expanded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Introduced or Expanded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Introduced or Expanded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Introduced or Expanded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Introduced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Implications for You</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Key Concepts</w:t>
        </w:r>
      </w:hyperlink>
      <w:r>
        <w:tab/>
      </w:r>
      <w:r>
        <w:fldChar w:fldCharType="begin"/>
      </w:r>
      <w:r>
        <w:instrText xml:space="preserve"> PAGEREF _Toc1365 \h </w:instrText>
      </w:r>
      <w:r>
        <w:fldChar w:fldCharType="separate"/>
      </w:r>
      <w:r>
        <w:t>1</w:t>
      </w:r>
      <w:r>
        <w:fldChar w:fldCharType="end"/>
      </w:r>
    </w:p>
    <w:p>
      <w:pPr>
        <w:pStyle w:val="TOC1"/>
      </w:pPr>
      <w:hyperlink w:anchor="_Toc1366">
        <w:r>
          <w:t xml:space="preserve">Chapter 13 — The Future of Healthcare Transformation: 2026, What Vermont Proves, and What Remains</w:t>
        </w:r>
      </w:hyperlink>
      <w:r>
        <w:tab/>
      </w:r>
      <w:r>
        <w:fldChar w:fldCharType="begin"/>
      </w:r>
      <w:r>
        <w:instrText xml:space="preserve"> PAGEREF _Toc1366 \h </w:instrText>
      </w:r>
      <w:r>
        <w:fldChar w:fldCharType="separate"/>
      </w:r>
      <w:r>
        <w:t>1</w:t>
      </w:r>
      <w:r>
        <w:fldChar w:fldCharType="end"/>
      </w:r>
    </w:p>
    <w:p>
      <w:pPr>
        <w:pStyle w:val="TOC2"/>
      </w:pPr>
      <w:hyperlink w:anchor="_Toc1367">
        <w:r>
          <w:t xml:space="preserve">Vermont Transformation Scorecard: Six-Pillar Status, April 2026</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Where the System Stands in April 2026 — A Necessary Update</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Five Forces Shaping the Next Decade</w:t>
        </w:r>
      </w:hyperlink>
      <w:r>
        <w:tab/>
      </w:r>
      <w:r>
        <w:fldChar w:fldCharType="begin"/>
      </w:r>
      <w:r>
        <w:instrText xml:space="preserve"> PAGEREF _Toc1369 \h </w:instrText>
      </w:r>
      <w:r>
        <w:fldChar w:fldCharType="separate"/>
      </w:r>
      <w:r>
        <w:t>1</w:t>
      </w:r>
      <w:r>
        <w:fldChar w:fldCharType="end"/>
      </w:r>
    </w:p>
    <w:p>
      <w:pPr>
        <w:pStyle w:val="TOC2"/>
      </w:pPr>
      <w:hyperlink w:anchor="_Toc1375">
        <w:r>
          <w:t xml:space="preserve">The Six-Pillar Forecast: 2026–2035</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Vermont’s Ten-Year Trajectory: Two Scenarios</w:t>
        </w:r>
      </w:hyperlink>
      <w:r>
        <w:tab/>
      </w:r>
      <w:r>
        <w:fldChar w:fldCharType="begin"/>
      </w:r>
      <w:r>
        <w:instrText xml:space="preserve"> PAGEREF _Toc1376 \h </w:instrText>
      </w:r>
      <w:r>
        <w:fldChar w:fldCharType="separate"/>
      </w:r>
      <w:r>
        <w:t>1</w:t>
      </w:r>
      <w:r>
        <w:fldChar w:fldCharType="end"/>
      </w:r>
    </w:p>
    <w:p>
      <w:pPr>
        <w:pStyle w:val="TOC2"/>
      </w:pPr>
      <w:hyperlink w:anchor="_Toc1379">
        <w:r>
          <w:t xml:space="preserve">Vermont as National Template — The Decisions That Will Determine Outcomes</w:t>
        </w:r>
      </w:hyperlink>
      <w:r>
        <w:tab/>
      </w:r>
      <w:r>
        <w:fldChar w:fldCharType="begin"/>
      </w:r>
      <w:r>
        <w:instrText xml:space="preserve"> PAGEREF _Toc1379 \h </w:instrText>
      </w:r>
      <w:r>
        <w:fldChar w:fldCharType="separate"/>
      </w:r>
      <w:r>
        <w:t>1</w:t>
      </w:r>
      <w:r>
        <w:fldChar w:fldCharType="end"/>
      </w:r>
    </w:p>
    <w:p>
      <w:pPr>
        <w:pStyle w:val="TOC2"/>
      </w:pPr>
      <w:hyperlink w:anchor="_Toc1380">
        <w:r>
          <w:t xml:space="preserve">A Closing Note: What This Book Is Betting On</w:t>
        </w:r>
      </w:hyperlink>
      <w:r>
        <w:tab/>
      </w:r>
      <w:r>
        <w:fldChar w:fldCharType="begin"/>
      </w:r>
      <w:r>
        <w:instrText xml:space="preserve"> PAGEREF _Toc1380 \h </w:instrText>
      </w:r>
      <w:r>
        <w:fldChar w:fldCharType="separate"/>
      </w:r>
      <w:r>
        <w:t>1</w:t>
      </w:r>
      <w:r>
        <w:fldChar w:fldCharType="end"/>
      </w:r>
    </w:p>
    <w:p>
      <w:pPr>
        <w:pStyle w:val="TOC1"/>
      </w:pPr>
      <w:hyperlink w:anchor="_Toc1381">
        <w:r>
          <w:t xml:space="preserve">Chapter 14 — Political Sustainability: Protecting Transformation Across Election Cycles</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Why Political Sustainability Is an Analytical Problem, Not Only a Political One</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The Structural Durability of Vermont’s Reform Architecture</w:t>
        </w:r>
      </w:hyperlink>
      <w:r>
        <w:tab/>
      </w:r>
      <w:r>
        <w:fldChar w:fldCharType="begin"/>
      </w:r>
      <w:r>
        <w:instrText xml:space="preserve"> PAGEREF _Toc1383 \h </w:instrText>
      </w:r>
      <w:r>
        <w:fldChar w:fldCharType="separate"/>
      </w:r>
      <w:r>
        <w:t>1</w:t>
      </w:r>
      <w:r>
        <w:fldChar w:fldCharType="end"/>
      </w:r>
    </w:p>
    <w:p>
      <w:pPr>
        <w:pStyle w:val="TOC2"/>
      </w:pPr>
      <w:hyperlink w:anchor="_Toc1386">
        <w:r>
          <w:t xml:space="preserve">Early-Warning Signals of Political Risk</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Organizational Strategies for Political Risk Management</w:t>
        </w:r>
      </w:hyperlink>
      <w:r>
        <w:tab/>
      </w:r>
      <w:r>
        <w:fldChar w:fldCharType="begin"/>
      </w:r>
      <w:r>
        <w:instrText xml:space="preserve"> PAGEREF _Toc1387 \h </w:instrText>
      </w:r>
      <w:r>
        <w:fldChar w:fldCharType="separate"/>
      </w:r>
      <w:r>
        <w:t>1</w:t>
      </w:r>
      <w:r>
        <w:fldChar w:fldCharType="end"/>
      </w:r>
    </w:p>
    <w:p>
      <w:pPr>
        <w:pStyle w:val="TOC2"/>
      </w:pPr>
      <w:hyperlink w:anchor="_Toc1392">
        <w:r>
          <w:t xml:space="preserve">Vermont’s Reform Cascade as Political-Sustainability Architecture</w:t>
        </w:r>
      </w:hyperlink>
      <w:r>
        <w:tab/>
      </w:r>
      <w:r>
        <w:fldChar w:fldCharType="begin"/>
      </w:r>
      <w:r>
        <w:instrText xml:space="preserve"> PAGEREF _Toc1392 \h </w:instrText>
      </w:r>
      <w:r>
        <w:fldChar w:fldCharType="separate"/>
      </w:r>
      <w:r>
        <w:t>1</w:t>
      </w:r>
      <w:r>
        <w:fldChar w:fldCharType="end"/>
      </w:r>
    </w:p>
    <w:p>
      <w:pPr>
        <w:pStyle w:val="TOC1"/>
      </w:pPr>
      <w:hyperlink w:anchor="_Toc1394">
        <w:r>
          <w:t xml:space="preserve">Chapter 15 — Healthcare Transformation as Portfolio Management: Applying PMI Standards to Six-Pillar Reform</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Project-Management Gap in Healthcare Transformation</w:t>
        </w:r>
      </w:hyperlink>
      <w:r>
        <w:tab/>
      </w:r>
      <w:r>
        <w:fldChar w:fldCharType="begin"/>
      </w:r>
      <w:r>
        <w:instrText xml:space="preserve"> PAGEREF _Toc1395 \h </w:instrText>
      </w:r>
      <w:r>
        <w:fldChar w:fldCharType="separate"/>
      </w:r>
      <w:r>
        <w:t>1</w:t>
      </w:r>
      <w:r>
        <w:fldChar w:fldCharType="end"/>
      </w:r>
    </w:p>
    <w:p>
      <w:pPr>
        <w:pStyle w:val="TOC2"/>
      </w:pPr>
      <w:hyperlink w:anchor="_Toc1396">
        <w:r>
          <w:t xml:space="preserve">Project, Program, and Portfolio: Getting the Levels Right</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Vermont’s Transformation Portfolio: 19 Components</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The Case for a Portfolio Manager</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Pillar-Level Project Managers: Six Roles, One Framework</w:t>
        </w:r>
      </w:hyperlink>
      <w:r>
        <w:tab/>
      </w:r>
      <w:r>
        <w:fldChar w:fldCharType="begin"/>
      </w:r>
      <w:r>
        <w:instrText xml:space="preserve"> PAGEREF _Toc1399 \h </w:instrText>
      </w:r>
      <w:r>
        <w:fldChar w:fldCharType="separate"/>
      </w:r>
      <w:r>
        <w:t>1</w:t>
      </w:r>
      <w:r>
        <w:fldChar w:fldCharType="end"/>
      </w:r>
    </w:p>
    <w:p>
      <w:pPr>
        <w:pStyle w:val="TOC2"/>
      </w:pPr>
      <w:hyperlink w:anchor="_Toc1400">
        <w:r>
          <w:t xml:space="preserve">Governance Architecture and the Ten Knowledge Areas</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Predictive vs. Adaptive Approaches</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The Portfolio Risk Register</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Benefits Realization: Connecting the PMO to Act 167’s Five Goals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Business Case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Implementation Roadmap</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Answering the Four Objections</w:t>
        </w:r>
      </w:hyperlink>
      <w:r>
        <w:tab/>
      </w:r>
      <w:r>
        <w:fldChar w:fldCharType="begin"/>
      </w:r>
      <w:r>
        <w:instrText xml:space="preserve"> PAGEREF _Toc1406 \h </w:instrText>
      </w:r>
      <w:r>
        <w:fldChar w:fldCharType="separate"/>
      </w:r>
      <w:r>
        <w:t>1</w:t>
      </w:r>
      <w:r>
        <w:fldChar w:fldCharType="end"/>
      </w:r>
    </w:p>
    <w:p>
      <w:pPr>
        <w:pStyle w:val="TOC1"/>
      </w:pPr>
      <w:hyperlink w:anchor="_Toc1408">
        <w:r>
          <w:t xml:space="preserve">Chapter 16 — The AHS Restructuring Roadmap: A Six-Pillar Framework for System Architects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Statutory Mandate — What Act 68 Actually Requires AHS to Do</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The Organizational Diagnosis — Why AHS Must Restructure, Not Just Plan</w:t>
        </w:r>
      </w:hyperlink>
      <w:r>
        <w:tab/>
      </w:r>
      <w:r>
        <w:fldChar w:fldCharType="begin"/>
      </w:r>
      <w:r>
        <w:instrText xml:space="preserve"> PAGEREF _Toc1410 \h </w:instrText>
      </w:r>
      <w:r>
        <w:fldChar w:fldCharType="separate"/>
      </w:r>
      <w:r>
        <w:t>1</w:t>
      </w:r>
      <w:r>
        <w:fldChar w:fldCharType="end"/>
      </w:r>
    </w:p>
    <w:p>
      <w:pPr>
        <w:pStyle w:val="TOC2"/>
      </w:pPr>
      <w:hyperlink w:anchor="_Toc1412">
        <w:r>
          <w:t xml:space="preserve">The Redesigned AHS Operating Model — A Population Health System Operator</w:t>
        </w:r>
      </w:hyperlink>
      <w:r>
        <w:tab/>
      </w:r>
      <w:r>
        <w:fldChar w:fldCharType="begin"/>
      </w:r>
      <w:r>
        <w:instrText xml:space="preserve"> PAGEREF _Toc1412 \h </w:instrText>
      </w:r>
      <w:r>
        <w:fldChar w:fldCharType="separate"/>
      </w:r>
      <w:r>
        <w:t>1</w:t>
      </w:r>
      <w:r>
        <w:fldChar w:fldCharType="end"/>
      </w:r>
    </w:p>
    <w:p>
      <w:pPr>
        <w:pStyle w:val="TOC2"/>
      </w:pPr>
      <w:hyperlink w:anchor="_Toc1416">
        <w:r>
          <w:t xml:space="preserve">The Six-Pillar Framework Applied to AHS’s Mandate</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AHS Restructuring Implementation Timeline</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A Framework for the 2028 Statewide Strategic Plan</w:t>
        </w:r>
      </w:hyperlink>
      <w:r>
        <w:tab/>
      </w:r>
      <w:r>
        <w:fldChar w:fldCharType="begin"/>
      </w:r>
      <w:r>
        <w:instrText xml:space="preserve"> PAGEREF _Toc1418 \h </w:instrText>
      </w:r>
      <w:r>
        <w:fldChar w:fldCharType="separate"/>
      </w:r>
      <w:r>
        <w:t>1</w:t>
      </w:r>
      <w:r>
        <w:fldChar w:fldCharType="end"/>
      </w:r>
    </w:p>
    <w:p>
      <w:pPr>
        <w:pStyle w:val="TOC2"/>
      </w:pPr>
      <w:hyperlink w:anchor="_Toc1420">
        <w:r>
          <w:t xml:space="preserve">Vermont as National Template — Why This Restructuring Matters Beyond Vermont</w:t>
        </w:r>
      </w:hyperlink>
      <w:r>
        <w:tab/>
      </w:r>
      <w:r>
        <w:fldChar w:fldCharType="begin"/>
      </w:r>
      <w:r>
        <w:instrText xml:space="preserve"> PAGEREF _Toc1420 \h </w:instrText>
      </w:r>
      <w:r>
        <w:fldChar w:fldCharType="separate"/>
      </w:r>
      <w:r>
        <w:t>1</w:t>
      </w:r>
      <w:r>
        <w:fldChar w:fldCharType="end"/>
      </w:r>
    </w:p>
    <w:p>
      <w:pPr>
        <w:pStyle w:val="TOC1"/>
      </w:pPr>
      <w:hyperlink w:anchor="_Toc1422">
        <w:r>
          <w:t xml:space="preserve">Conclusion — What Vermont Proves, and What Remains to Be Proven</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What Failure Actually Looks Like</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The Three Decisions That Are Not Yet Made</w:t>
        </w:r>
      </w:hyperlink>
      <w:r>
        <w:tab/>
      </w:r>
      <w:r>
        <w:fldChar w:fldCharType="begin"/>
      </w:r>
      <w:r>
        <w:instrText xml:space="preserve"> PAGEREF _Toc1424 \h </w:instrText>
      </w:r>
      <w:r>
        <w:fldChar w:fldCharType="separate"/>
      </w:r>
      <w:r>
        <w:t>1</w:t>
      </w:r>
      <w:r>
        <w:fldChar w:fldCharType="end"/>
      </w:r>
    </w:p>
    <w:p>
      <w:pPr>
        <w:pStyle w:val="TOC2"/>
      </w:pPr>
      <w:hyperlink w:anchor="_Toc1428">
        <w:r>
          <w:t xml:space="preserve">What Vermont Has Proved — As of April 2026</w:t>
        </w:r>
      </w:hyperlink>
      <w:r>
        <w:tab/>
      </w:r>
      <w:r>
        <w:fldChar w:fldCharType="begin"/>
      </w:r>
      <w:r>
        <w:instrText xml:space="preserve"> PAGEREF _Toc1428 \h </w:instrText>
      </w:r>
      <w:r>
        <w:fldChar w:fldCharType="separate"/>
      </w:r>
      <w:r>
        <w:t>1</w:t>
      </w:r>
      <w:r>
        <w:fldChar w:fldCharType="end"/>
      </w:r>
    </w:p>
    <w:p>
      <w:pPr>
        <w:pStyle w:val="TOC2"/>
      </w:pPr>
      <w:hyperlink w:anchor="_Toc1429">
        <w:r>
          <w:t xml:space="preserve">The People This Book Cannot Reach</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The Call</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Key Concepts</w:t>
        </w:r>
      </w:hyperlink>
      <w:r>
        <w:tab/>
      </w:r>
      <w:r>
        <w:fldChar w:fldCharType="begin"/>
      </w:r>
      <w:r>
        <w:instrText xml:space="preserve"> PAGEREF _Toc1431 \h </w:instrText>
      </w:r>
      <w:r>
        <w:fldChar w:fldCharType="separate"/>
      </w:r>
      <w:r>
        <w:t>1</w:t>
      </w:r>
      <w:r>
        <w:fldChar w:fldCharType="end"/>
      </w:r>
    </w:p>
    <w:p>
      <w:pPr>
        <w:pStyle w:val="TOC1"/>
      </w:pPr>
      <w:hyperlink w:anchor="_Toc1432">
        <w:r>
          <w:t xml:space="preserve">Appendix A — Vermont System Portrait</w:t>
        </w:r>
      </w:hyperlink>
      <w:r>
        <w:tab/>
      </w:r>
      <w:r>
        <w:fldChar w:fldCharType="begin"/>
      </w:r>
      <w:r>
        <w:instrText xml:space="preserve"> PAGEREF _Toc1432 \h </w:instrText>
      </w:r>
      <w:r>
        <w:fldChar w:fldCharType="separate"/>
      </w:r>
      <w:r>
        <w:t>1</w:t>
      </w:r>
      <w:r>
        <w:fldChar w:fldCharType="end"/>
      </w:r>
    </w:p>
    <w:p>
      <w:pPr>
        <w:pStyle w:val="TOC2"/>
      </w:pPr>
      <w:hyperlink w:anchor="_Toc1433">
        <w:r>
          <w:t xml:space="preserve">A.1 Vermont: The State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A.2 Demographics and Population Projections</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A.3 Regulatory Architecture: The Green Mountain Care Board</w:t>
        </w:r>
      </w:hyperlink>
      <w:r>
        <w:tab/>
      </w:r>
      <w:r>
        <w:fldChar w:fldCharType="begin"/>
      </w:r>
      <w:r>
        <w:instrText xml:space="preserve"> PAGEREF _Toc1435 \h </w:instrText>
      </w:r>
      <w:r>
        <w:fldChar w:fldCharType="separate"/>
      </w:r>
      <w:r>
        <w:t>1</w:t>
      </w:r>
      <w:r>
        <w:fldChar w:fldCharType="end"/>
      </w:r>
    </w:p>
    <w:p>
      <w:pPr>
        <w:pStyle w:val="TOC2"/>
      </w:pPr>
      <w:hyperlink w:anchor="_Toc1436">
        <w:r>
          <w:t xml:space="preserve">A.4 The Hospital System</w:t>
        </w:r>
      </w:hyperlink>
      <w:r>
        <w:tab/>
      </w:r>
      <w:r>
        <w:fldChar w:fldCharType="begin"/>
      </w:r>
      <w:r>
        <w:instrText xml:space="preserve"> PAGEREF _Toc1436 \h </w:instrText>
      </w:r>
      <w:r>
        <w:fldChar w:fldCharType="separate"/>
      </w:r>
      <w:r>
        <w:t>1</w:t>
      </w:r>
      <w:r>
        <w:fldChar w:fldCharType="end"/>
      </w:r>
    </w:p>
    <w:p>
      <w:pPr>
        <w:pStyle w:val="TOC2"/>
      </w:pPr>
      <w:hyperlink w:anchor="_Toc1439">
        <w:r>
          <w:t xml:space="preserve">A.5 The Transformation Plans: A System in Motion</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A.6 The Insurance and Premium Crisis</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A.7 Healthcare Workforce</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A.8 Clinical Quality Indicators</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B — Act 68 Statutory Timeline and Milestones</w:t>
        </w:r>
      </w:hyperlink>
      <w:r>
        <w:tab/>
      </w:r>
      <w:r>
        <w:fldChar w:fldCharType="begin"/>
      </w:r>
      <w:r>
        <w:instrText xml:space="preserve"> PAGEREF _Toc1443 \h </w:instrText>
      </w:r>
      <w:r>
        <w:fldChar w:fldCharType="separate"/>
      </w:r>
      <w:r>
        <w:t>1</w:t>
      </w:r>
      <w:r>
        <w:fldChar w:fldCharType="end"/>
      </w:r>
    </w:p>
    <w:p>
      <w:pPr>
        <w:pStyle w:val="TOC1"/>
      </w:pPr>
      <w:hyperlink w:anchor="_Toc1445">
        <w:r>
          <w:t xml:space="preserve">Appendix C — The 14-Hospital Centers of Excellence Assignment Framework</w:t>
        </w:r>
      </w:hyperlink>
      <w:r>
        <w:tab/>
      </w:r>
      <w:r>
        <w:fldChar w:fldCharType="begin"/>
      </w:r>
      <w:r>
        <w:instrText xml:space="preserve"> PAGEREF _Toc1445 \h </w:instrText>
      </w:r>
      <w:r>
        <w:fldChar w:fldCharType="separate"/>
      </w:r>
      <w:r>
        <w:t>1</w:t>
      </w:r>
      <w:r>
        <w:fldChar w:fldCharType="end"/>
      </w:r>
    </w:p>
    <w:p>
      <w:pPr>
        <w:pStyle w:val="TOC1"/>
      </w:pPr>
      <w:hyperlink w:anchor="_Toc1446">
        <w:r>
          <w:t xml:space="preserve">Appendix D — AHEAD State Agreement: Key Terms and Provisions</w:t>
        </w:r>
      </w:hyperlink>
      <w:r>
        <w:tab/>
      </w:r>
      <w:r>
        <w:fldChar w:fldCharType="begin"/>
      </w:r>
      <w:r>
        <w:instrText xml:space="preserve"> PAGEREF _Toc1446 \h </w:instrText>
      </w:r>
      <w:r>
        <w:fldChar w:fldCharType="separate"/>
      </w:r>
      <w:r>
        <w:t>1</w:t>
      </w:r>
      <w:r>
        <w:fldChar w:fldCharType="end"/>
      </w:r>
    </w:p>
    <w:p>
      <w:pPr>
        <w:pStyle w:val="TOC1"/>
      </w:pPr>
      <w:hyperlink w:anchor="_Toc1447">
        <w:r>
          <w:t xml:space="preserve">Appendix E — HTR Platform Tools and Methodology Overview</w:t>
        </w:r>
      </w:hyperlink>
      <w:r>
        <w:tab/>
      </w:r>
      <w:r>
        <w:fldChar w:fldCharType="begin"/>
      </w:r>
      <w:r>
        <w:instrText xml:space="preserve"> PAGEREF _Toc1447 \h </w:instrText>
      </w:r>
      <w:r>
        <w:fldChar w:fldCharType="separate"/>
      </w:r>
      <w:r>
        <w:t>1</w:t>
      </w:r>
      <w:r>
        <w:fldChar w:fldCharType="end"/>
      </w:r>
    </w:p>
    <w:p>
      <w:pPr>
        <w:pStyle w:val="TOC1"/>
      </w:pPr>
      <w:hyperlink w:anchor="_Toc1448">
        <w:r>
          <w:t xml:space="preserve">Appendix F — Vermont Transformation Scorecard: 2022 Baseline, 2026 Status, 2028 Target</w:t>
        </w:r>
      </w:hyperlink>
      <w:r>
        <w:tab/>
      </w:r>
      <w:r>
        <w:fldChar w:fldCharType="begin"/>
      </w:r>
      <w:r>
        <w:instrText xml:space="preserve"> PAGEREF _Toc1448 \h </w:instrText>
      </w:r>
      <w:r>
        <w:fldChar w:fldCharType="separate"/>
      </w:r>
      <w:r>
        <w:t>1</w:t>
      </w:r>
      <w:r>
        <w:fldChar w:fldCharType="end"/>
      </w:r>
    </w:p>
    <w:p>
      <w:pPr>
        <w:pStyle w:val="TOC1"/>
      </w:pPr>
      <w:hyperlink w:anchor="_Toc1455">
        <w:r>
          <w:t xml:space="preserve">Appendix G — A Reader’s Guide to the Health Transformation Review Platform</w:t>
        </w:r>
      </w:hyperlink>
      <w:r>
        <w:tab/>
      </w:r>
      <w:r>
        <w:fldChar w:fldCharType="begin"/>
      </w:r>
      <w:r>
        <w:instrText xml:space="preserve"> PAGEREF _Toc1455 \h </w:instrText>
      </w:r>
      <w:r>
        <w:fldChar w:fldCharType="separate"/>
      </w:r>
      <w:r>
        <w:t>1</w:t>
      </w:r>
      <w:r>
        <w:fldChar w:fldCharType="end"/>
      </w:r>
    </w:p>
    <w:p>
      <w:pPr>
        <w:pStyle w:val="TOC2"/>
      </w:pPr>
      <w:hyperlink w:anchor="_Toc1456">
        <w:r>
          <w:t xml:space="preserve">What This Platform Is</w:t>
        </w:r>
      </w:hyperlink>
      <w:r>
        <w:tab/>
      </w:r>
      <w:r>
        <w:fldChar w:fldCharType="begin"/>
      </w:r>
      <w:r>
        <w:instrText xml:space="preserve"> PAGEREF _Toc1456 \h </w:instrText>
      </w:r>
      <w:r>
        <w:fldChar w:fldCharType="separate"/>
      </w:r>
      <w:r>
        <w:t>1</w:t>
      </w:r>
      <w:r>
        <w:fldChar w:fldCharType="end"/>
      </w:r>
    </w:p>
    <w:p>
      <w:pPr>
        <w:pStyle w:val="TOC2"/>
      </w:pPr>
      <w:hyperlink w:anchor="_Toc1457">
        <w:r>
          <w:t xml:space="preserve">Navigating the Platform</w:t>
        </w:r>
      </w:hyperlink>
      <w:r>
        <w:tab/>
      </w:r>
      <w:r>
        <w:fldChar w:fldCharType="begin"/>
      </w:r>
      <w:r>
        <w:instrText xml:space="preserve"> PAGEREF _Toc1457 \h </w:instrText>
      </w:r>
      <w:r>
        <w:fldChar w:fldCharType="separate"/>
      </w:r>
      <w:r>
        <w:t>1</w:t>
      </w:r>
      <w:r>
        <w:fldChar w:fldCharType="end"/>
      </w:r>
    </w:p>
    <w:p>
      <w:pPr>
        <w:pStyle w:val="TOC2"/>
      </w:pPr>
      <w:hyperlink w:anchor="_Toc1458">
        <w:r>
          <w:t xml:space="preserve">The Six Pillars of Intelligence</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The Academy</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The Research Lab</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States &amp; Programs</w:t>
        </w:r>
      </w:hyperlink>
      <w:r>
        <w:tab/>
      </w:r>
      <w:r>
        <w:fldChar w:fldCharType="begin"/>
      </w:r>
      <w:r>
        <w:instrText xml:space="preserve"> PAGEREF _Toc1461 \h </w:instrText>
      </w:r>
      <w:r>
        <w:fldChar w:fldCharType="separate"/>
      </w:r>
      <w:r>
        <w:t>1</w:t>
      </w:r>
      <w:r>
        <w:fldChar w:fldCharType="end"/>
      </w:r>
    </w:p>
    <w:p>
      <w:pPr>
        <w:pStyle w:val="TOC2"/>
      </w:pPr>
      <w:hyperlink w:anchor="_Toc1462">
        <w:r>
          <w:t xml:space="preserve">Advisory &amp; Services and the AI Analyst</w:t>
        </w:r>
      </w:hyperlink>
      <w:r>
        <w:tab/>
      </w:r>
      <w:r>
        <w:fldChar w:fldCharType="begin"/>
      </w:r>
      <w:r>
        <w:instrText xml:space="preserve"> PAGEREF _Toc1462 \h </w:instrText>
      </w:r>
      <w:r>
        <w:fldChar w:fldCharType="separate"/>
      </w:r>
      <w:r>
        <w:t>1</w:t>
      </w:r>
      <w:r>
        <w:fldChar w:fldCharType="end"/>
      </w:r>
    </w:p>
    <w:p>
      <w:pPr>
        <w:pStyle w:val="TOC2"/>
      </w:pPr>
      <w:hyperlink w:anchor="_Toc1463">
        <w:r>
          <w:t xml:space="preserve">Reader Profiles and Recommended Paths</w:t>
        </w:r>
      </w:hyperlink>
      <w:r>
        <w:tab/>
      </w:r>
      <w:r>
        <w:fldChar w:fldCharType="begin"/>
      </w:r>
      <w:r>
        <w:instrText xml:space="preserve"> PAGEREF _Toc1463 \h </w:instrText>
      </w:r>
      <w:r>
        <w:fldChar w:fldCharType="separate"/>
      </w:r>
      <w:r>
        <w:t>1</w:t>
      </w:r>
      <w:r>
        <w:fldChar w:fldCharType="end"/>
      </w:r>
    </w:p>
    <w:p>
      <w:pPr>
        <w:pStyle w:val="TOC1"/>
      </w:pPr>
      <w:hyperlink w:anchor="_Toc1464">
        <w:r>
          <w:t xml:space="preserve">Appendix H — Adapting and Stress-Testing the Framework</w:t>
        </w:r>
      </w:hyperlink>
      <w:r>
        <w:tab/>
      </w:r>
      <w:r>
        <w:fldChar w:fldCharType="begin"/>
      </w:r>
      <w:r>
        <w:instrText xml:space="preserve"> PAGEREF _Toc1464 \h </w:instrText>
      </w:r>
      <w:r>
        <w:fldChar w:fldCharType="separate"/>
      </w:r>
      <w:r>
        <w:t>1</w:t>
      </w:r>
      <w:r>
        <w:fldChar w:fldCharType="end"/>
      </w:r>
    </w:p>
    <w:p>
      <w:pPr>
        <w:pStyle w:val="TOC2"/>
      </w:pPr>
      <w:hyperlink w:anchor="_Toc1465">
        <w:r>
          <w:t xml:space="preserve">H.1 Glossary of Vermont-Specific Acronyms and Institutions</w:t>
        </w:r>
      </w:hyperlink>
      <w:r>
        <w:tab/>
      </w:r>
      <w:r>
        <w:fldChar w:fldCharType="begin"/>
      </w:r>
      <w:r>
        <w:instrText xml:space="preserve"> PAGEREF _Toc1465 \h </w:instrText>
      </w:r>
      <w:r>
        <w:fldChar w:fldCharType="separate"/>
      </w:r>
      <w:r>
        <w:t>1</w:t>
      </w:r>
      <w:r>
        <w:fldChar w:fldCharType="end"/>
      </w:r>
    </w:p>
    <w:p>
      <w:pPr>
        <w:pStyle w:val="TOC2"/>
      </w:pPr>
      <w:hyperlink w:anchor="_Toc1466">
        <w:r>
          <w:t xml:space="preserve">H.2 Worksheet — Adapt This Framework to Your State</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H.3 The Transition Window — Financing FY2027–2030</w:t>
        </w:r>
      </w:hyperlink>
      <w:r>
        <w:tab/>
      </w:r>
      <w:r>
        <w:fldChar w:fldCharType="begin"/>
      </w:r>
      <w:r>
        <w:instrText xml:space="preserve"> PAGEREF _Toc1467 \h </w:instrText>
      </w:r>
      <w:r>
        <w:fldChar w:fldCharType="separate"/>
      </w:r>
      <w:r>
        <w:t>1</w:t>
      </w:r>
      <w:r>
        <w:fldChar w:fldCharType="end"/>
      </w:r>
    </w:p>
    <w:p>
      <w:pPr>
        <w:pStyle w:val="TOC2"/>
      </w:pPr>
      <w:hyperlink w:anchor="_Toc1470">
        <w:r>
          <w:t xml:space="preserve">H.4 Two Clocks — Reconciling Act 68 and AHEAD Cohort 2 Timelines</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H.5 Enforcement Mechanics — What “Mandatory” Means in Practice</w:t>
        </w:r>
      </w:hyperlink>
      <w:r>
        <w:tab/>
      </w:r>
      <w:r>
        <w:fldChar w:fldCharType="begin"/>
      </w:r>
      <w:r>
        <w:instrText xml:space="preserve"> PAGEREF _Toc1471 \h </w:instrText>
      </w:r>
      <w:r>
        <w:fldChar w:fldCharType="separate"/>
      </w:r>
      <w:r>
        <w:t>1</w:t>
      </w:r>
      <w:r>
        <w:fldChar w:fldCharType="end"/>
      </w:r>
    </w:p>
    <w:p>
      <w:pPr>
        <w:pStyle w:val="TOC1"/>
      </w:pPr>
      <w:hyperlink w:anchor="_Toc1474">
        <w:r>
          <w:t xml:space="preserve">Appendix I — The HTR Lab Workbook: A Six-Pillar Practicum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How to Use This Workbook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Stage 1 — Policy: Establish the Mandate</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Stage 2 — Technology: Build the Substrate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Stage 3 — Economics: Put Incentives on a Visible System</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Stage 4 — Clinical: Redesign Care on Aligned Incentives</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Stage 5 — Equity: Calibrate for the Gap, Not the Average</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Stage 6 — Operations: Close the Execution Gap</w:t>
        </w:r>
      </w:hyperlink>
      <w:r>
        <w:tab/>
      </w:r>
      <w:r>
        <w:fldChar w:fldCharType="begin"/>
      </w:r>
      <w:r>
        <w:instrText xml:space="preserve"> PAGEREF _Toc1481 \h </w:instrText>
      </w:r>
      <w:r>
        <w:fldChar w:fldCharType="separate"/>
      </w:r>
      <w:r>
        <w:t>1</w:t>
      </w:r>
      <w:r>
        <w:fldChar w:fldCharType="end"/>
      </w:r>
    </w:p>
    <w:p>
      <w:pPr>
        <w:pStyle w:val="TOC1"/>
      </w:pPr>
      <w:hyperlink w:anchor="_Toc1482">
        <w:r>
          <w:t xml:space="preserve">Figure Index</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Bibliography and Source Notes</w:t>
        </w:r>
      </w:hyperlink>
      <w:r>
        <w:tab/>
      </w:r>
      <w:r>
        <w:fldChar w:fldCharType="begin"/>
      </w:r>
      <w:r>
        <w:instrText xml:space="preserve"> PAGEREF _Toc1483 \h </w:instrText>
      </w:r>
      <w:r>
        <w:fldChar w:fldCharType="separate"/>
      </w:r>
      <w:r>
        <w:t>1</w:t>
      </w:r>
      <w:r>
        <w:fldChar w:fldCharType="end"/>
      </w:r>
    </w:p>
    <w:p>
      <w:pPr>
        <w:pStyle w:val="TOC1"/>
      </w:pPr>
      <w:hyperlink w:anchor="_Toc1484">
        <w:r>
          <w:t xml:space="preserve">Index (Selected)</w:t>
        </w:r>
      </w:hyperlink>
      <w:r>
        <w:tab/>
      </w:r>
      <w:r>
        <w:fldChar w:fldCharType="begin"/>
      </w:r>
      <w:r>
        <w:instrText xml:space="preserve"> PAGEREF _Toc1484 \h </w:instrText>
      </w:r>
      <w:r>
        <w:fldChar w:fldCharType="separate"/>
      </w:r>
      <w:r>
        <w:t>1</w:t>
      </w:r>
      <w:r>
        <w:fldChar w:fldCharType="end"/>
      </w:r>
      <w:r>
        <w:fldChar w:fldCharType="end"/>
      </w:r>
    </w:p>
    <w:p>
      <w:pPr>
        <w:sectPr>
          <w:pgSz w:w="12240" w:h="15840" w:orient="portrait"/>
          <w:pgMar w:top="1296" w:bottom="1296" w:left="1584" w:right="1584" w:header="648" w:footer="648" w:gutter="0"/>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the evidence on both sides where the evidence genuinely runs in two directions.</w:t>
      </w:r>
    </w:p>
    <w:p>
      <w:pPr>
        <w:pStyle w:val="BodyText"/>
      </w:pPr>
      <w:r>
        <w:t xml:space="preserve">It is organized around the six-pillar framework: Policy, Technology, Economics, Clinical, Equity, and Operations. This framework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Green Mountain Care Board has produced a documentary record — the Oliver Wyman analysis, the GMCB’s monthly hospital data, the AHS transformation reports, the AHEAD State Agreement — that gives this book a foundation most states cannot match. Vermont’s transformation is happening in public, with detailed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a word about what this book</w:t>
      </w:r>
      <w:r>
        <w:t xml:space="preserve"> </w:t>
      </w:r>
      <w:r>
        <w:rPr>
          <w:i/>
          <w:iCs/>
        </w:rPr>
        <w:t xml:space="preserve">is</w:t>
      </w:r>
      <w:r>
        <w:t xml:space="preserve"> </w:t>
      </w:r>
      <w:r>
        <w:t xml:space="preserve">— because it is not, on its own, the whole of the argument. This book is the intellectual foundation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an integrated ecosystem with three parts that are designed to work as one:</w:t>
      </w:r>
    </w:p>
    <w:p>
      <w:pPr>
        <w:pStyle w:val="Compact"/>
        <w:numPr>
          <w:ilvl w:val="0"/>
          <w:numId w:val="1001"/>
        </w:numPr>
        <w:keepLines w:val="true"/>
        <w:keepNext w:val="true"/>
      </w:pPr>
      <w:r>
        <w:rPr>
          <w:b/>
          <w:bCs/>
        </w:rPr>
        <w:t xml:space="preserve">The book</w:t>
      </w:r>
      <w:r>
        <w:t xml:space="preserve"> </w:t>
      </w:r>
      <w:r>
        <w:t xml:space="preserve">you are reading — the framework, the dependency logic, the Vermont evidence, and the national comparisons.</w:t>
      </w:r>
    </w:p>
    <w:p>
      <w:pPr>
        <w:pStyle w:val="Compact"/>
        <w:numPr>
          <w:ilvl w:val="0"/>
          <w:numId w:val="1001"/>
        </w:numPr>
        <w:keepLines w:val="true"/>
        <w:keepNext w:val="true"/>
      </w:pPr>
      <w:r>
        <w:rPr>
          <w:b/>
          <w:bCs/>
        </w:rPr>
        <w:t xml:space="preserve">The platform</w:t>
      </w:r>
      <w:r>
        <w:t xml:space="preserve"> </w:t>
      </w:r>
      <w:r>
        <w:t xml:space="preserve">(</w:t>
      </w:r>
      <w:hyperlink r:id="rId20">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two dozen interactive analytical tools, an</w:t>
      </w:r>
      <w:r>
        <w:t xml:space="preserve"> </w:t>
      </w:r>
      <w:r>
        <w:rPr>
          <w:b/>
          <w:bCs/>
        </w:rPr>
        <w:t xml:space="preserve">AI Analyst</w:t>
      </w:r>
      <w:r>
        <w:t xml:space="preserve"> </w:t>
      </w:r>
      <w:r>
        <w:t xml:space="preserve">grounded in this book and Vermont’s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Lines w:val="true"/>
      </w:pPr>
      <w:r>
        <w:rPr>
          <w:b/>
          <w:bCs/>
        </w:rPr>
        <w:t xml:space="preserve">The Academy</w:t>
      </w:r>
      <w:r>
        <w:t xml:space="preserve"> </w:t>
      </w:r>
      <w:r>
        <w:t xml:space="preserve">(</w:t>
      </w:r>
      <w:hyperlink r:id="rId21">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0">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2">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1">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twenty chapters.</w:t>
      </w:r>
    </w:p>
    <w:p>
      <w:pPr>
        <w:pStyle w:val="BodyText"/>
      </w:pPr>
      <w:r>
        <w:t xml:space="preserve">April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break.</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thirty years.</w:t>
      </w:r>
    </w:p>
    <w:p>
      <w:pPr>
        <w:pStyle w:val="BodyText"/>
      </w:pPr>
      <w:r>
        <w:t xml:space="preserve">Vermont’s answer, enacted in Acts 167, 51, and 68 and partially funded by the federal government, is the subject of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from inside that transformation. Not as a retrospective account of a completed success, but as an analytical framework for a transformation in progress — with all the uncertainty, difficulty,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Appendix H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Appendix H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pPr>
      <w:bookmarkStart w:id="1017" w:name="_Toc1016"/>
      <w:r>
        <w:rPr>
          <w:b/>
          <w:bCs/>
          <w:color w:val="161B22"/>
        </w:rPr>
        <w:t xml:space="preserve">The HTR Ecosystem: How the Book, the Platform, and the Academy Work Together</w:t>
      </w:r>
      <w:bookmarkEnd w:id="1017"/>
    </w:p>
    <w:p>
      <w:pPr>
        <w:pStyle w:val="FirstParagraph"/>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0">
        <w:r>
          <w:rPr>
            <w:rStyle w:val="Hyperlink"/>
          </w:rPr>
          <w:t xml:space="preserve">healthtransformationreview.org</w:t>
        </w:r>
      </w:hyperlink>
      <w:r>
        <w:t xml:space="preserve">) and Academy (</w:t>
      </w:r>
      <w:hyperlink r:id="rId21">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autofit"/>
      </w:tblPr>
      <w:tblGrid>
        <w:gridCol w:w="824"/>
        <w:gridCol w:w="4123"/>
        <w:gridCol w:w="4123"/>
      </w:tblGrid>
      <w:tr>
        <w:trPr>
          <w:tblHeader w:val="on"/>
          <w:cantSplit/>
        </w:trPr>
        <w:tc>
          <w:tcPr>
            <w:shd w:val="clear" w:color="auto" w:fill="1B3A6B"/>
            <w:tcW w:w="824" w:type="dxa"/>
          </w:tcPr>
          <w:p>
            <w:pPr>
              <w:pStyle w:val="Compact"/>
              <w:jc w:val="left"/>
            </w:pPr>
            <w:r>
              <w:rPr>
                <w:b/>
                <w:color w:val="FFFFFF"/>
                <w:sz w:val="18"/>
              </w:rPr>
              <w:t xml:space="preserve">Component</w:t>
            </w:r>
          </w:p>
        </w:tc>
        <w:tc>
          <w:tcPr>
            <w:shd w:val="clear" w:color="auto" w:fill="1B3A6B"/>
            <w:tcW w:w="4123" w:type="dxa"/>
          </w:tcPr>
          <w:p>
            <w:pPr>
              <w:pStyle w:val="Compact"/>
              <w:jc w:val="left"/>
            </w:pPr>
            <w:r>
              <w:rPr>
                <w:b/>
                <w:color w:val="FFFFFF"/>
                <w:sz w:val="18"/>
              </w:rPr>
              <w:t xml:space="preserve">What it is</w:t>
            </w:r>
          </w:p>
        </w:tc>
        <w:tc>
          <w:tcPr>
            <w:shd w:val="clear" w:color="auto" w:fill="1B3A6B"/>
            <w:tcW w:w="4123" w:type="dxa"/>
          </w:tcPr>
          <w:p>
            <w:pPr>
              <w:pStyle w:val="Compact"/>
              <w:jc w:val="left"/>
            </w:pPr>
            <w:r>
              <w:rPr>
                <w:b/>
                <w:color w:val="FFFFFF"/>
                <w:sz w:val="18"/>
              </w:rPr>
              <w:t xml:space="preserve">How it connects to the book</w:t>
            </w:r>
          </w:p>
        </w:tc>
      </w:tr>
      <w:tr>
        <w:trPr>
          <w:cantSplit/>
        </w:trPr>
        <w:tc>
          <w:tcPr>
            <w:tcW w:w="824" w:type="dxa"/>
          </w:tcPr>
          <w:p>
            <w:pPr>
              <w:pStyle w:val="Compact"/>
              <w:jc w:val="left"/>
            </w:pPr>
            <w:r>
              <w:rPr>
                <w:b/>
                <w:bCs/>
                <w:sz w:val="18"/>
              </w:rPr>
              <w:t xml:space="preserve">The Book</w:t>
            </w:r>
          </w:p>
        </w:tc>
        <w:tc>
          <w:tcPr>
            <w:tcW w:w="4123"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2">
              <w:r>
                <w:rPr>
                  <w:rStyle w:val="Hyperlink"/>
                </w:rPr>
                <w:t xml:space="preserve">/book</w:t>
              </w:r>
            </w:hyperlink>
            <w:r>
              <w:rPr>
                <w:sz w:val="18"/>
              </w:rPr>
              <w:t xml:space="preserve">.</w:t>
            </w:r>
          </w:p>
        </w:tc>
        <w:tc>
          <w:tcPr>
            <w:tcW w:w="4123" w:type="dxa"/>
          </w:tcPr>
          <w:p>
            <w:pPr>
              <w:pStyle w:val="Compact"/>
              <w:jc w:val="left"/>
            </w:pPr>
            <w:r>
              <w:rPr>
                <w:sz w:val="18"/>
              </w:rPr>
              <w:t xml:space="preserve">The intellectual foundation. Everything else is an interactive expression of it.</w:t>
            </w:r>
          </w:p>
        </w:tc>
      </w:tr>
      <w:tr>
        <w:trPr>
          <w:cantSplit/>
        </w:trPr>
        <w:tc>
          <w:tcPr>
            <w:tcW w:w="824" w:type="dxa"/>
          </w:tcPr>
          <w:p>
            <w:pPr>
              <w:pStyle w:val="Compact"/>
              <w:jc w:val="left"/>
            </w:pPr>
            <w:r>
              <w:rPr>
                <w:b/>
                <w:bCs/>
                <w:sz w:val="18"/>
              </w:rPr>
              <w:t xml:space="preserve">The Platform</w:t>
            </w:r>
          </w:p>
        </w:tc>
        <w:tc>
          <w:tcPr>
            <w:tcW w:w="4123"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two dozen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4123"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824" w:type="dxa"/>
          </w:tcPr>
          <w:p>
            <w:pPr>
              <w:pStyle w:val="Compact"/>
              <w:jc w:val="left"/>
            </w:pPr>
            <w:r>
              <w:rPr>
                <w:b/>
                <w:bCs/>
                <w:sz w:val="18"/>
              </w:rPr>
              <w:t xml:space="preserve">The Academy</w:t>
            </w:r>
          </w:p>
        </w:tc>
        <w:tc>
          <w:tcPr>
            <w:tcW w:w="4123"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1">
              <w:r>
                <w:rPr>
                  <w:rStyle w:val="Hyperlink"/>
                </w:rPr>
                <w:t xml:space="preserve">/academy</w:t>
              </w:r>
            </w:hyperlink>
            <w:r>
              <w:rPr>
                <w:sz w:val="18"/>
              </w:rPr>
              <w:t xml:space="preserve">.</w:t>
            </w:r>
          </w:p>
        </w:tc>
        <w:tc>
          <w:tcPr>
            <w:tcW w:w="4123" w:type="dxa"/>
          </w:tcPr>
          <w:p>
            <w:pPr>
              <w:pStyle w:val="Compact"/>
              <w:jc w:val="left"/>
            </w:pPr>
            <w:r>
              <w:rPr>
                <w:sz w:val="18"/>
              </w:rPr>
              <w:t xml:space="preserve">Lessons teach the book’s concepts hands-on and deep-link to the tool that applies each one.</w:t>
            </w:r>
          </w:p>
        </w:tc>
      </w:tr>
    </w:tbl>
    <w:p>
      <w:pPr>
        <w:pStyle w:val="BodyText"/>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six benches — one per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1">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1">
        <w:r>
          <w:rPr>
            <w:rStyle w:val="Hyperlink"/>
          </w:rPr>
          <w:t xml:space="preserve">Academy</w:t>
        </w:r>
      </w:hyperlink>
      <w:r>
        <w:t xml:space="preserve"> </w:t>
      </w:r>
      <w:r>
        <w:t xml:space="preserve">gives you a structured curriculum with certificates,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pBdr>
          <w:top w:val="single" w:sz="4" w:space="8" w:color="B8B8B8"/>
        </w:pBdr>
        <w:spacing w:before="360" w:after="0"/>
      </w:pPr>
      <w:r>
        <w:rPr>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defines the six pillars, maps their interdependencies, shows what cascades when any one is missing, and then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pPr>
      <w:r>
        <w:rPr>
          <w:color w:val="161B22"/>
        </w:rPr>
        <w:t xml:space="preserve">1.1  </w:t>
      </w:r>
      <w:bookmarkStart w:id="1025" w:name="_Toc1024"/>
      <w:r>
        <w:rPr>
          <w:b/>
          <w:bCs/>
          <w:color w:val="161B22"/>
        </w:rPr>
        <w:t xml:space="preserve">The Problem with Single-Pillar Thinking</w:t>
      </w:r>
      <w:bookmarkEnd w:id="1025"/>
    </w:p>
    <w:p>
      <w:pPr>
        <w:pStyle w:val="FirstParagraph"/>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attracted the attention of thousands of healthcare organizations. The results were modest. A 2023 evaluation found that the vast majority of CMMI models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Single 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three,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Six Pillars Defined</w:t>
      </w:r>
      <w:bookmarkEnd w:id="1026"/>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pPr>
      <w:r>
        <w:rPr>
          <w:b/>
          <w:bCs/>
        </w:rPr>
        <w:t xml:space="preserve">Figure 1.A</w:t>
      </w:r>
      <w:r>
        <w:t xml:space="preserve"> </w:t>
      </w:r>
      <w:r>
        <w:t xml:space="preserve">characterizes each pillar’s diagnostic function and structural role in the system — not as a repetition of the definitions above, but as a specification of what each pillar produces when functioning and what question it answers in the transformation logic.</w:t>
      </w:r>
    </w:p>
    <w:p>
      <w:pPr>
        <w:sectPr>
          <w:footerReference w:type="default" r:id="rId10"/>
          <w:pgSz w:w="12240" w:h="15840" w:orient="portrait"/>
          <w:pgMar w:top="1296" w:bottom="1296" w:left="1584" w:right="1584" w:header="648" w:footer="648" w:gutter="0"/>
          <w:pgNumType w:start="1"/>
        </w:sectPr>
      </w:pPr>
    </w:p>
    <w:tbl>
      <w:tblPr>
        <w:tblStyle w:val="HTRTable"/>
        <w:tblLook w:firstRow="1" w:lastRow="0" w:firstColumn="0" w:lastColumn="0" w:noHBand="0" w:noVBand="1" w:val="0020"/>
        <w:tblW w:w="13824" w:type="dxa"/>
        <w:tblLayout w:type="autofit"/>
      </w:tblPr>
      <w:tblGrid>
        <w:gridCol w:w="926"/>
        <w:gridCol w:w="1761"/>
        <w:gridCol w:w="5567"/>
        <w:gridCol w:w="5567"/>
      </w:tblGrid>
      <w:tr>
        <w:trPr>
          <w:tblHeader w:val="on"/>
          <w:cantSplit/>
        </w:trPr>
        <w:tc>
          <w:tcPr>
            <w:shd w:val="clear" w:color="auto" w:fill="1B3A6B"/>
            <w:tcW w:w="608" w:type="dxa"/>
          </w:tcPr>
          <w:p>
            <w:pPr>
              <w:pStyle w:val="Compact"/>
              <w:jc w:val="left"/>
            </w:pPr>
            <w:r>
              <w:rPr>
                <w:b/>
                <w:color w:val="FFFFFF"/>
                <w:sz w:val="16"/>
              </w:rPr>
              <w:t xml:space="preserve">Pillar</w:t>
            </w:r>
          </w:p>
        </w:tc>
        <w:tc>
          <w:tcPr>
            <w:shd w:val="clear" w:color="auto" w:fill="1B3A6B"/>
            <w:tcW w:w="1156" w:type="dxa"/>
          </w:tcPr>
          <w:p>
            <w:pPr>
              <w:pStyle w:val="Compact"/>
              <w:jc w:val="left"/>
            </w:pPr>
            <w:r>
              <w:rPr>
                <w:b/>
                <w:color w:val="FFFFFF"/>
                <w:sz w:val="16"/>
              </w:rPr>
              <w:t xml:space="preserve">Diagnostic question</w:t>
            </w:r>
          </w:p>
        </w:tc>
        <w:tc>
          <w:tcPr>
            <w:shd w:val="clear" w:color="auto" w:fill="1B3A6B"/>
            <w:tcW w:w="3653" w:type="dxa"/>
          </w:tcPr>
          <w:p>
            <w:pPr>
              <w:pStyle w:val="Compact"/>
              <w:jc w:val="left"/>
            </w:pPr>
            <w:r>
              <w:rPr>
                <w:b/>
                <w:color w:val="FFFFFF"/>
                <w:sz w:val="16"/>
              </w:rPr>
              <w:t xml:space="preserve">Structural role in the system</w:t>
            </w:r>
          </w:p>
        </w:tc>
        <w:tc>
          <w:tcPr>
            <w:shd w:val="clear" w:color="auto" w:fill="1B3A6B"/>
            <w:tcW w:w="3653" w:type="dxa"/>
          </w:tcPr>
          <w:p>
            <w:pPr>
              <w:pStyle w:val="Compact"/>
              <w:jc w:val="left"/>
            </w:pPr>
            <w:r>
              <w:rPr>
                <w:b/>
                <w:color w:val="FFFFFF"/>
                <w:sz w:val="16"/>
              </w:rPr>
              <w:t xml:space="preserve">What it produces when functioning</w:t>
            </w:r>
          </w:p>
        </w:tc>
      </w:tr>
      <w:tr>
        <w:trPr>
          <w:cantSplit/>
        </w:trPr>
        <w:tc>
          <w:tcPr>
            <w:tcW w:w="608" w:type="dxa"/>
          </w:tcPr>
          <w:p>
            <w:pPr>
              <w:pStyle w:val="Compact"/>
              <w:jc w:val="left"/>
            </w:pPr>
            <w:r>
              <w:rPr>
                <w:b/>
                <w:bCs/>
                <w:sz w:val="16"/>
              </w:rPr>
              <w:t xml:space="preserve">Policy</w:t>
            </w:r>
          </w:p>
        </w:tc>
        <w:tc>
          <w:tcPr>
            <w:tcW w:w="1156" w:type="dxa"/>
          </w:tcPr>
          <w:p>
            <w:pPr>
              <w:pStyle w:val="Compact"/>
              <w:jc w:val="left"/>
            </w:pPr>
            <w:r>
              <w:rPr>
                <w:sz w:val="16"/>
              </w:rPr>
              <w:t xml:space="preserve">Is it permissible?</w:t>
            </w:r>
          </w:p>
        </w:tc>
        <w:tc>
          <w:tcPr>
            <w:tcW w:w="3653" w:type="dxa"/>
          </w:tcPr>
          <w:p>
            <w:pPr>
              <w:pStyle w:val="Compact"/>
              <w:jc w:val="left"/>
            </w:pPr>
            <w:r>
              <w:rPr>
                <w:sz w:val="16"/>
              </w:rPr>
              <w:t xml:space="preserve">The mandatory architecture. Converts aspirational reform into binding requirements. Without mandatory authority, the highest-cost actors opt out and voluntary reform achieves marginal results.</w:t>
            </w:r>
          </w:p>
        </w:tc>
        <w:tc>
          <w:tcPr>
            <w:tcW w:w="3653" w:type="dxa"/>
          </w:tcPr>
          <w:p>
            <w:pPr>
              <w:pStyle w:val="Compact"/>
              <w:jc w:val="left"/>
            </w:pPr>
            <w:r>
              <w:rPr>
                <w:sz w:val="16"/>
              </w:rPr>
              <w:t xml:space="preserve">Statutory mandates that eliminate voluntary opt-out; accountability timelines that cannot be deferred; federal-state agreements that commit both parties to specific outcomes.</w:t>
            </w:r>
          </w:p>
        </w:tc>
      </w:tr>
      <w:tr>
        <w:trPr>
          <w:cantSplit/>
        </w:trPr>
        <w:tc>
          <w:tcPr>
            <w:tcW w:w="608" w:type="dxa"/>
          </w:tcPr>
          <w:p>
            <w:pPr>
              <w:pStyle w:val="Compact"/>
              <w:jc w:val="left"/>
            </w:pPr>
            <w:r>
              <w:rPr>
                <w:b/>
                <w:bCs/>
                <w:sz w:val="16"/>
              </w:rPr>
              <w:t xml:space="preserve">Technology</w:t>
            </w:r>
          </w:p>
        </w:tc>
        <w:tc>
          <w:tcPr>
            <w:tcW w:w="1156" w:type="dxa"/>
          </w:tcPr>
          <w:p>
            <w:pPr>
              <w:pStyle w:val="Compact"/>
              <w:jc w:val="left"/>
            </w:pPr>
            <w:r>
              <w:rPr>
                <w:sz w:val="16"/>
              </w:rPr>
              <w:t xml:space="preserve">Is it possible?</w:t>
            </w:r>
          </w:p>
        </w:tc>
        <w:tc>
          <w:tcPr>
            <w:tcW w:w="3653" w:type="dxa"/>
          </w:tcPr>
          <w:p>
            <w:pPr>
              <w:pStyle w:val="Compact"/>
              <w:jc w:val="left"/>
            </w:pPr>
            <w:r>
              <w:rPr>
                <w:sz w:val="16"/>
              </w:rPr>
              <w:t xml:space="preserve">The data substrate. Makes population health management, VBC contract execution, equity measurement, and strategic planning analytically feasible. Without data infrastructure, the other pillars are managed blindly.</w:t>
            </w:r>
          </w:p>
        </w:tc>
        <w:tc>
          <w:tcPr>
            <w:tcW w:w="3653" w:type="dxa"/>
          </w:tcPr>
          <w:p>
            <w:pPr>
              <w:pStyle w:val="Compact"/>
              <w:jc w:val="left"/>
            </w:pPr>
            <w:r>
              <w:rPr>
                <w:sz w:val="16"/>
              </w:rPr>
              <w:t xml:space="preserve">Attribution lists, TCOC measurement, HEDIS stratification, risk stratification, care-gap identification, AI-assisted clinical workflows — the analytical functions that VBC and population health management require.</w:t>
            </w:r>
          </w:p>
        </w:tc>
      </w:tr>
      <w:tr>
        <w:trPr>
          <w:cantSplit/>
        </w:trPr>
        <w:tc>
          <w:tcPr>
            <w:tcW w:w="608" w:type="dxa"/>
          </w:tcPr>
          <w:p>
            <w:pPr>
              <w:pStyle w:val="Compact"/>
              <w:jc w:val="left"/>
            </w:pPr>
            <w:r>
              <w:rPr>
                <w:b/>
                <w:bCs/>
                <w:sz w:val="16"/>
              </w:rPr>
              <w:t xml:space="preserve">Economics</w:t>
            </w:r>
          </w:p>
        </w:tc>
        <w:tc>
          <w:tcPr>
            <w:tcW w:w="1156" w:type="dxa"/>
          </w:tcPr>
          <w:p>
            <w:pPr>
              <w:pStyle w:val="Compact"/>
              <w:jc w:val="left"/>
            </w:pPr>
            <w:r>
              <w:rPr>
                <w:sz w:val="16"/>
              </w:rPr>
              <w:t xml:space="preserve">Is it sustainable?</w:t>
            </w:r>
          </w:p>
        </w:tc>
        <w:tc>
          <w:tcPr>
            <w:tcW w:w="3653" w:type="dxa"/>
          </w:tcPr>
          <w:p>
            <w:pPr>
              <w:pStyle w:val="Compact"/>
              <w:jc w:val="left"/>
            </w:pPr>
            <w:r>
              <w:rPr>
                <w:sz w:val="16"/>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653" w:type="dxa"/>
          </w:tcPr>
          <w:p>
            <w:pPr>
              <w:pStyle w:val="Compact"/>
              <w:jc w:val="left"/>
            </w:pPr>
            <w:r>
              <w:rPr>
                <w:sz w:val="16"/>
              </w:rPr>
              <w:t xml:space="preserve">Payment models in which population health management is financially rational; price structures that break the commercial cross-subsidy chain; accountability for total cost of care rather than encounter volume.</w:t>
            </w:r>
          </w:p>
        </w:tc>
      </w:tr>
      <w:tr>
        <w:trPr>
          <w:cantSplit/>
        </w:trPr>
        <w:tc>
          <w:tcPr>
            <w:tcW w:w="608" w:type="dxa"/>
          </w:tcPr>
          <w:p>
            <w:pPr>
              <w:pStyle w:val="Compact"/>
              <w:jc w:val="left"/>
            </w:pPr>
            <w:r>
              <w:rPr>
                <w:b/>
                <w:bCs/>
                <w:sz w:val="16"/>
              </w:rPr>
              <w:t xml:space="preserve">Clinical</w:t>
            </w:r>
          </w:p>
        </w:tc>
        <w:tc>
          <w:tcPr>
            <w:tcW w:w="1156" w:type="dxa"/>
          </w:tcPr>
          <w:p>
            <w:pPr>
              <w:pStyle w:val="Compact"/>
              <w:jc w:val="left"/>
            </w:pPr>
            <w:r>
              <w:rPr>
                <w:sz w:val="16"/>
              </w:rPr>
              <w:t xml:space="preserve">Is it effective?</w:t>
            </w:r>
          </w:p>
        </w:tc>
        <w:tc>
          <w:tcPr>
            <w:tcW w:w="3653" w:type="dxa"/>
          </w:tcPr>
          <w:p>
            <w:pPr>
              <w:pStyle w:val="Compact"/>
              <w:jc w:val="left"/>
            </w:pPr>
            <w:r>
              <w:rPr>
                <w:sz w:val="16"/>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653" w:type="dxa"/>
          </w:tcPr>
          <w:p>
            <w:pPr>
              <w:pStyle w:val="Compact"/>
              <w:jc w:val="left"/>
            </w:pPr>
            <w:r>
              <w:rPr>
                <w:sz w:val="16"/>
              </w:rPr>
              <w:t xml:space="preserve">Primary care transformation that prevents hospitalizations; behavioral health integration that reduces crisis presentations; care management that closes gaps before they become acute episodes.</w:t>
            </w:r>
          </w:p>
        </w:tc>
      </w:tr>
      <w:tr>
        <w:trPr>
          <w:cantSplit/>
        </w:trPr>
        <w:tc>
          <w:tcPr>
            <w:tcW w:w="608" w:type="dxa"/>
          </w:tcPr>
          <w:p>
            <w:pPr>
              <w:pStyle w:val="Compact"/>
              <w:jc w:val="left"/>
            </w:pPr>
            <w:r>
              <w:rPr>
                <w:b/>
                <w:bCs/>
                <w:sz w:val="16"/>
              </w:rPr>
              <w:t xml:space="preserve">Equity</w:t>
            </w:r>
          </w:p>
        </w:tc>
        <w:tc>
          <w:tcPr>
            <w:tcW w:w="1156" w:type="dxa"/>
          </w:tcPr>
          <w:p>
            <w:pPr>
              <w:pStyle w:val="Compact"/>
              <w:jc w:val="left"/>
            </w:pPr>
            <w:r>
              <w:rPr>
                <w:sz w:val="16"/>
              </w:rPr>
              <w:t xml:space="preserve">Is it just?</w:t>
            </w:r>
          </w:p>
        </w:tc>
        <w:tc>
          <w:tcPr>
            <w:tcW w:w="3653" w:type="dxa"/>
          </w:tcPr>
          <w:p>
            <w:pPr>
              <w:pStyle w:val="Compact"/>
              <w:jc w:val="left"/>
            </w:pPr>
            <w:r>
              <w:rPr>
                <w:sz w:val="16"/>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653" w:type="dxa"/>
          </w:tcPr>
          <w:p>
            <w:pPr>
              <w:pStyle w:val="Compact"/>
              <w:jc w:val="left"/>
            </w:pPr>
            <w:r>
              <w:rPr>
                <w:sz w:val="16"/>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608" w:type="dxa"/>
          </w:tcPr>
          <w:p>
            <w:pPr>
              <w:pStyle w:val="Compact"/>
              <w:jc w:val="left"/>
            </w:pPr>
            <w:r>
              <w:rPr>
                <w:b/>
                <w:bCs/>
                <w:sz w:val="16"/>
              </w:rPr>
              <w:t xml:space="preserve">Operations</w:t>
            </w:r>
          </w:p>
        </w:tc>
        <w:tc>
          <w:tcPr>
            <w:tcW w:w="1156" w:type="dxa"/>
          </w:tcPr>
          <w:p>
            <w:pPr>
              <w:pStyle w:val="Compact"/>
              <w:jc w:val="left"/>
            </w:pPr>
            <w:r>
              <w:rPr>
                <w:sz w:val="16"/>
              </w:rPr>
              <w:t xml:space="preserve">Is it executable?</w:t>
            </w:r>
          </w:p>
        </w:tc>
        <w:tc>
          <w:tcPr>
            <w:tcW w:w="3653" w:type="dxa"/>
          </w:tcPr>
          <w:p>
            <w:pPr>
              <w:pStyle w:val="Compact"/>
              <w:jc w:val="left"/>
            </w:pPr>
            <w:r>
              <w:rPr>
                <w:sz w:val="16"/>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653" w:type="dxa"/>
          </w:tcPr>
          <w:p>
            <w:pPr>
              <w:pStyle w:val="Compact"/>
              <w:jc w:val="left"/>
            </w:pPr>
            <w:r>
              <w:rPr>
                <w:sz w:val="16"/>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1.A — The six pillars: diagnostic questions and structural roles. Source: six-pillar framework documentation; Acts 167 and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  </w:t>
      </w:r>
      <w:bookmarkStart w:id="1027" w:name="_Toc1026"/>
      <w:r>
        <w:rPr>
          <w:b/>
          <w:bCs/>
          <w:color w:val="161B22"/>
        </w:rPr>
        <w:t xml:space="preserve">The Architecture of Interdependency: The Fifteen Dependency Relationships</w:t>
      </w:r>
      <w:bookmarkEnd w:id="1027"/>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1.B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p>
            <w:pPr>
              <w:spacing w:after="60" w:line="264" w:lineRule="auto"/>
            </w:pPr>
            <w:r>
              <w:rPr>
                <w:sz w:val="20"/>
                <w:szCs w:val="20"/>
              </w:rPr>
              <w:t xml:space="preserve">When you see a pillar pair occupying two cells in Figure 1.B, check which case you are in before concluding the framework is double-counting.</w:t>
            </w:r>
          </w:p>
        </w:tc>
      </w:tr>
    </w:tbl>
    <w:p>
      <w:pPr>
        <w:spacing w:after="120"/>
      </w:pPr>
    </w:p>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cantSplit/>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accountability mandates</w:t>
            </w:r>
          </w:p>
        </w:tc>
        <w:tc>
          <w:tcPr>
            <w:tcW w:w="1284" w:type="dxa"/>
            <w:vAlign w:val="center"/>
          </w:tcPr>
          <w:p>
            <w:pPr>
              <w:pStyle w:val="Compact"/>
              <w:jc w:val="center"/>
            </w:pPr>
            <w:r>
              <w:rPr>
                <w:b/>
                <w:color w:val="1F6B5D"/>
                <w:sz w:val="16"/>
              </w:rPr>
              <w:t xml:space="preserve">Requires statutory deadlines</w:t>
            </w:r>
          </w:p>
        </w:tc>
      </w:tr>
      <w:tr>
        <w:trPr>
          <w:cantSplit/>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VBC financial management</w:t>
            </w:r>
          </w:p>
        </w:tc>
        <w:tc>
          <w:tcPr>
            <w:tcW w:w="1284" w:type="dxa"/>
            <w:vAlign w:val="center"/>
          </w:tcPr>
          <w:p>
            <w:pPr>
              <w:pStyle w:val="Compact"/>
              <w:jc w:val="center"/>
            </w:pPr>
            <w:r>
              <w:rPr>
                <w:b/>
                <w:color w:val="C97A0F"/>
                <w:sz w:val="16"/>
              </w:rPr>
              <w:t xml:space="preserve">Enables risk stratification</w:t>
            </w:r>
          </w:p>
        </w:tc>
        <w:tc>
          <w:tcPr>
            <w:tcW w:w="1284" w:type="dxa"/>
            <w:vAlign w:val="center"/>
          </w:tcPr>
          <w:p>
            <w:pPr>
              <w:pStyle w:val="Compact"/>
              <w:jc w:val="center"/>
            </w:pPr>
            <w:r>
              <w:rPr>
                <w:b/>
                <w:color w:val="C97A0F"/>
                <w:sz w:val="16"/>
              </w:rPr>
              <w:t xml:space="preserve">Enables demographic stratification</w:t>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b/>
                <w:color w:val="1F6B5D"/>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3E4FB0"/>
                <w:sz w:val="16"/>
              </w:rPr>
              <w:t xml:space="preserve">Drives financial rationality</w:t>
            </w:r>
          </w:p>
        </w:tc>
        <w:tc>
          <w:tcPr>
            <w:tcW w:w="1284" w:type="dxa"/>
            <w:vAlign w:val="center"/>
          </w:tcPr>
          <w:p>
            <w:pPr>
              <w:pStyle w:val="Compact"/>
              <w:jc w:val="center"/>
            </w:pPr>
            <w:r>
              <w:rPr>
                <w:b/>
                <w:color w:val="1F6B5D"/>
                <w:sz w:val="16"/>
              </w:rPr>
              <w:t xml:space="preserve">Requires social risk adjustment</w:t>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access expansion</w:t>
            </w:r>
          </w:p>
        </w:tc>
        <w:tc>
          <w:tcPr>
            <w:tcW w:w="1284" w:type="dxa"/>
            <w:vAlign w:val="center"/>
          </w:tcPr>
          <w:p>
            <w:pPr>
              <w:pStyle w:val="Compact"/>
              <w:jc w:val="center"/>
            </w:pPr>
            <w:r>
              <w:rPr>
                <w:b/>
                <w:color w:val="1F6B5D"/>
                <w:sz w:val="16"/>
              </w:rPr>
              <w:t xml:space="preserve">Requires execution infrastructure</w:t>
            </w:r>
          </w:p>
        </w:tc>
      </w:tr>
      <w:tr>
        <w:trPr>
          <w:cantSplit/>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b/>
                <w:color w:val="9A2A48"/>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9A2A48"/>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b/>
                <w:color w:val="C97A0F"/>
                <w:sz w:val="16"/>
              </w:rPr>
              <w:t xml:space="preserve">Enables data feedback loops</w:t>
            </w:r>
          </w:p>
        </w:tc>
        <w:tc>
          <w:tcPr>
            <w:tcW w:w="1284" w:type="dxa"/>
            <w:vAlign w:val="center"/>
          </w:tcPr>
          <w:p>
            <w:pPr>
              <w:pStyle w:val="Compact"/>
              <w:jc w:val="center"/>
            </w:pPr>
            <w:r>
              <w:rPr>
                <w:b/>
                <w:color w:val="1F6B5D"/>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pPr>
      <w:r>
        <w:rPr>
          <w:i/>
          <w:iCs/>
        </w:rPr>
        <w:t xml:space="preserve">Figure 1.B — The architecture of interdependency: the fifteen dependency relationships, read From-row to To-column. Source: six-pillar framework documentation; Vermont Health Transformation / HTR (2026).</w:t>
      </w:r>
    </w:p>
    <w:p>
      <w:pPr>
        <w:pStyle w:val="Heading3"/>
      </w:pPr>
      <w:r>
        <w:rPr>
          <w:color w:val="161B22"/>
        </w:rPr>
        <w:t xml:space="preserve">1.3.1  </w:t>
      </w:r>
      <w:bookmarkStart w:id="1028" w:name="_Toc1027"/>
      <w:r>
        <w:rPr>
          <w:b/>
          <w:bCs/>
          <w:color w:val="161B22"/>
        </w:rPr>
        <w:t xml:space="preserve">Policy Dependencies: Three Relationships That Establish the Mandatory Architecture</w:t>
      </w:r>
      <w:bookmarkEnd w:id="1028"/>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1.3.2  </w:t>
      </w:r>
      <w:bookmarkStart w:id="1029" w:name="_Toc1028"/>
      <w:r>
        <w:rPr>
          <w:b/>
          <w:bCs/>
          <w:color w:val="161B22"/>
        </w:rPr>
        <w:t xml:space="preserve">Technology Dependencies: Three Relationships That Enable Analytical Management</w:t>
      </w:r>
      <w:bookmarkEnd w:id="1029"/>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1.3.3  </w:t>
      </w:r>
      <w:bookmarkStart w:id="1030" w:name="_Toc1029"/>
      <w:r>
        <w:rPr>
          <w:b/>
          <w:bCs/>
          <w:color w:val="161B22"/>
        </w:rPr>
        <w:t xml:space="preserve">Economics Dependencies: Three Relationships That Transmit Incentive Change</w:t>
      </w:r>
      <w:bookmarkEnd w:id="1030"/>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1.3.4  </w:t>
      </w:r>
      <w:bookmarkStart w:id="1031" w:name="_Toc1030"/>
      <w:r>
        <w:rPr>
          <w:b/>
          <w:bCs/>
          <w:color w:val="161B22"/>
        </w:rPr>
        <w:t xml:space="preserve">Clinical Dependencies: Two Relationships That Connect Care Models to System Requirements</w:t>
      </w:r>
      <w:bookmarkEnd w:id="1031"/>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1.3.5  </w:t>
      </w:r>
      <w:bookmarkStart w:id="1032" w:name="_Toc1031"/>
      <w:r>
        <w:rPr>
          <w:b/>
          <w:bCs/>
          <w:color w:val="161B22"/>
        </w:rPr>
        <w:t xml:space="preserve">Equity Constraints: Two Relationships That Apply the Justice Lens to the Whole System</w:t>
      </w:r>
      <w:bookmarkEnd w:id="1032"/>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1.3.6  </w:t>
      </w:r>
      <w:bookmarkStart w:id="1033" w:name="_Toc1032"/>
      <w:r>
        <w:rPr>
          <w:b/>
          <w:bCs/>
          <w:color w:val="161B22"/>
        </w:rPr>
        <w:t xml:space="preserve">Operations Dependencies: Two Feedback Relationships That Close the Loop</w:t>
      </w:r>
      <w:bookmarkEnd w:id="1033"/>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pPr>
    </w:p>
    <w:p>
      <w:pPr>
        <w:pStyle w:val="Heading2"/>
        <w:pBdr>
          <w:top w:val="single" w:sz="6" w:space="10" w:color="C9D2DF"/>
        </w:pBdr>
      </w:pPr>
      <w:r>
        <w:rPr>
          <w:color w:val="161B22"/>
        </w:rPr>
        <w:t xml:space="preserve">1.4  </w:t>
      </w:r>
      <w:bookmarkStart w:id="1034" w:name="_Toc1033"/>
      <w:r>
        <w:rPr>
          <w:b/>
          <w:bCs/>
          <w:color w:val="161B22"/>
        </w:rPr>
        <w:t xml:space="preserve">The Failure Cascade: What Happens When a Pillar Is Missing</w:t>
      </w:r>
      <w:bookmarkEnd w:id="1034"/>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pPr>
    </w:p>
    <w:p>
      <w:pPr>
        <w:pStyle w:val="BodyText"/>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762"/>
        <w:gridCol w:w="3265"/>
        <w:gridCol w:w="3265"/>
        <w:gridCol w:w="3265"/>
        <w:gridCol w:w="3265"/>
      </w:tblGrid>
      <w:tr>
        <w:trPr>
          <w:tblHeader w:val="on"/>
          <w:cantSplit/>
        </w:trPr>
        <w:tc>
          <w:tcPr>
            <w:shd w:val="clear" w:color="auto" w:fill="1B3A6B"/>
            <w:tcW w:w="500" w:type="dxa"/>
          </w:tcPr>
          <w:p>
            <w:pPr>
              <w:pStyle w:val="Compact"/>
              <w:jc w:val="left"/>
            </w:pPr>
            <w:r>
              <w:rPr>
                <w:b/>
                <w:color w:val="FFFFFF"/>
                <w:sz w:val="16"/>
              </w:rPr>
              <w:t xml:space="preserve">Pillar removed</w:t>
            </w:r>
          </w:p>
        </w:tc>
        <w:tc>
          <w:tcPr>
            <w:shd w:val="clear" w:color="auto" w:fill="1B3A6B"/>
            <w:tcW w:w="2142" w:type="dxa"/>
          </w:tcPr>
          <w:p>
            <w:pPr>
              <w:pStyle w:val="Compact"/>
              <w:jc w:val="left"/>
            </w:pPr>
            <w:r>
              <w:rPr>
                <w:b/>
                <w:color w:val="FFFFFF"/>
                <w:sz w:val="16"/>
              </w:rPr>
              <w:t xml:space="preserve">Immediate failure</w:t>
            </w:r>
          </w:p>
        </w:tc>
        <w:tc>
          <w:tcPr>
            <w:shd w:val="clear" w:color="auto" w:fill="1B3A6B"/>
            <w:tcW w:w="2142" w:type="dxa"/>
          </w:tcPr>
          <w:p>
            <w:pPr>
              <w:pStyle w:val="Compact"/>
              <w:jc w:val="left"/>
            </w:pPr>
            <w:r>
              <w:rPr>
                <w:b/>
                <w:color w:val="FFFFFF"/>
                <w:sz w:val="16"/>
              </w:rPr>
              <w:t xml:space="preserve">Second-order failure</w:t>
            </w:r>
          </w:p>
        </w:tc>
        <w:tc>
          <w:tcPr>
            <w:shd w:val="clear" w:color="auto" w:fill="1B3A6B"/>
            <w:tcW w:w="2142" w:type="dxa"/>
          </w:tcPr>
          <w:p>
            <w:pPr>
              <w:pStyle w:val="Compact"/>
              <w:jc w:val="left"/>
            </w:pPr>
            <w:r>
              <w:rPr>
                <w:b/>
                <w:color w:val="FFFFFF"/>
                <w:sz w:val="16"/>
              </w:rPr>
              <w:t xml:space="preserve">System-level outcome</w:t>
            </w:r>
          </w:p>
        </w:tc>
        <w:tc>
          <w:tcPr>
            <w:shd w:val="clear" w:color="auto" w:fill="1B3A6B"/>
            <w:tcW w:w="2142" w:type="dxa"/>
          </w:tcPr>
          <w:p>
            <w:pPr>
              <w:pStyle w:val="Compact"/>
              <w:jc w:val="left"/>
            </w:pPr>
            <w:r>
              <w:rPr>
                <w:b/>
                <w:color w:val="FFFFFF"/>
                <w:sz w:val="16"/>
              </w:rPr>
              <w:t xml:space="preserve">Historical example</w:t>
            </w:r>
          </w:p>
        </w:tc>
      </w:tr>
      <w:tr>
        <w:trPr>
          <w:cantSplit/>
        </w:trPr>
        <w:tc>
          <w:tcPr>
            <w:tcW w:w="500" w:type="dxa"/>
          </w:tcPr>
          <w:p>
            <w:pPr>
              <w:pStyle w:val="Compact"/>
              <w:jc w:val="left"/>
            </w:pPr>
            <w:r>
              <w:rPr>
                <w:b/>
                <w:bCs/>
                <w:sz w:val="16"/>
              </w:rPr>
              <w:t xml:space="preserve">Policy</w:t>
            </w:r>
          </w:p>
        </w:tc>
        <w:tc>
          <w:tcPr>
            <w:tcW w:w="2142" w:type="dxa"/>
          </w:tcPr>
          <w:p>
            <w:pPr>
              <w:pStyle w:val="Compact"/>
              <w:jc w:val="left"/>
            </w:pPr>
            <w:r>
              <w:rPr>
                <w:sz w:val="16"/>
              </w:rPr>
              <w:t xml:space="preserve">Payment reform remains voluntary; highest-cost actors opt out; rate benchmarks have no enforcement.</w:t>
            </w:r>
          </w:p>
        </w:tc>
        <w:tc>
          <w:tcPr>
            <w:tcW w:w="2142" w:type="dxa"/>
          </w:tcPr>
          <w:p>
            <w:pPr>
              <w:pStyle w:val="Compact"/>
              <w:jc w:val="left"/>
            </w:pPr>
            <w:r>
              <w:rPr>
                <w:sz w:val="16"/>
              </w:rPr>
              <w:t xml:space="preserve">Clinical programs continue without the financial incentive alignment that makes population health investment rational; technology is built but not used for financial management.</w:t>
            </w:r>
          </w:p>
        </w:tc>
        <w:tc>
          <w:tcPr>
            <w:tcW w:w="2142" w:type="dxa"/>
          </w:tcPr>
          <w:p>
            <w:pPr>
              <w:pStyle w:val="Compact"/>
              <w:jc w:val="left"/>
            </w:pPr>
            <w:r>
              <w:rPr>
                <w:sz w:val="16"/>
              </w:rPr>
              <w:t xml:space="preserve">Incremental improvement among willing participants; no system-level change; ongoing premium inflation; hospital financial crisis continues.</w:t>
            </w:r>
          </w:p>
        </w:tc>
        <w:tc>
          <w:tcPr>
            <w:tcW w:w="2142" w:type="dxa"/>
          </w:tcPr>
          <w:p>
            <w:pPr>
              <w:pStyle w:val="Compact"/>
              <w:jc w:val="left"/>
            </w:pPr>
            <w:r>
              <w:rPr>
                <w:sz w:val="16"/>
              </w:rPr>
              <w:t xml:space="preserve">Vermont 2010–2022: OneCare voluntary ACO. Modest results; 9/14 hospitals in losses by 2023.</w:t>
            </w:r>
          </w:p>
        </w:tc>
      </w:tr>
      <w:tr>
        <w:trPr>
          <w:cantSplit/>
        </w:trPr>
        <w:tc>
          <w:tcPr>
            <w:tcW w:w="500" w:type="dxa"/>
          </w:tcPr>
          <w:p>
            <w:pPr>
              <w:pStyle w:val="Compact"/>
              <w:jc w:val="left"/>
            </w:pPr>
            <w:r>
              <w:rPr>
                <w:b/>
                <w:bCs/>
                <w:sz w:val="16"/>
              </w:rPr>
              <w:t xml:space="preserve">Technology</w:t>
            </w:r>
          </w:p>
        </w:tc>
        <w:tc>
          <w:tcPr>
            <w:tcW w:w="2142" w:type="dxa"/>
          </w:tcPr>
          <w:p>
            <w:pPr>
              <w:pStyle w:val="Compact"/>
              <w:jc w:val="left"/>
            </w:pPr>
            <w:r>
              <w:rPr>
                <w:sz w:val="16"/>
              </w:rPr>
              <w:t xml:space="preserve">VBC contracts signed but not managed; attribution errors undetected; TCOC measurement unreliable; quality measures cannot be stratified.</w:t>
            </w:r>
          </w:p>
        </w:tc>
        <w:tc>
          <w:tcPr>
            <w:tcW w:w="2142" w:type="dxa"/>
          </w:tcPr>
          <w:p>
            <w:pPr>
              <w:pStyle w:val="Compact"/>
              <w:jc w:val="left"/>
            </w:pPr>
            <w:r>
              <w:rPr>
                <w:sz w:val="16"/>
              </w:rPr>
              <w:t xml:space="preserve">Economics contracts produce unexpected losses; Equity cannot measure disparities it cannot see; Clinical cannot identify high-risk patients before they hospitalize.</w:t>
            </w:r>
          </w:p>
        </w:tc>
        <w:tc>
          <w:tcPr>
            <w:tcW w:w="2142" w:type="dxa"/>
          </w:tcPr>
          <w:p>
            <w:pPr>
              <w:pStyle w:val="Compact"/>
              <w:jc w:val="left"/>
            </w:pPr>
            <w:r>
              <w:rPr>
                <w:sz w:val="16"/>
              </w:rPr>
              <w:t xml:space="preserve">VBC produces losses for providers who cannot manage it; organizations exit VBC; payment reform stalls; equity gaps widen invisibly.</w:t>
            </w:r>
          </w:p>
        </w:tc>
        <w:tc>
          <w:tcPr>
            <w:tcW w:w="2142" w:type="dxa"/>
          </w:tcPr>
          <w:p>
            <w:pPr>
              <w:pStyle w:val="Compact"/>
              <w:jc w:val="left"/>
            </w:pPr>
            <w:r>
              <w:rPr>
                <w:sz w:val="16"/>
              </w:rPr>
              <w:t xml:space="preserve">Most early-CMMI ACO failures: organizations entered models without analytics and produced unexpected losses.</w:t>
            </w:r>
          </w:p>
        </w:tc>
      </w:tr>
      <w:tr>
        <w:trPr>
          <w:cantSplit/>
        </w:trPr>
        <w:tc>
          <w:tcPr>
            <w:tcW w:w="500" w:type="dxa"/>
          </w:tcPr>
          <w:p>
            <w:pPr>
              <w:pStyle w:val="Compact"/>
              <w:jc w:val="left"/>
            </w:pPr>
            <w:r>
              <w:rPr>
                <w:b/>
                <w:bCs/>
                <w:sz w:val="16"/>
              </w:rPr>
              <w:t xml:space="preserve">Economics</w:t>
            </w:r>
          </w:p>
        </w:tc>
        <w:tc>
          <w:tcPr>
            <w:tcW w:w="2142" w:type="dxa"/>
          </w:tcPr>
          <w:p>
            <w:pPr>
              <w:pStyle w:val="Compact"/>
              <w:jc w:val="left"/>
            </w:pPr>
            <w:r>
              <w:rPr>
                <w:sz w:val="16"/>
              </w:rPr>
              <w:t xml:space="preserve">Clinical programs continue under fee-for-service incentives; hospitals remain rewarded for volume, not value.</w:t>
            </w:r>
          </w:p>
        </w:tc>
        <w:tc>
          <w:tcPr>
            <w:tcW w:w="2142" w:type="dxa"/>
          </w:tcPr>
          <w:p>
            <w:pPr>
              <w:pStyle w:val="Compact"/>
              <w:jc w:val="left"/>
            </w:pPr>
            <w:r>
              <w:rPr>
                <w:sz w:val="16"/>
              </w:rPr>
              <w:t xml:space="preserve">Primary care investment produces outcomes but cannot capture the financial return — the 5.8:1 ROI accrues to payers, not providers.</w:t>
            </w:r>
          </w:p>
        </w:tc>
        <w:tc>
          <w:tcPr>
            <w:tcW w:w="2142" w:type="dxa"/>
          </w:tcPr>
          <w:p>
            <w:pPr>
              <w:pStyle w:val="Compact"/>
              <w:jc w:val="left"/>
            </w:pPr>
            <w:r>
              <w:rPr>
                <w:sz w:val="16"/>
              </w:rPr>
              <w:t xml:space="preserve">Clinical quality improves at the margin; costs keep rising; the financial case for transformation cannot be made; fragility deepens.</w:t>
            </w:r>
          </w:p>
        </w:tc>
        <w:tc>
          <w:tcPr>
            <w:tcW w:w="2142" w:type="dxa"/>
          </w:tcPr>
          <w:p>
            <w:pPr>
              <w:pStyle w:val="Compact"/>
              <w:jc w:val="left"/>
            </w:pPr>
            <w:r>
              <w:rPr>
                <w:sz w:val="16"/>
              </w:rPr>
              <w:t xml:space="preserve">U.S. national experience: 20+ years of quality improvement without payment reform. Quality rose; cost growth continued.</w:t>
            </w:r>
          </w:p>
        </w:tc>
      </w:tr>
      <w:tr>
        <w:trPr>
          <w:cantSplit/>
        </w:trPr>
        <w:tc>
          <w:tcPr>
            <w:tcW w:w="500" w:type="dxa"/>
          </w:tcPr>
          <w:p>
            <w:pPr>
              <w:pStyle w:val="Compact"/>
              <w:jc w:val="left"/>
            </w:pPr>
            <w:r>
              <w:rPr>
                <w:b/>
                <w:bCs/>
                <w:sz w:val="16"/>
              </w:rPr>
              <w:t xml:space="preserve">Clinical</w:t>
            </w:r>
          </w:p>
        </w:tc>
        <w:tc>
          <w:tcPr>
            <w:tcW w:w="2142" w:type="dxa"/>
          </w:tcPr>
          <w:p>
            <w:pPr>
              <w:pStyle w:val="Compact"/>
              <w:jc w:val="left"/>
            </w:pPr>
            <w:r>
              <w:rPr>
                <w:sz w:val="16"/>
              </w:rPr>
              <w:t xml:space="preserve">Payment reform changes incentives but has nothing to incentivize; global budgets create pressure without the programs that reduce cost.</w:t>
            </w:r>
          </w:p>
        </w:tc>
        <w:tc>
          <w:tcPr>
            <w:tcW w:w="2142" w:type="dxa"/>
          </w:tcPr>
          <w:p>
            <w:pPr>
              <w:pStyle w:val="Compact"/>
              <w:jc w:val="left"/>
            </w:pPr>
            <w:r>
              <w:rPr>
                <w:sz w:val="16"/>
              </w:rPr>
              <w:t xml:space="preserve">Operations manages financial pressure through service cuts rather than care redesign; Equity access gaps widen as capacity is cut to meet budgets.</w:t>
            </w:r>
          </w:p>
        </w:tc>
        <w:tc>
          <w:tcPr>
            <w:tcW w:w="2142" w:type="dxa"/>
          </w:tcPr>
          <w:p>
            <w:pPr>
              <w:pStyle w:val="Compact"/>
              <w:jc w:val="left"/>
            </w:pPr>
            <w:r>
              <w:rPr>
                <w:sz w:val="16"/>
              </w:rPr>
              <w:t xml:space="preserve">Hospital financial crisis accelerates under global-budget pressure; rural hospitals close.</w:t>
            </w:r>
          </w:p>
        </w:tc>
        <w:tc>
          <w:tcPr>
            <w:tcW w:w="2142" w:type="dxa"/>
          </w:tcPr>
          <w:p>
            <w:pPr>
              <w:pStyle w:val="Compact"/>
              <w:jc w:val="left"/>
            </w:pPr>
            <w:r>
              <w:rPr>
                <w:sz w:val="16"/>
              </w:rPr>
              <w:t xml:space="preserve">Maryland HSCRC early period: global budgets without adequate primary care produced pressure without sustainable improvement.</w:t>
            </w:r>
          </w:p>
        </w:tc>
      </w:tr>
      <w:tr>
        <w:trPr>
          <w:cantSplit/>
        </w:trPr>
        <w:tc>
          <w:tcPr>
            <w:tcW w:w="500" w:type="dxa"/>
          </w:tcPr>
          <w:p>
            <w:pPr>
              <w:pStyle w:val="Compact"/>
              <w:jc w:val="left"/>
            </w:pPr>
            <w:r>
              <w:rPr>
                <w:b/>
                <w:bCs/>
                <w:sz w:val="16"/>
              </w:rPr>
              <w:t xml:space="preserve">Equity</w:t>
            </w:r>
          </w:p>
        </w:tc>
        <w:tc>
          <w:tcPr>
            <w:tcW w:w="2142" w:type="dxa"/>
          </w:tcPr>
          <w:p>
            <w:pPr>
              <w:pStyle w:val="Compact"/>
              <w:jc w:val="left"/>
            </w:pPr>
            <w:r>
              <w:rPr>
                <w:sz w:val="16"/>
              </w:rPr>
              <w:t xml:space="preserve">Transformation proceeds but disparities widen; average outcomes improve while geographic and demographic gaps grow.</w:t>
            </w:r>
          </w:p>
        </w:tc>
        <w:tc>
          <w:tcPr>
            <w:tcW w:w="2142" w:type="dxa"/>
          </w:tcPr>
          <w:p>
            <w:pPr>
              <w:pStyle w:val="Compact"/>
              <w:jc w:val="left"/>
            </w:pPr>
            <w:r>
              <w:rPr>
                <w:sz w:val="16"/>
              </w:rPr>
              <w:t xml:space="preserve">Technically optimal policy produces inequitable distributions; technology is built but not used for stratified measurement; clinical programs improve averages without closing gaps.</w:t>
            </w:r>
          </w:p>
        </w:tc>
        <w:tc>
          <w:tcPr>
            <w:tcW w:w="2142" w:type="dxa"/>
          </w:tcPr>
          <w:p>
            <w:pPr>
              <w:pStyle w:val="Compact"/>
              <w:jc w:val="left"/>
            </w:pPr>
            <w:r>
              <w:rPr>
                <w:sz w:val="16"/>
              </w:rPr>
              <w:t xml:space="preserve">Transformation that increases efficiency while reducing equity — technically successful, ethically failed.</w:t>
            </w:r>
          </w:p>
        </w:tc>
        <w:tc>
          <w:tcPr>
            <w:tcW w:w="2142" w:type="dxa"/>
          </w:tcPr>
          <w:p>
            <w:pPr>
              <w:pStyle w:val="Compact"/>
              <w:jc w:val="left"/>
            </w:pPr>
            <w:r>
              <w:rPr>
                <w:sz w:val="16"/>
              </w:rPr>
              <w:t xml:space="preserve">National VBC experience: most APMs improved averages while widening disparities; safety-net providers penalized.</w:t>
            </w:r>
          </w:p>
        </w:tc>
      </w:tr>
      <w:tr>
        <w:trPr>
          <w:cantSplit/>
        </w:trPr>
        <w:tc>
          <w:tcPr>
            <w:tcW w:w="500" w:type="dxa"/>
          </w:tcPr>
          <w:p>
            <w:pPr>
              <w:pStyle w:val="Compact"/>
              <w:jc w:val="left"/>
            </w:pPr>
            <w:r>
              <w:rPr>
                <w:b/>
                <w:bCs/>
                <w:sz w:val="16"/>
              </w:rPr>
              <w:t xml:space="preserve">Operations</w:t>
            </w:r>
          </w:p>
        </w:tc>
        <w:tc>
          <w:tcPr>
            <w:tcW w:w="2142" w:type="dxa"/>
          </w:tcPr>
          <w:p>
            <w:pPr>
              <w:pStyle w:val="Compact"/>
              <w:jc w:val="left"/>
            </w:pPr>
            <w:r>
              <w:rPr>
                <w:sz w:val="16"/>
              </w:rPr>
              <w:t xml:space="preserve">Statutory mandates exist on paper; clinical programs are designed; data platforms are procured; nothing is implemented.</w:t>
            </w:r>
          </w:p>
        </w:tc>
        <w:tc>
          <w:tcPr>
            <w:tcW w:w="2142" w:type="dxa"/>
          </w:tcPr>
          <w:p>
            <w:pPr>
              <w:pStyle w:val="Compact"/>
              <w:jc w:val="left"/>
            </w:pPr>
            <w:r>
              <w:rPr>
                <w:sz w:val="16"/>
              </w:rPr>
              <w:t xml:space="preserve">Policy accountability fails without capacity to meet deadlines; platforms deployed but unused for management; contracts signed but not managed.</w:t>
            </w:r>
          </w:p>
        </w:tc>
        <w:tc>
          <w:tcPr>
            <w:tcW w:w="2142" w:type="dxa"/>
          </w:tcPr>
          <w:p>
            <w:pPr>
              <w:pStyle w:val="Compact"/>
              <w:jc w:val="left"/>
            </w:pPr>
            <w:r>
              <w:rPr>
                <w:sz w:val="16"/>
              </w:rPr>
              <w:t xml:space="preserve">Transformation documents accumulate; deadlines slip; the 2028 Strategic Plan is descriptive rather than committal; the deficit trajectory continues.</w:t>
            </w:r>
          </w:p>
        </w:tc>
        <w:tc>
          <w:tcPr>
            <w:tcW w:w="2142" w:type="dxa"/>
          </w:tcPr>
          <w:p>
            <w:pPr>
              <w:pStyle w:val="Compact"/>
              <w:jc w:val="left"/>
            </w:pPr>
            <w:r>
              <w:rPr>
                <w:sz w:val="16"/>
              </w:rPr>
              <w:t xml:space="preserve">Most state reform efforts of the 2010s: correct policy, adequate financing, sophisticated data — capacity insufficient to execute.</w:t>
            </w:r>
          </w:p>
        </w:tc>
      </w:tr>
    </w:tbl>
    <w:p>
      <w:pPr>
        <w:pStyle w:val="Caption"/>
      </w:pPr>
      <w:r>
        <w:rPr>
          <w:i/>
          <w:iCs/>
        </w:rPr>
        <w:t xml:space="preserve">Figure 1.C — Failure-cascade analysis: what breaks when each pillar is absent. Source: HTR analysis; CMMI evaluation literature; Oliver Wyman Act 167 Report; Vermont experience.</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1.5  </w:t>
      </w:r>
      <w:bookmarkStart w:id="1035" w:name="_Toc1034"/>
      <w:r>
        <w:rPr>
          <w:b/>
          <w:bCs/>
          <w:color w:val="161B22"/>
        </w:rPr>
        <w:t xml:space="preserve">Using the Dependency Map as an Analytical Tool</w:t>
      </w:r>
      <w:bookmarkEnd w:id="1035"/>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Part Two of this chapter develops that ordering in full and stress-tests it against Vermont’s OneCare failure.</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pPr>
      <w:r>
        <w:rPr>
          <w:color w:val="161B22"/>
        </w:rPr>
        <w:t xml:space="preserve">1.6  </w:t>
      </w:r>
      <w:bookmarkStart w:id="1036" w:name="_Toc1035"/>
      <w:r>
        <w:rPr>
          <w:b/>
          <w:bCs/>
          <w:color w:val="161B22"/>
        </w:rPr>
        <w:t xml:space="preserve">The Vermont Thread: Six Pillars in One System</w:t>
      </w:r>
      <w:bookmarkEnd w:id="1036"/>
    </w:p>
    <w:p>
      <w:pPr>
        <w:pStyle w:val="FirstParagraph"/>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952"/>
        <w:gridCol w:w="5721"/>
        <w:gridCol w:w="5721"/>
        <w:gridCol w:w="1429"/>
      </w:tblGrid>
      <w:tr>
        <w:trPr>
          <w:tblHeader w:val="on"/>
          <w:cantSplit/>
        </w:trPr>
        <w:tc>
          <w:tcPr>
            <w:shd w:val="clear" w:color="auto" w:fill="1B3A6B"/>
            <w:tcW w:w="625" w:type="dxa"/>
          </w:tcPr>
          <w:p>
            <w:pPr>
              <w:pStyle w:val="Compact"/>
              <w:jc w:val="left"/>
            </w:pPr>
            <w:r>
              <w:rPr>
                <w:b/>
                <w:color w:val="FFFFFF"/>
                <w:sz w:val="16"/>
              </w:rPr>
              <w:t xml:space="preserve">Pillar</w:t>
            </w:r>
          </w:p>
        </w:tc>
        <w:tc>
          <w:tcPr>
            <w:shd w:val="clear" w:color="auto" w:fill="1B3A6B"/>
            <w:tcW w:w="3754" w:type="dxa"/>
          </w:tcPr>
          <w:p>
            <w:pPr>
              <w:pStyle w:val="Compact"/>
              <w:jc w:val="left"/>
            </w:pPr>
            <w:r>
              <w:rPr>
                <w:b/>
                <w:color w:val="FFFFFF"/>
                <w:sz w:val="16"/>
              </w:rPr>
              <w:t xml:space="preserve">Primary Vermont intervention</w:t>
            </w:r>
          </w:p>
        </w:tc>
        <w:tc>
          <w:tcPr>
            <w:shd w:val="clear" w:color="auto" w:fill="1B3A6B"/>
            <w:tcW w:w="3754" w:type="dxa"/>
          </w:tcPr>
          <w:p>
            <w:pPr>
              <w:pStyle w:val="Compact"/>
              <w:jc w:val="left"/>
            </w:pPr>
            <w:r>
              <w:rPr>
                <w:b/>
                <w:color w:val="FFFFFF"/>
                <w:sz w:val="16"/>
              </w:rPr>
              <w:t xml:space="preserve">Secondary interventions</w:t>
            </w:r>
          </w:p>
        </w:tc>
        <w:tc>
          <w:tcPr>
            <w:shd w:val="clear" w:color="auto" w:fill="1B3A6B"/>
            <w:tcW w:w="938" w:type="dxa"/>
          </w:tcPr>
          <w:p>
            <w:pPr>
              <w:pStyle w:val="Compact"/>
              <w:jc w:val="left"/>
            </w:pPr>
            <w:r>
              <w:rPr>
                <w:b/>
                <w:color w:val="FFFFFF"/>
                <w:sz w:val="16"/>
              </w:rPr>
              <w:t xml:space="preserve">Developed in</w:t>
            </w:r>
          </w:p>
        </w:tc>
      </w:tr>
      <w:tr>
        <w:trPr>
          <w:cantSplit/>
        </w:trPr>
        <w:tc>
          <w:tcPr>
            <w:tcW w:w="625" w:type="dxa"/>
          </w:tcPr>
          <w:p>
            <w:pPr>
              <w:pStyle w:val="Compact"/>
              <w:jc w:val="left"/>
            </w:pPr>
            <w:r>
              <w:rPr>
                <w:b/>
                <w:bCs/>
                <w:sz w:val="16"/>
              </w:rPr>
              <w:t xml:space="preserve">Policy</w:t>
            </w:r>
          </w:p>
        </w:tc>
        <w:tc>
          <w:tcPr>
            <w:tcW w:w="3754" w:type="dxa"/>
          </w:tcPr>
          <w:p>
            <w:pPr>
              <w:pStyle w:val="Compact"/>
              <w:jc w:val="left"/>
            </w:pPr>
            <w:r>
              <w:rPr>
                <w:sz w:val="16"/>
              </w:rPr>
              <w:t xml:space="preserve">Acts 167 (2022), 51 (2023), 68 (2025): the legislative reform cascade; AHEAD Model State Agreement (January 2025)</w:t>
            </w:r>
          </w:p>
        </w:tc>
        <w:tc>
          <w:tcPr>
            <w:tcW w:w="3754" w:type="dxa"/>
          </w:tcPr>
          <w:p>
            <w:pPr>
              <w:pStyle w:val="Compact"/>
              <w:jc w:val="left"/>
            </w:pPr>
            <w:r>
              <w:rPr>
                <w:sz w:val="16"/>
              </w:rPr>
              <w:t xml:space="preserve">Act 55 (drug pricing); Act 49 (insurer solvency); Act 62 (HIE governance); federal RHT Program award</w:t>
            </w:r>
          </w:p>
        </w:tc>
        <w:tc>
          <w:tcPr>
            <w:tcW w:w="938" w:type="dxa"/>
          </w:tcPr>
          <w:p>
            <w:pPr>
              <w:pStyle w:val="Compact"/>
              <w:jc w:val="left"/>
            </w:pPr>
            <w:r>
              <w:rPr>
                <w:sz w:val="16"/>
              </w:rPr>
              <w:t xml:space="preserve">Chapters 2–3</w:t>
            </w:r>
          </w:p>
        </w:tc>
      </w:tr>
      <w:tr>
        <w:trPr>
          <w:cantSplit/>
        </w:trPr>
        <w:tc>
          <w:tcPr>
            <w:tcW w:w="625" w:type="dxa"/>
          </w:tcPr>
          <w:p>
            <w:pPr>
              <w:pStyle w:val="Compact"/>
              <w:jc w:val="left"/>
            </w:pPr>
            <w:r>
              <w:rPr>
                <w:b/>
                <w:bCs/>
                <w:sz w:val="16"/>
              </w:rPr>
              <w:t xml:space="preserve">Technology</w:t>
            </w:r>
          </w:p>
        </w:tc>
        <w:tc>
          <w:tcPr>
            <w:tcW w:w="3754" w:type="dxa"/>
          </w:tcPr>
          <w:p>
            <w:pPr>
              <w:pStyle w:val="Compact"/>
              <w:jc w:val="left"/>
            </w:pPr>
            <w:r>
              <w:rPr>
                <w:sz w:val="16"/>
              </w:rPr>
              <w:t xml:space="preserve">VHCURES all-payer claims database; Vermont CIN (RHT Program); AHS-GMCB data integration and analytics capability; AI scribe and RPM grants</w:t>
            </w:r>
          </w:p>
        </w:tc>
        <w:tc>
          <w:tcPr>
            <w:tcW w:w="3754" w:type="dxa"/>
          </w:tcPr>
          <w:p>
            <w:pPr>
              <w:pStyle w:val="Compact"/>
              <w:jc w:val="left"/>
            </w:pPr>
            <w:r>
              <w:rPr>
                <w:sz w:val="16"/>
              </w:rPr>
              <w:t xml:space="preserve">VITL/VHIE HIE; DVHA HIT Plan (Act 62); statewide EHR feasibility assessment; FHIR compliance investments</w:t>
            </w:r>
          </w:p>
        </w:tc>
        <w:tc>
          <w:tcPr>
            <w:tcW w:w="938" w:type="dxa"/>
          </w:tcPr>
          <w:p>
            <w:pPr>
              <w:pStyle w:val="Compact"/>
              <w:jc w:val="left"/>
            </w:pPr>
            <w:r>
              <w:rPr>
                <w:sz w:val="16"/>
              </w:rPr>
              <w:t xml:space="preserve">Chapters 4–5</w:t>
            </w:r>
          </w:p>
        </w:tc>
      </w:tr>
      <w:tr>
        <w:trPr>
          <w:cantSplit/>
        </w:trPr>
        <w:tc>
          <w:tcPr>
            <w:tcW w:w="625" w:type="dxa"/>
          </w:tcPr>
          <w:p>
            <w:pPr>
              <w:pStyle w:val="Compact"/>
              <w:jc w:val="left"/>
            </w:pPr>
            <w:r>
              <w:rPr>
                <w:b/>
                <w:bCs/>
                <w:sz w:val="16"/>
              </w:rPr>
              <w:t xml:space="preserve">Economics</w:t>
            </w:r>
          </w:p>
        </w:tc>
        <w:tc>
          <w:tcPr>
            <w:tcW w:w="3754" w:type="dxa"/>
          </w:tcPr>
          <w:p>
            <w:pPr>
              <w:pStyle w:val="Compact"/>
              <w:jc w:val="left"/>
            </w:pPr>
            <w:r>
              <w:rPr>
                <w:sz w:val="16"/>
              </w:rPr>
              <w:t xml:space="preserve">Reference-based pricing (mandatory, FY2027); global hospital budgets (FY2028–2030); AHEAD total cost of care accountability</w:t>
            </w:r>
          </w:p>
        </w:tc>
        <w:tc>
          <w:tcPr>
            <w:tcW w:w="3754" w:type="dxa"/>
          </w:tcPr>
          <w:p>
            <w:pPr>
              <w:pStyle w:val="Compact"/>
              <w:jc w:val="left"/>
            </w:pPr>
            <w:r>
              <w:rPr>
                <w:sz w:val="16"/>
              </w:rPr>
              <w:t xml:space="preserve">Act 68 hospital spending reduction (2.5%, FY2026); GMCB FY27 budget guidance (−1% commercial rate); Act 55 drug cap ($135M savings)</w:t>
            </w:r>
          </w:p>
        </w:tc>
        <w:tc>
          <w:tcPr>
            <w:tcW w:w="938" w:type="dxa"/>
          </w:tcPr>
          <w:p>
            <w:pPr>
              <w:pStyle w:val="Compact"/>
              <w:jc w:val="left"/>
            </w:pPr>
            <w:r>
              <w:rPr>
                <w:sz w:val="16"/>
              </w:rPr>
              <w:t xml:space="preserve">Chapters 6–7</w:t>
            </w:r>
          </w:p>
        </w:tc>
      </w:tr>
      <w:tr>
        <w:trPr>
          <w:cantSplit/>
        </w:trPr>
        <w:tc>
          <w:tcPr>
            <w:tcW w:w="625" w:type="dxa"/>
          </w:tcPr>
          <w:p>
            <w:pPr>
              <w:pStyle w:val="Compact"/>
              <w:jc w:val="left"/>
            </w:pPr>
            <w:r>
              <w:rPr>
                <w:b/>
                <w:bCs/>
                <w:sz w:val="16"/>
              </w:rPr>
              <w:t xml:space="preserve">Clinical</w:t>
            </w:r>
          </w:p>
        </w:tc>
        <w:tc>
          <w:tcPr>
            <w:tcW w:w="3754" w:type="dxa"/>
          </w:tcPr>
          <w:p>
            <w:pPr>
              <w:pStyle w:val="Compact"/>
              <w:jc w:val="left"/>
            </w:pPr>
            <w:r>
              <w:rPr>
                <w:sz w:val="16"/>
              </w:rPr>
              <w:t xml:space="preserve">Blueprint for Health (all-payer PCMH + CHT); CoCM and MHI behavioral health integration; CCBHC expansion (5 entities by July 2026)</w:t>
            </w:r>
          </w:p>
        </w:tc>
        <w:tc>
          <w:tcPr>
            <w:tcW w:w="3754" w:type="dxa"/>
          </w:tcPr>
          <w:p>
            <w:pPr>
              <w:pStyle w:val="Compact"/>
              <w:jc w:val="left"/>
            </w:pPr>
            <w:r>
              <w:rPr>
                <w:sz w:val="16"/>
              </w:rPr>
              <w:t xml:space="preserve">Hub-and-Spoke SUD model; PACE program development; COE regionalization; dementia care infrastructure</w:t>
            </w:r>
          </w:p>
        </w:tc>
        <w:tc>
          <w:tcPr>
            <w:tcW w:w="938" w:type="dxa"/>
          </w:tcPr>
          <w:p>
            <w:pPr>
              <w:pStyle w:val="Compact"/>
              <w:jc w:val="left"/>
            </w:pPr>
            <w:r>
              <w:rPr>
                <w:sz w:val="16"/>
              </w:rPr>
              <w:t xml:space="preserve">Chapters 8–9</w:t>
            </w:r>
          </w:p>
        </w:tc>
      </w:tr>
      <w:tr>
        <w:trPr>
          <w:cantSplit/>
        </w:trPr>
        <w:tc>
          <w:tcPr>
            <w:tcW w:w="625" w:type="dxa"/>
          </w:tcPr>
          <w:p>
            <w:pPr>
              <w:pStyle w:val="Compact"/>
              <w:jc w:val="left"/>
            </w:pPr>
            <w:r>
              <w:rPr>
                <w:b/>
                <w:bCs/>
                <w:sz w:val="16"/>
              </w:rPr>
              <w:t xml:space="preserve">Equity</w:t>
            </w:r>
          </w:p>
        </w:tc>
        <w:tc>
          <w:tcPr>
            <w:tcW w:w="3754" w:type="dxa"/>
          </w:tcPr>
          <w:p>
            <w:pPr>
              <w:pStyle w:val="Compact"/>
              <w:jc w:val="left"/>
            </w:pPr>
            <w:r>
              <w:rPr>
                <w:sz w:val="16"/>
              </w:rPr>
              <w:t xml:space="preserve">Geographic equity monitoring (HSA-level); SDOH integration through AHS HSA Coordinators; rural access preservation in RBP/global budget design</w:t>
            </w:r>
          </w:p>
        </w:tc>
        <w:tc>
          <w:tcPr>
            <w:tcW w:w="3754" w:type="dxa"/>
          </w:tcPr>
          <w:p>
            <w:pPr>
              <w:pStyle w:val="Compact"/>
              <w:jc w:val="left"/>
            </w:pPr>
            <w:r>
              <w:rPr>
                <w:sz w:val="16"/>
              </w:rPr>
              <w:t xml:space="preserve">HRSN universal screening (Blueprint); CCBHC access for all populations; Northeast Kingdom focus; GLP-1 access advocacy</w:t>
            </w:r>
          </w:p>
        </w:tc>
        <w:tc>
          <w:tcPr>
            <w:tcW w:w="938" w:type="dxa"/>
          </w:tcPr>
          <w:p>
            <w:pPr>
              <w:pStyle w:val="Compact"/>
              <w:jc w:val="left"/>
            </w:pPr>
            <w:r>
              <w:rPr>
                <w:sz w:val="16"/>
              </w:rPr>
              <w:t xml:space="preserve">Chapter 10</w:t>
            </w:r>
          </w:p>
        </w:tc>
      </w:tr>
      <w:tr>
        <w:trPr>
          <w:cantSplit/>
        </w:trPr>
        <w:tc>
          <w:tcPr>
            <w:tcW w:w="625" w:type="dxa"/>
          </w:tcPr>
          <w:p>
            <w:pPr>
              <w:pStyle w:val="Compact"/>
              <w:jc w:val="left"/>
            </w:pPr>
            <w:r>
              <w:rPr>
                <w:b/>
                <w:bCs/>
                <w:sz w:val="16"/>
              </w:rPr>
              <w:t xml:space="preserve">Operations</w:t>
            </w:r>
          </w:p>
        </w:tc>
        <w:tc>
          <w:tcPr>
            <w:tcW w:w="3754" w:type="dxa"/>
          </w:tcPr>
          <w:p>
            <w:pPr>
              <w:pStyle w:val="Compact"/>
              <w:jc w:val="left"/>
            </w:pPr>
            <w:r>
              <w:rPr>
                <w:sz w:val="16"/>
              </w:rPr>
              <w:t xml:space="preserve">14-hospital transformation planning (RHRC + AHS); Vermont CIN shared services; Act 68 transformation grants ($2M); PMO establishment</w:t>
            </w:r>
          </w:p>
        </w:tc>
        <w:tc>
          <w:tcPr>
            <w:tcW w:w="3754" w:type="dxa"/>
          </w:tcPr>
          <w:p>
            <w:pPr>
              <w:pStyle w:val="Compact"/>
              <w:jc w:val="left"/>
            </w:pPr>
            <w:r>
              <w:rPr>
                <w:sz w:val="16"/>
              </w:rPr>
              <w:t xml:space="preserve">EMS regionalization; administrative simplification (CON, prior auth); AHS restructuring; Division of Planning and Effectiveness</w:t>
            </w:r>
          </w:p>
        </w:tc>
        <w:tc>
          <w:tcPr>
            <w:tcW w:w="938" w:type="dxa"/>
          </w:tcPr>
          <w:p>
            <w:pPr>
              <w:pStyle w:val="Compact"/>
              <w:jc w:val="left"/>
            </w:pPr>
            <w:r>
              <w:rPr>
                <w:sz w:val="16"/>
              </w:rPr>
              <w:t xml:space="preserve">Chapters 11, 16</w:t>
            </w:r>
          </w:p>
        </w:tc>
      </w:tr>
    </w:tbl>
    <w:p>
      <w:pPr>
        <w:pStyle w:val="Caption"/>
      </w:pPr>
      <w:r>
        <w:rPr>
          <w:i/>
          <w:iCs/>
        </w:rPr>
        <w:t xml:space="preserve">Figure 1.D — Vermont’s six-pillar transformation map. Sources: Acts 167, 51, 55, 62, 68 of 2022–2025; AHEAD State Agreement; Vermont RHT Program Application;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1.7  </w:t>
      </w:r>
      <w:bookmarkStart w:id="1037" w:name="_Toc1036"/>
      <w:r>
        <w:rPr>
          <w:b/>
          <w:bCs/>
          <w:color w:val="161B22"/>
        </w:rPr>
        <w:t xml:space="preserve">From Framework to Sequence: Why Order Is Not Optional</w:t>
      </w:r>
      <w:bookmarkEnd w:id="1037"/>
    </w:p>
    <w:p>
      <w:pPr>
        <w:pStyle w:val="FirstParagraph"/>
      </w:pPr>
      <w:r>
        <w:t xml:space="preserve">Part One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1.8  </w:t>
      </w:r>
      <w:bookmarkStart w:id="1038" w:name="_Toc1037"/>
      <w:r>
        <w:rPr>
          <w:b/>
          <w:bCs/>
          <w:color w:val="161B22"/>
        </w:rPr>
        <w:t xml:space="preserve">The Core Argument: Dependency Logic Determines Sequence</w:t>
      </w:r>
      <w:bookmarkEnd w:id="1038"/>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six pillars of transformation — Policy, Technology, Economics, Clinical, Equity, and Operations — are often presented as simultaneous imperatives. Each is necessary. Each depends on the others. Remove any one and the system fails. This is true. But it obscures the practical question every reform architect must answer before a dollar is spent: in what order do you actually build this?</w:t>
      </w:r>
    </w:p>
    <w:p>
      <w:pPr>
        <w:pStyle w:val="BodyText"/>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1.9  </w:t>
      </w:r>
      <w:bookmarkStart w:id="1039" w:name="_Toc1038"/>
      <w:r>
        <w:rPr>
          <w:b/>
          <w:bCs/>
          <w:color w:val="161B22"/>
        </w:rPr>
        <w:t xml:space="preserve">The OneCare Failure: A Sequencing Autopsy</w:t>
      </w:r>
      <w:bookmarkEnd w:id="1039"/>
    </w:p>
    <w:p>
      <w:pPr>
        <w:pStyle w:val="FirstParagraph"/>
      </w:pPr>
      <w:r>
        <w:t xml:space="preserve">Before presenting the sequence, it is worth examining OneCare Vermont’s failure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into a cascade the organization could not survive.</w:t>
      </w:r>
    </w:p>
    <w:p>
      <w:pPr>
        <w:pStyle w:val="Heading3"/>
      </w:pPr>
      <w:r>
        <w:rPr>
          <w:color w:val="161B22"/>
        </w:rPr>
        <w:t xml:space="preserve">1.9.1  </w:t>
      </w:r>
      <w:bookmarkStart w:id="1040" w:name="_Toc1039"/>
      <w:r>
        <w:rPr>
          <w:b/>
          <w:bCs/>
          <w:color w:val="161B22"/>
        </w:rPr>
        <w:t xml:space="preserve">Sequencing Failure 1: Economics Without Policy Foundation</w:t>
      </w:r>
      <w:bookmarkEnd w:id="1040"/>
    </w:p>
    <w:p>
      <w:pPr>
        <w:pStyle w:val="FirstParagraph"/>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1.9.2  </w:t>
      </w:r>
      <w:bookmarkStart w:id="1041" w:name="_Toc1040"/>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41"/>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pPr>
      <w:r>
        <w:rPr>
          <w:color w:val="161B22"/>
        </w:rPr>
        <w:t xml:space="preserve">1.9.3  </w:t>
      </w:r>
      <w:bookmarkStart w:id="1042" w:name="_Toc1041"/>
      <w:r>
        <w:rPr>
          <w:b/>
          <w:bCs/>
          <w:color w:val="161B22"/>
        </w:rPr>
        <w:t xml:space="preserve">Sequencing Failure 3: The Cascade</w:t>
      </w:r>
      <w:bookmarkEnd w:id="1042"/>
    </w:p>
    <w:p>
      <w:pPr>
        <w:pStyle w:val="FirstParagraph"/>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autofit"/>
      </w:tblPr>
      <w:tblGrid>
        <w:gridCol w:w="935"/>
        <w:gridCol w:w="2525"/>
        <w:gridCol w:w="2805"/>
        <w:gridCol w:w="2805"/>
      </w:tblGrid>
      <w:tr>
        <w:trPr>
          <w:tblHeader w:val="on"/>
          <w:cantSplit/>
        </w:trPr>
        <w:tc>
          <w:tcPr>
            <w:shd w:val="clear" w:color="auto" w:fill="1B3A6B"/>
            <w:tcW w:w="935" w:type="dxa"/>
          </w:tcPr>
          <w:p>
            <w:pPr>
              <w:pStyle w:val="Compact"/>
              <w:jc w:val="left"/>
            </w:pPr>
            <w:r>
              <w:rPr>
                <w:b/>
                <w:color w:val="FFFFFF"/>
                <w:sz w:val="18"/>
              </w:rPr>
              <w:t xml:space="preserve">Sequencing Gap</w:t>
            </w:r>
          </w:p>
        </w:tc>
        <w:tc>
          <w:tcPr>
            <w:shd w:val="clear" w:color="auto" w:fill="1B3A6B"/>
            <w:tcW w:w="2525" w:type="dxa"/>
          </w:tcPr>
          <w:p>
            <w:pPr>
              <w:pStyle w:val="Compact"/>
              <w:jc w:val="left"/>
            </w:pPr>
            <w:r>
              <w:rPr>
                <w:b/>
                <w:color w:val="FFFFFF"/>
                <w:sz w:val="18"/>
              </w:rPr>
              <w:t xml:space="preserve">Structural Error</w:t>
            </w:r>
          </w:p>
        </w:tc>
        <w:tc>
          <w:tcPr>
            <w:shd w:val="clear" w:color="auto" w:fill="1B3A6B"/>
            <w:tcW w:w="2805" w:type="dxa"/>
          </w:tcPr>
          <w:p>
            <w:pPr>
              <w:pStyle w:val="Compact"/>
              <w:jc w:val="left"/>
            </w:pPr>
            <w:r>
              <w:rPr>
                <w:b/>
                <w:color w:val="FFFFFF"/>
                <w:sz w:val="18"/>
              </w:rPr>
              <w:t xml:space="preserve">Direct Consequence</w:t>
            </w:r>
          </w:p>
        </w:tc>
        <w:tc>
          <w:tcPr>
            <w:shd w:val="clear" w:color="auto" w:fill="1B3A6B"/>
            <w:tcW w:w="2805" w:type="dxa"/>
          </w:tcPr>
          <w:p>
            <w:pPr>
              <w:pStyle w:val="Compact"/>
              <w:jc w:val="left"/>
            </w:pPr>
            <w:r>
              <w:rPr>
                <w:b/>
                <w:color w:val="FFFFFF"/>
                <w:sz w:val="18"/>
              </w:rPr>
              <w:t xml:space="preserve">Cascade Effect</w:t>
            </w:r>
          </w:p>
        </w:tc>
      </w:tr>
      <w:tr>
        <w:trPr>
          <w:cantSplit/>
        </w:trPr>
        <w:tc>
          <w:tcPr>
            <w:tcW w:w="935" w:type="dxa"/>
          </w:tcPr>
          <w:p>
            <w:pPr>
              <w:pStyle w:val="Compact"/>
              <w:jc w:val="left"/>
            </w:pPr>
            <w:r>
              <w:rPr>
                <w:sz w:val="18"/>
              </w:rPr>
              <w:t xml:space="preserve">Policy (Stage 1)</w:t>
            </w:r>
          </w:p>
        </w:tc>
        <w:tc>
          <w:tcPr>
            <w:tcW w:w="2525" w:type="dxa"/>
          </w:tcPr>
          <w:p>
            <w:pPr>
              <w:pStyle w:val="Compact"/>
              <w:jc w:val="left"/>
            </w:pPr>
            <w:r>
              <w:rPr>
                <w:sz w:val="18"/>
              </w:rPr>
              <w:t xml:space="preserve">Voluntary participation — no mandate</w:t>
            </w:r>
          </w:p>
        </w:tc>
        <w:tc>
          <w:tcPr>
            <w:tcW w:w="2805" w:type="dxa"/>
          </w:tcPr>
          <w:p>
            <w:pPr>
              <w:pStyle w:val="Compact"/>
              <w:jc w:val="left"/>
            </w:pPr>
            <w:r>
              <w:rPr>
                <w:sz w:val="18"/>
              </w:rPr>
              <w:t xml:space="preserve">High-revenue hospitals opt out; ACO accountable for costs it cannot influence</w:t>
            </w:r>
          </w:p>
        </w:tc>
        <w:tc>
          <w:tcPr>
            <w:tcW w:w="2805" w:type="dxa"/>
          </w:tcPr>
          <w:p>
            <w:pPr>
              <w:pStyle w:val="Compact"/>
              <w:jc w:val="left"/>
            </w:pPr>
            <w:r>
              <w:rPr>
                <w:sz w:val="18"/>
              </w:rPr>
              <w:t xml:space="preserve">Total cost of care cannot be managed → savings targets missed</w:t>
            </w:r>
          </w:p>
        </w:tc>
      </w:tr>
      <w:tr>
        <w:trPr>
          <w:cantSplit/>
        </w:trPr>
        <w:tc>
          <w:tcPr>
            <w:tcW w:w="935" w:type="dxa"/>
          </w:tcPr>
          <w:p>
            <w:pPr>
              <w:pStyle w:val="Compact"/>
              <w:jc w:val="left"/>
            </w:pPr>
            <w:r>
              <w:rPr>
                <w:sz w:val="18"/>
              </w:rPr>
              <w:t xml:space="preserve">Technology (Stage 2)</w:t>
            </w:r>
          </w:p>
        </w:tc>
        <w:tc>
          <w:tcPr>
            <w:tcW w:w="2525" w:type="dxa"/>
          </w:tcPr>
          <w:p>
            <w:pPr>
              <w:pStyle w:val="Compact"/>
              <w:jc w:val="left"/>
            </w:pPr>
            <w:r>
              <w:rPr>
                <w:sz w:val="18"/>
              </w:rPr>
              <w:t xml:space="preserve">No integrated real-time data; 60–90 day lag</w:t>
            </w:r>
          </w:p>
        </w:tc>
        <w:tc>
          <w:tcPr>
            <w:tcW w:w="280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805" w:type="dxa"/>
          </w:tcPr>
          <w:p>
            <w:pPr>
              <w:pStyle w:val="Compact"/>
              <w:jc w:val="left"/>
            </w:pPr>
            <w:r>
              <w:rPr>
                <w:sz w:val="18"/>
              </w:rPr>
              <w:t xml:space="preserve">Proactive intervention impossible → high-cost events not prevented → financial exposure accelerates</w:t>
            </w:r>
          </w:p>
        </w:tc>
      </w:tr>
      <w:tr>
        <w:trPr>
          <w:cantSplit/>
        </w:trPr>
        <w:tc>
          <w:tcPr>
            <w:tcW w:w="935" w:type="dxa"/>
          </w:tcPr>
          <w:p>
            <w:pPr>
              <w:pStyle w:val="Compact"/>
              <w:jc w:val="left"/>
            </w:pPr>
            <w:r>
              <w:rPr>
                <w:sz w:val="18"/>
              </w:rPr>
              <w:t xml:space="preserve">Economics (Stage 3)</w:t>
            </w:r>
          </w:p>
        </w:tc>
        <w:tc>
          <w:tcPr>
            <w:tcW w:w="2525" w:type="dxa"/>
          </w:tcPr>
          <w:p>
            <w:pPr>
              <w:pStyle w:val="Compact"/>
              <w:jc w:val="left"/>
            </w:pPr>
            <w:r>
              <w:rPr>
                <w:sz w:val="18"/>
              </w:rPr>
              <w:t xml:space="preserve">Payment model assumed risk before technology was ready</w:t>
            </w:r>
          </w:p>
        </w:tc>
        <w:tc>
          <w:tcPr>
            <w:tcW w:w="2805" w:type="dxa"/>
          </w:tcPr>
          <w:p>
            <w:pPr>
              <w:pStyle w:val="Compact"/>
              <w:jc w:val="left"/>
            </w:pPr>
            <w:r>
              <w:rPr>
                <w:sz w:val="18"/>
              </w:rPr>
              <w:t xml:space="preserve">Unexpected losses → cannot demonstrate savings to payers</w:t>
            </w:r>
          </w:p>
        </w:tc>
        <w:tc>
          <w:tcPr>
            <w:tcW w:w="2805" w:type="dxa"/>
          </w:tcPr>
          <w:p>
            <w:pPr>
              <w:pStyle w:val="Compact"/>
              <w:jc w:val="left"/>
            </w:pPr>
            <w:r>
              <w:rPr>
                <w:sz w:val="18"/>
              </w:rPr>
              <w:t xml:space="preserve">Capital unavailable to build technology → cycle repeats</w:t>
            </w:r>
          </w:p>
        </w:tc>
      </w:tr>
      <w:tr>
        <w:trPr>
          <w:cantSplit/>
        </w:trPr>
        <w:tc>
          <w:tcPr>
            <w:tcW w:w="935" w:type="dxa"/>
          </w:tcPr>
          <w:p>
            <w:pPr>
              <w:pStyle w:val="Compact"/>
              <w:jc w:val="left"/>
            </w:pPr>
            <w:r>
              <w:rPr>
                <w:sz w:val="18"/>
              </w:rPr>
              <w:t xml:space="preserve">System-level</w:t>
            </w:r>
          </w:p>
        </w:tc>
        <w:tc>
          <w:tcPr>
            <w:tcW w:w="2525" w:type="dxa"/>
          </w:tcPr>
          <w:p>
            <w:pPr>
              <w:pStyle w:val="Compact"/>
              <w:jc w:val="left"/>
            </w:pPr>
            <w:r>
              <w:rPr>
                <w:sz w:val="18"/>
              </w:rPr>
              <w:t xml:space="preserve">Three gaps mutually reinforcing</w:t>
            </w:r>
          </w:p>
        </w:tc>
        <w:tc>
          <w:tcPr>
            <w:tcW w:w="2805" w:type="dxa"/>
          </w:tcPr>
          <w:p>
            <w:pPr>
              <w:pStyle w:val="Compact"/>
              <w:jc w:val="left"/>
            </w:pPr>
            <w:r>
              <w:rPr>
                <w:sz w:val="18"/>
              </w:rPr>
              <w:t xml:space="preserve">Organizational wind-down after ~10 years</w:t>
            </w:r>
          </w:p>
        </w:tc>
        <w:tc>
          <w:tcPr>
            <w:tcW w:w="2805" w:type="dxa"/>
          </w:tcPr>
          <w:p>
            <w:pPr>
              <w:pStyle w:val="Compact"/>
              <w:jc w:val="left"/>
            </w:pPr>
            <w:r>
              <w:rPr>
                <w:sz w:val="18"/>
              </w:rPr>
              <w:t xml:space="preserve">Failure was architectural — no management decision could reverse it</w:t>
            </w:r>
          </w:p>
        </w:tc>
      </w:tr>
    </w:tbl>
    <w:p>
      <w:pPr>
        <w:pStyle w:val="Caption"/>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has critics, and they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 The choice is not between a smooth voluntary process and a contentious mandatory one. It is between a process that produces structural change — contentiously — and one that produces durable accommodation of the status quo — smoothly. 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 A hospital that redesigns its administrative operations before its payment model is live will optimize for a fee-for-service world that the reform is designed to replace.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30"/>
        <w:gridCol w:w="697"/>
        <w:gridCol w:w="4198"/>
        <w:gridCol w:w="4198"/>
        <w:gridCol w:w="4198"/>
      </w:tblGrid>
      <w:tr>
        <w:trPr>
          <w:tblHeader w:val="on"/>
          <w:cantSplit/>
        </w:trPr>
        <w:tc>
          <w:tcPr>
            <w:shd w:val="clear" w:color="auto" w:fill="1B3A6B"/>
            <w:tcW w:w="348" w:type="dxa"/>
          </w:tcPr>
          <w:p>
            <w:pPr>
              <w:pStyle w:val="Compact"/>
              <w:jc w:val="center"/>
            </w:pPr>
            <w:r>
              <w:rPr>
                <w:b/>
                <w:color w:val="FFFFFF"/>
                <w:sz w:val="16"/>
              </w:rPr>
              <w:t xml:space="preserve">#</w:t>
            </w:r>
          </w:p>
        </w:tc>
        <w:tc>
          <w:tcPr>
            <w:shd w:val="clear" w:color="auto" w:fill="1B3A6B"/>
            <w:tcW w:w="458" w:type="dxa"/>
          </w:tcPr>
          <w:p>
            <w:pPr>
              <w:pStyle w:val="Compact"/>
              <w:jc w:val="left"/>
            </w:pPr>
            <w:r>
              <w:rPr>
                <w:b/>
                <w:color w:val="FFFFFF"/>
                <w:sz w:val="16"/>
              </w:rPr>
              <w:t xml:space="preserve">Pillar</w:t>
            </w:r>
          </w:p>
        </w:tc>
        <w:tc>
          <w:tcPr>
            <w:shd w:val="clear" w:color="auto" w:fill="1B3A6B"/>
            <w:tcW w:w="2755" w:type="dxa"/>
          </w:tcPr>
          <w:p>
            <w:pPr>
              <w:pStyle w:val="Compact"/>
              <w:jc w:val="left"/>
            </w:pPr>
            <w:r>
              <w:rPr>
                <w:b/>
                <w:color w:val="FFFFFF"/>
                <w:sz w:val="16"/>
              </w:rPr>
              <w:t xml:space="preserve">Key action</w:t>
            </w:r>
          </w:p>
        </w:tc>
        <w:tc>
          <w:tcPr>
            <w:shd w:val="clear" w:color="auto" w:fill="1B3A6B"/>
            <w:tcW w:w="2755" w:type="dxa"/>
          </w:tcPr>
          <w:p>
            <w:pPr>
              <w:pStyle w:val="Compact"/>
              <w:jc w:val="left"/>
            </w:pPr>
            <w:r>
              <w:rPr>
                <w:b/>
                <w:color w:val="FFFFFF"/>
                <w:sz w:val="16"/>
              </w:rPr>
              <w:t xml:space="preserve">Why this sequence</w:t>
            </w:r>
          </w:p>
        </w:tc>
        <w:tc>
          <w:tcPr>
            <w:shd w:val="clear" w:color="auto" w:fill="1B3A6B"/>
            <w:tcW w:w="2755" w:type="dxa"/>
          </w:tcPr>
          <w:p>
            <w:pPr>
              <w:pStyle w:val="Compact"/>
              <w:jc w:val="left"/>
            </w:pPr>
            <w:r>
              <w:rPr>
                <w:b/>
                <w:color w:val="FFFFFF"/>
                <w:sz w:val="16"/>
              </w:rPr>
              <w:t xml:space="preserve">Vermont anchor</w:t>
            </w:r>
          </w:p>
        </w:tc>
      </w:tr>
      <w:tr>
        <w:trPr>
          <w:cantSplit/>
        </w:trPr>
        <w:tc>
          <w:tcPr>
            <w:tcW w:w="348" w:type="dxa"/>
          </w:tcPr>
          <w:p>
            <w:pPr>
              <w:pStyle w:val="Compact"/>
              <w:jc w:val="center"/>
            </w:pPr>
            <w:r>
              <w:rPr>
                <w:sz w:val="16"/>
              </w:rPr>
              <w:t xml:space="preserve">1</w:t>
            </w:r>
          </w:p>
        </w:tc>
        <w:tc>
          <w:tcPr>
            <w:tcW w:w="458" w:type="dxa"/>
          </w:tcPr>
          <w:p>
            <w:pPr>
              <w:pStyle w:val="Compact"/>
              <w:jc w:val="left"/>
            </w:pPr>
            <w:r>
              <w:rPr>
                <w:sz w:val="16"/>
              </w:rPr>
              <w:t xml:space="preserve">Policy</w:t>
            </w:r>
          </w:p>
        </w:tc>
        <w:tc>
          <w:tcPr>
            <w:tcW w:w="2755" w:type="dxa"/>
          </w:tcPr>
          <w:p>
            <w:pPr>
              <w:pStyle w:val="Compact"/>
              <w:jc w:val="left"/>
            </w:pPr>
            <w:r>
              <w:rPr>
                <w:sz w:val="16"/>
              </w:rPr>
              <w:t xml:space="preserve">Establish enforceable authority, mandate participation, secure transformation capital</w:t>
            </w:r>
          </w:p>
        </w:tc>
        <w:tc>
          <w:tcPr>
            <w:tcW w:w="2755" w:type="dxa"/>
          </w:tcPr>
          <w:p>
            <w:pPr>
              <w:pStyle w:val="Compact"/>
              <w:jc w:val="left"/>
            </w:pPr>
            <w:r>
              <w:rPr>
                <w:sz w:val="16"/>
              </w:rPr>
              <w:t xml:space="preserve">Nothing can be authorized, built, or funded without statutory permission. Mandatory architecture prevents high-cost actors from opting out.</w:t>
            </w:r>
          </w:p>
        </w:tc>
        <w:tc>
          <w:tcPr>
            <w:tcW w:w="2755" w:type="dxa"/>
          </w:tcPr>
          <w:p>
            <w:pPr>
              <w:pStyle w:val="Compact"/>
              <w:jc w:val="left"/>
            </w:pPr>
            <w:r>
              <w:rPr>
                <w:sz w:val="16"/>
              </w:rPr>
              <w:t xml:space="preserve">Acts 167, 51, 68; AHEAD State Agreement; $195M RHT award</w:t>
            </w:r>
          </w:p>
        </w:tc>
      </w:tr>
      <w:tr>
        <w:trPr>
          <w:cantSplit/>
        </w:trPr>
        <w:tc>
          <w:tcPr>
            <w:tcW w:w="348" w:type="dxa"/>
          </w:tcPr>
          <w:p>
            <w:pPr>
              <w:pStyle w:val="Compact"/>
              <w:jc w:val="center"/>
            </w:pPr>
            <w:r>
              <w:rPr>
                <w:sz w:val="16"/>
              </w:rPr>
              <w:t xml:space="preserve">2</w:t>
            </w:r>
          </w:p>
        </w:tc>
        <w:tc>
          <w:tcPr>
            <w:tcW w:w="458" w:type="dxa"/>
          </w:tcPr>
          <w:p>
            <w:pPr>
              <w:pStyle w:val="Compact"/>
              <w:jc w:val="left"/>
            </w:pPr>
            <w:r>
              <w:rPr>
                <w:sz w:val="16"/>
              </w:rPr>
              <w:t xml:space="preserve">Technology</w:t>
            </w:r>
          </w:p>
        </w:tc>
        <w:tc>
          <w:tcPr>
            <w:tcW w:w="2755" w:type="dxa"/>
          </w:tcPr>
          <w:p>
            <w:pPr>
              <w:pStyle w:val="Compact"/>
              <w:jc w:val="left"/>
            </w:pPr>
            <w:r>
              <w:rPr>
                <w:sz w:val="16"/>
              </w:rPr>
              <w:t xml:space="preserve">Build integrated clinical + claims data infrastructure — real-time — before financial risk is assumed</w:t>
            </w:r>
          </w:p>
        </w:tc>
        <w:tc>
          <w:tcPr>
            <w:tcW w:w="2755" w:type="dxa"/>
          </w:tcPr>
          <w:p>
            <w:pPr>
              <w:pStyle w:val="Compact"/>
              <w:jc w:val="left"/>
            </w:pPr>
            <w:r>
              <w:rPr>
                <w:sz w:val="16"/>
              </w:rPr>
              <w:t xml:space="preserve">Technology is the operating system. Must be operational before Economics goes live.</w:t>
            </w:r>
            <w:r>
              <w:rPr>
                <w:sz w:val="16"/>
              </w:rPr>
              <w:t xml:space="preserve"> </w:t>
            </w:r>
            <w:r>
              <w:rPr>
                <w:sz w:val="16"/>
              </w:rPr>
              <w:t xml:space="preserve">“Managing Blind”</w:t>
            </w:r>
            <w:r>
              <w:rPr>
                <w:sz w:val="16"/>
              </w:rPr>
              <w:t xml:space="preserve"> </w:t>
            </w:r>
            <w:r>
              <w:rPr>
                <w:sz w:val="16"/>
              </w:rPr>
              <w:t xml:space="preserve">is the failure mode.</w:t>
            </w:r>
          </w:p>
        </w:tc>
        <w:tc>
          <w:tcPr>
            <w:tcW w:w="2755" w:type="dxa"/>
          </w:tcPr>
          <w:p>
            <w:pPr>
              <w:pStyle w:val="Compact"/>
              <w:jc w:val="left"/>
            </w:pPr>
            <w:r>
              <w:rPr>
                <w:sz w:val="16"/>
              </w:rPr>
              <w:t xml:space="preserve">VHCURES; VITL/VHIE; AHS-GMCB analytics capability; Vermont CIN</w:t>
            </w:r>
          </w:p>
        </w:tc>
      </w:tr>
      <w:tr>
        <w:trPr>
          <w:cantSplit/>
        </w:trPr>
        <w:tc>
          <w:tcPr>
            <w:tcW w:w="348" w:type="dxa"/>
          </w:tcPr>
          <w:p>
            <w:pPr>
              <w:pStyle w:val="Compact"/>
              <w:jc w:val="center"/>
            </w:pPr>
            <w:r>
              <w:rPr>
                <w:sz w:val="16"/>
              </w:rPr>
              <w:t xml:space="preserve">3</w:t>
            </w:r>
          </w:p>
        </w:tc>
        <w:tc>
          <w:tcPr>
            <w:tcW w:w="458" w:type="dxa"/>
          </w:tcPr>
          <w:p>
            <w:pPr>
              <w:pStyle w:val="Compact"/>
              <w:jc w:val="left"/>
            </w:pPr>
            <w:r>
              <w:rPr>
                <w:sz w:val="16"/>
              </w:rPr>
              <w:t xml:space="preserve">Economics</w:t>
            </w:r>
          </w:p>
        </w:tc>
        <w:tc>
          <w:tcPr>
            <w:tcW w:w="2755" w:type="dxa"/>
          </w:tcPr>
          <w:p>
            <w:pPr>
              <w:pStyle w:val="Compact"/>
              <w:jc w:val="left"/>
            </w:pPr>
            <w:r>
              <w:rPr>
                <w:sz w:val="16"/>
              </w:rPr>
              <w:t xml:space="preserve">Deploy global budgets and RBP onto a system that can already see itself</w:t>
            </w:r>
          </w:p>
        </w:tc>
        <w:tc>
          <w:tcPr>
            <w:tcW w:w="2755" w:type="dxa"/>
          </w:tcPr>
          <w:p>
            <w:pPr>
              <w:pStyle w:val="Compact"/>
              <w:jc w:val="left"/>
            </w:pPr>
            <w:r>
              <w:rPr>
                <w:sz w:val="16"/>
              </w:rPr>
              <w:t xml:space="preserve">Economics-as-management requires the technology substrate. Payment design (Economics-as-design) happens in parallel during Stage 2.</w:t>
            </w:r>
          </w:p>
        </w:tc>
        <w:tc>
          <w:tcPr>
            <w:tcW w:w="2755" w:type="dxa"/>
          </w:tcPr>
          <w:p>
            <w:pPr>
              <w:pStyle w:val="Compact"/>
              <w:jc w:val="left"/>
            </w:pPr>
            <w:r>
              <w:rPr>
                <w:sz w:val="16"/>
              </w:rPr>
              <w:t xml:space="preserve">Global hospital budgets; RBP at ≤200% Medicare; EAST Fund up to $150M annually</w:t>
            </w:r>
          </w:p>
        </w:tc>
      </w:tr>
      <w:tr>
        <w:trPr>
          <w:cantSplit/>
        </w:trPr>
        <w:tc>
          <w:tcPr>
            <w:tcW w:w="348" w:type="dxa"/>
          </w:tcPr>
          <w:p>
            <w:pPr>
              <w:pStyle w:val="Compact"/>
              <w:jc w:val="center"/>
            </w:pPr>
            <w:r>
              <w:rPr>
                <w:sz w:val="16"/>
              </w:rPr>
              <w:t xml:space="preserve">4</w:t>
            </w:r>
          </w:p>
        </w:tc>
        <w:tc>
          <w:tcPr>
            <w:tcW w:w="458" w:type="dxa"/>
          </w:tcPr>
          <w:p>
            <w:pPr>
              <w:pStyle w:val="Compact"/>
              <w:jc w:val="left"/>
            </w:pPr>
            <w:r>
              <w:rPr>
                <w:sz w:val="16"/>
              </w:rPr>
              <w:t xml:space="preserve">Clinical</w:t>
            </w:r>
          </w:p>
        </w:tc>
        <w:tc>
          <w:tcPr>
            <w:tcW w:w="2755" w:type="dxa"/>
          </w:tcPr>
          <w:p>
            <w:pPr>
              <w:pStyle w:val="Compact"/>
              <w:jc w:val="left"/>
            </w:pPr>
            <w:r>
              <w:rPr>
                <w:sz w:val="16"/>
              </w:rPr>
              <w:t xml:space="preserve">Redesign care on aligned incentives</w:t>
            </w:r>
          </w:p>
        </w:tc>
        <w:tc>
          <w:tcPr>
            <w:tcW w:w="2755" w:type="dxa"/>
          </w:tcPr>
          <w:p>
            <w:pPr>
              <w:pStyle w:val="Compact"/>
              <w:jc w:val="left"/>
            </w:pPr>
            <w:r>
              <w:rPr>
                <w:sz w:val="16"/>
              </w:rPr>
              <w:t xml:space="preserve">Clinical transformation is where ROI is realized — but only when payment incentives are live and technology identifies which patients need which interventions.</w:t>
            </w:r>
          </w:p>
        </w:tc>
        <w:tc>
          <w:tcPr>
            <w:tcW w:w="2755" w:type="dxa"/>
          </w:tcPr>
          <w:p>
            <w:pPr>
              <w:pStyle w:val="Compact"/>
              <w:jc w:val="left"/>
            </w:pPr>
            <w:r>
              <w:rPr>
                <w:sz w:val="16"/>
              </w:rPr>
              <w:t xml:space="preserve">PCMH transformation; CoCM; CCBHC expansion; Blueprint 5.8:1 ROI</w:t>
            </w:r>
          </w:p>
        </w:tc>
      </w:tr>
      <w:tr>
        <w:trPr>
          <w:cantSplit/>
        </w:trPr>
        <w:tc>
          <w:tcPr>
            <w:tcW w:w="348" w:type="dxa"/>
          </w:tcPr>
          <w:p>
            <w:pPr>
              <w:pStyle w:val="Compact"/>
              <w:jc w:val="center"/>
            </w:pPr>
            <w:r>
              <w:rPr>
                <w:sz w:val="16"/>
              </w:rPr>
              <w:t xml:space="preserve">5</w:t>
            </w:r>
          </w:p>
        </w:tc>
        <w:tc>
          <w:tcPr>
            <w:tcW w:w="458" w:type="dxa"/>
          </w:tcPr>
          <w:p>
            <w:pPr>
              <w:pStyle w:val="Compact"/>
              <w:jc w:val="left"/>
            </w:pPr>
            <w:r>
              <w:rPr>
                <w:sz w:val="16"/>
              </w:rPr>
              <w:t xml:space="preserve">Equity</w:t>
            </w:r>
          </w:p>
        </w:tc>
        <w:tc>
          <w:tcPr>
            <w:tcW w:w="2755" w:type="dxa"/>
          </w:tcPr>
          <w:p>
            <w:pPr>
              <w:pStyle w:val="Compact"/>
              <w:jc w:val="left"/>
            </w:pPr>
            <w:r>
              <w:rPr>
                <w:sz w:val="16"/>
              </w:rPr>
              <w:t xml:space="preserve">Audit, calibrate, correct — with social risk adjustment embedded in payment design</w:t>
            </w:r>
          </w:p>
        </w:tc>
        <w:tc>
          <w:tcPr>
            <w:tcW w:w="2755" w:type="dxa"/>
          </w:tcPr>
          <w:p>
            <w:pPr>
              <w:pStyle w:val="Compact"/>
              <w:jc w:val="left"/>
            </w:pPr>
            <w:r>
              <w:rPr>
                <w:sz w:val="16"/>
              </w:rPr>
              <w:t xml:space="preserve">Equity is a constraining dependency throughout. Without social risk adjustment, global budgets penalize safety-net providers.</w:t>
            </w:r>
          </w:p>
        </w:tc>
        <w:tc>
          <w:tcPr>
            <w:tcW w:w="2755" w:type="dxa"/>
          </w:tcPr>
          <w:p>
            <w:pPr>
              <w:pStyle w:val="Compact"/>
              <w:jc w:val="left"/>
            </w:pPr>
            <w:r>
              <w:rPr>
                <w:sz w:val="16"/>
              </w:rPr>
              <w:t xml:space="preserve">HRSN screening; EAST Fund for SDOH; SRA in global budgets; REH model</w:t>
            </w:r>
          </w:p>
        </w:tc>
      </w:tr>
      <w:tr>
        <w:trPr>
          <w:cantSplit/>
        </w:trPr>
        <w:tc>
          <w:tcPr>
            <w:tcW w:w="348" w:type="dxa"/>
          </w:tcPr>
          <w:p>
            <w:pPr>
              <w:pStyle w:val="Compact"/>
              <w:jc w:val="center"/>
            </w:pPr>
            <w:r>
              <w:rPr>
                <w:sz w:val="16"/>
              </w:rPr>
              <w:t xml:space="preserve">6</w:t>
            </w:r>
          </w:p>
        </w:tc>
        <w:tc>
          <w:tcPr>
            <w:tcW w:w="458" w:type="dxa"/>
          </w:tcPr>
          <w:p>
            <w:pPr>
              <w:pStyle w:val="Compact"/>
              <w:jc w:val="left"/>
            </w:pPr>
            <w:r>
              <w:rPr>
                <w:sz w:val="16"/>
              </w:rPr>
              <w:t xml:space="preserve">Operations</w:t>
            </w:r>
          </w:p>
        </w:tc>
        <w:tc>
          <w:tcPr>
            <w:tcW w:w="2755" w:type="dxa"/>
          </w:tcPr>
          <w:p>
            <w:pPr>
              <w:pStyle w:val="Compact"/>
              <w:jc w:val="left"/>
            </w:pPr>
            <w:r>
              <w:rPr>
                <w:sz w:val="16"/>
              </w:rPr>
              <w:t xml:space="preserve">Close the administrative cost gap and translate strategy into implemented programs</w:t>
            </w:r>
          </w:p>
        </w:tc>
        <w:tc>
          <w:tcPr>
            <w:tcW w:w="2755" w:type="dxa"/>
          </w:tcPr>
          <w:p>
            <w:pPr>
              <w:pStyle w:val="Compact"/>
              <w:jc w:val="left"/>
            </w:pPr>
            <w:r>
              <w:rPr>
                <w:sz w:val="16"/>
              </w:rPr>
              <w:t xml:space="preserve">Operations is the execution layer. Vermont’s $1,303 per-discharge administrative gap vs. national benchmark is the primary source of projected direct savings.</w:t>
            </w:r>
          </w:p>
        </w:tc>
        <w:tc>
          <w:tcPr>
            <w:tcW w:w="2755" w:type="dxa"/>
          </w:tcPr>
          <w:p>
            <w:pPr>
              <w:pStyle w:val="Compact"/>
              <w:jc w:val="left"/>
            </w:pPr>
            <w:r>
              <w:rPr>
                <w:sz w:val="16"/>
              </w:rPr>
              <w:t xml:space="preserve">RHRC methodology; shared services; 14-hospital transformation planning</w:t>
            </w:r>
          </w:p>
        </w:tc>
      </w:tr>
    </w:tbl>
    <w:p>
      <w:pPr>
        <w:pStyle w:val="Caption"/>
      </w:pPr>
      <w:r>
        <w:rPr>
          <w:i/>
          <w:iCs/>
        </w:rPr>
        <w:t xml:space="preserve">Figure 1.2 — The Six-Stage Execution Sequence.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The six-stage sequence is the</w:t>
      </w:r>
      <w:r>
        <w:t xml:space="preserve"> </w:t>
      </w:r>
      <w:r>
        <w:rPr>
          <w:i/>
          <w:iCs/>
        </w:rPr>
        <w:t xml:space="preserve">what</w:t>
      </w:r>
      <w:r>
        <w:t xml:space="preserve">. Applying it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pPr>
      <w:r>
        <w:t xml:space="preserve">In practice, reading the critical path means identifying which investments are</w:t>
      </w:r>
      <w:r>
        <w:t xml:space="preserve"> </w:t>
      </w:r>
      <w:r>
        <w:rPr>
          <w:i/>
          <w:iCs/>
        </w:rPr>
        <w:t xml:space="preserve">gates</w:t>
      </w:r>
      <w:r>
        <w:t xml:space="preserve"> </w:t>
      </w:r>
      <w:r>
        <w:t xml:space="preserve">— prerequisites that must be in place before the next investment can be productive. Vermont’s critical-path sequence for AHEAD implementation: the Policy gate closed in June 2025 when Act 68 established mandatory RBP (FY2027) and global budgets (FY2028). All Vermont hospitals are now in the mandatory architecture. The Technology gate — VHCURES analytics, HCC gap closure, attribution modeling — must be operational before the January 2028 AHEAD performance year begins. This is the current critical bottleneck. The Economics gate (global budget contracts set by GMCB for FY2028) opens after the Technology gate is complete. The Clinical gate (clinical programs generating utilization reduction at scale)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being opened (analytics capability deployment, VHCURES integration), parallel work proceeds on Equity design (social risk adjustment methodology for global budgets), Operations capacity building (RHRC hospital transformation planning, AHS PMO establishment), and Clinical infrastructure (Blueprint PCMH expansion, CCBHC certifications). None of this parallel work depends on the Technology gate being open — it can proceed simultaneously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you cannot buy your way past a closed gate.</w:t>
            </w:r>
          </w:p>
        </w:tc>
      </w:tr>
    </w:tbl>
    <w:p>
      <w:pPr>
        <w:spacing w:after="120"/>
      </w:pP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1">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pPr>
      <w:r>
        <w:t xml:space="preserve">The OneCare autopsy above is the fully documented case. The same errors recur, in generalizable form, across every transformation effort.</w:t>
      </w:r>
      <w:r>
        <w:t xml:space="preserve"> </w:t>
      </w:r>
      <w:r>
        <w:rPr>
          <w:b/>
          <w:bCs/>
        </w:rPr>
        <w:t xml:space="preserve">Figure 1.E</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456"/>
        <w:gridCol w:w="3456"/>
        <w:gridCol w:w="3456"/>
        <w:gridCol w:w="3456"/>
      </w:tblGrid>
      <w:tr>
        <w:trPr>
          <w:tblHeader w:val="on"/>
          <w:cantSplit/>
        </w:trPr>
        <w:tc>
          <w:tcPr>
            <w:shd w:val="clear" w:color="auto" w:fill="1B3A6B"/>
            <w:tcW w:w="2268" w:type="dxa"/>
          </w:tcPr>
          <w:p>
            <w:pPr>
              <w:pStyle w:val="Compact"/>
              <w:jc w:val="left"/>
            </w:pPr>
            <w:r>
              <w:rPr>
                <w:b/>
                <w:color w:val="FFFFFF"/>
                <w:sz w:val="16"/>
              </w:rPr>
              <w:t xml:space="preserve">Sequencing error</w:t>
            </w:r>
          </w:p>
        </w:tc>
        <w:tc>
          <w:tcPr>
            <w:shd w:val="clear" w:color="auto" w:fill="1B3A6B"/>
            <w:tcW w:w="2268" w:type="dxa"/>
          </w:tcPr>
          <w:p>
            <w:pPr>
              <w:pStyle w:val="Compact"/>
              <w:jc w:val="left"/>
            </w:pPr>
            <w:r>
              <w:rPr>
                <w:b/>
                <w:color w:val="FFFFFF"/>
                <w:sz w:val="16"/>
              </w:rPr>
              <w:t xml:space="preserve">Early-warning signals</w:t>
            </w:r>
          </w:p>
        </w:tc>
        <w:tc>
          <w:tcPr>
            <w:shd w:val="clear" w:color="auto" w:fill="1B3A6B"/>
            <w:tcW w:w="2268" w:type="dxa"/>
          </w:tcPr>
          <w:p>
            <w:pPr>
              <w:pStyle w:val="Compact"/>
              <w:jc w:val="left"/>
            </w:pPr>
            <w:r>
              <w:rPr>
                <w:b/>
                <w:color w:val="FFFFFF"/>
                <w:sz w:val="16"/>
              </w:rPr>
              <w:t xml:space="preserve">Vermont evidence</w:t>
            </w:r>
          </w:p>
        </w:tc>
        <w:tc>
          <w:tcPr>
            <w:shd w:val="clear" w:color="auto" w:fill="1B3A6B"/>
            <w:tcW w:w="2268" w:type="dxa"/>
          </w:tcPr>
          <w:p>
            <w:pPr>
              <w:pStyle w:val="Compact"/>
              <w:jc w:val="left"/>
            </w:pPr>
            <w:r>
              <w:rPr>
                <w:b/>
                <w:color w:val="FFFFFF"/>
                <w:sz w:val="16"/>
              </w:rPr>
              <w:t xml:space="preserve">Correction</w:t>
            </w:r>
          </w:p>
        </w:tc>
      </w:tr>
      <w:tr>
        <w:trPr>
          <w:cantSplit/>
        </w:trPr>
        <w:tc>
          <w:tcPr>
            <w:tcW w:w="2268" w:type="dxa"/>
          </w:tcPr>
          <w:p>
            <w:pPr>
              <w:pStyle w:val="Compact"/>
              <w:jc w:val="left"/>
            </w:pPr>
            <w:r>
              <w:rPr>
                <w:b/>
                <w:bCs/>
                <w:sz w:val="16"/>
              </w:rPr>
              <w:t xml:space="preserve">Economics without Policy readiness</w:t>
            </w:r>
            <w:r>
              <w:rPr>
                <w:sz w:val="16"/>
              </w:rPr>
              <w:t xml:space="preserve"> </w:t>
            </w:r>
            <w:r>
              <w:rPr>
                <w:sz w:val="16"/>
              </w:rPr>
              <w:t xml:space="preserve">— payment reform launched without mandatory participation</w:t>
            </w:r>
          </w:p>
        </w:tc>
        <w:tc>
          <w:tcPr>
            <w:tcW w:w="2268" w:type="dxa"/>
          </w:tcPr>
          <w:p>
            <w:pPr>
              <w:pStyle w:val="Compact"/>
              <w:jc w:val="left"/>
            </w:pPr>
            <w:r>
              <w:rPr>
                <w:sz w:val="16"/>
              </w:rPr>
              <w:t xml:space="preserve">Voluntary participation below 80%; highest-cost providers stay out; redesigns driven by adverse selection</w:t>
            </w:r>
          </w:p>
        </w:tc>
        <w:tc>
          <w:tcPr>
            <w:tcW w:w="2268" w:type="dxa"/>
          </w:tcPr>
          <w:p>
            <w:pPr>
              <w:pStyle w:val="Compact"/>
              <w:jc w:val="left"/>
            </w:pPr>
            <w:r>
              <w:rPr>
                <w:sz w:val="16"/>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6"/>
              </w:rPr>
              <w:t xml:space="preserve">Act 68 mandatory RBP + global budgets</w:t>
            </w:r>
          </w:p>
        </w:tc>
      </w:tr>
      <w:tr>
        <w:trPr>
          <w:cantSplit/>
        </w:trPr>
        <w:tc>
          <w:tcPr>
            <w:tcW w:w="2268" w:type="dxa"/>
          </w:tcPr>
          <w:p>
            <w:pPr>
              <w:pStyle w:val="Compact"/>
              <w:jc w:val="left"/>
            </w:pPr>
            <w:r>
              <w:rPr>
                <w:b/>
                <w:bCs/>
                <w:sz w:val="16"/>
              </w:rPr>
              <w:t xml:space="preserve">Technology without Operations readiness</w:t>
            </w:r>
            <w:r>
              <w:rPr>
                <w:sz w:val="16"/>
              </w:rPr>
              <w:t xml:space="preserve"> </w:t>
            </w:r>
            <w:r>
              <w:rPr>
                <w:sz w:val="16"/>
              </w:rPr>
              <w:t xml:space="preserve">— platform deployed to an org that cannot use it</w:t>
            </w:r>
          </w:p>
        </w:tc>
        <w:tc>
          <w:tcPr>
            <w:tcW w:w="2268" w:type="dxa"/>
          </w:tcPr>
          <w:p>
            <w:pPr>
              <w:pStyle w:val="Compact"/>
              <w:jc w:val="left"/>
            </w:pPr>
            <w:r>
              <w:rPr>
                <w:sz w:val="16"/>
              </w:rPr>
              <w:t xml:space="preserve">Adoption below 30% six months post-deployment; continued manual processes; staff workarounds</w:t>
            </w:r>
          </w:p>
        </w:tc>
        <w:tc>
          <w:tcPr>
            <w:tcW w:w="2268" w:type="dxa"/>
          </w:tcPr>
          <w:p>
            <w:pPr>
              <w:pStyle w:val="Compact"/>
              <w:jc w:val="left"/>
            </w:pPr>
            <w:r>
              <w:rPr>
                <w:sz w:val="16"/>
              </w:rPr>
              <w:t xml:space="preserve">VITL: sound platform, incomplete adoption among smaller providers for lack of Operations-pillar support to connect and train them</w:t>
            </w:r>
          </w:p>
        </w:tc>
        <w:tc>
          <w:tcPr>
            <w:tcW w:w="2268" w:type="dxa"/>
          </w:tcPr>
          <w:p>
            <w:pPr>
              <w:pStyle w:val="Compact"/>
              <w:jc w:val="left"/>
            </w:pPr>
            <w:r>
              <w:rPr>
                <w:sz w:val="16"/>
              </w:rPr>
              <w:t xml:space="preserve">Vermont CIN shared-services model</w:t>
            </w:r>
          </w:p>
        </w:tc>
      </w:tr>
      <w:tr>
        <w:trPr>
          <w:cantSplit/>
        </w:trPr>
        <w:tc>
          <w:tcPr>
            <w:tcW w:w="2268" w:type="dxa"/>
          </w:tcPr>
          <w:p>
            <w:pPr>
              <w:pStyle w:val="Compact"/>
              <w:jc w:val="left"/>
            </w:pPr>
            <w:r>
              <w:rPr>
                <w:b/>
                <w:bCs/>
                <w:sz w:val="16"/>
              </w:rPr>
              <w:t xml:space="preserve">Clinical without financial alignment</w:t>
            </w:r>
            <w:r>
              <w:rPr>
                <w:sz w:val="16"/>
              </w:rPr>
              <w:t xml:space="preserve"> </w:t>
            </w:r>
            <w:r>
              <w:rPr>
                <w:sz w:val="16"/>
              </w:rPr>
              <w:t xml:space="preserve">— high-quality program run under fee-for-service</w:t>
            </w:r>
          </w:p>
        </w:tc>
        <w:tc>
          <w:tcPr>
            <w:tcW w:w="2268" w:type="dxa"/>
          </w:tcPr>
          <w:p>
            <w:pPr>
              <w:pStyle w:val="Compact"/>
              <w:jc w:val="left"/>
            </w:pPr>
            <w:r>
              <w:rPr>
                <w:sz w:val="16"/>
              </w:rPr>
              <w:t xml:space="preserve">Program running at a loss absorbed by cross-subsidy; support contingent on that cross-subsidy; perpetual budget-cut risk</w:t>
            </w:r>
          </w:p>
        </w:tc>
        <w:tc>
          <w:tcPr>
            <w:tcW w:w="2268" w:type="dxa"/>
          </w:tcPr>
          <w:p>
            <w:pPr>
              <w:pStyle w:val="Compact"/>
              <w:jc w:val="left"/>
            </w:pPr>
            <w:r>
              <w:rPr>
                <w:sz w:val="16"/>
              </w:rPr>
              <w:t xml:space="preserve">Blueprint PCMHs produce the 5.8:1 ROI, but under FFS most of it accrues to payers, not the practices generating it</w:t>
            </w:r>
          </w:p>
        </w:tc>
        <w:tc>
          <w:tcPr>
            <w:tcW w:w="2268" w:type="dxa"/>
          </w:tcPr>
          <w:p>
            <w:pPr>
              <w:pStyle w:val="Compact"/>
              <w:jc w:val="left"/>
            </w:pPr>
            <w:r>
              <w:rPr>
                <w:sz w:val="16"/>
              </w:rPr>
              <w:t xml:space="preserve">AHEAD global budgets align incentives with clinical investment</w:t>
            </w:r>
          </w:p>
        </w:tc>
      </w:tr>
      <w:tr>
        <w:trPr>
          <w:cantSplit/>
        </w:trPr>
        <w:tc>
          <w:tcPr>
            <w:tcW w:w="2268" w:type="dxa"/>
          </w:tcPr>
          <w:p>
            <w:pPr>
              <w:pStyle w:val="Compact"/>
              <w:jc w:val="left"/>
            </w:pPr>
            <w:r>
              <w:rPr>
                <w:b/>
                <w:bCs/>
                <w:sz w:val="16"/>
              </w:rPr>
              <w:t xml:space="preserve">Equity review at the end, not the beginning</w:t>
            </w:r>
            <w:r>
              <w:rPr>
                <w:sz w:val="16"/>
              </w:rPr>
              <w:t xml:space="preserve"> </w:t>
            </w:r>
            <w:r>
              <w:rPr>
                <w:sz w:val="16"/>
              </w:rPr>
              <w:t xml:space="preserve">— methodology finished, then sent for equity review</w:t>
            </w:r>
          </w:p>
        </w:tc>
        <w:tc>
          <w:tcPr>
            <w:tcW w:w="2268" w:type="dxa"/>
          </w:tcPr>
          <w:p>
            <w:pPr>
              <w:pStyle w:val="Compact"/>
              <w:jc w:val="left"/>
            </w:pPr>
            <w:r>
              <w:rPr>
                <w:sz w:val="16"/>
              </w:rPr>
              <w:t xml:space="preserve">Equity staff flagging the same structural problems in finalized designs; high rate of equity modifications at approval stage</w:t>
            </w:r>
          </w:p>
        </w:tc>
        <w:tc>
          <w:tcPr>
            <w:tcW w:w="2268" w:type="dxa"/>
          </w:tcPr>
          <w:p>
            <w:pPr>
              <w:pStyle w:val="Compact"/>
              <w:jc w:val="left"/>
            </w:pPr>
            <w:r>
              <w:rPr>
                <w:sz w:val="16"/>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6"/>
              </w:rPr>
              <w:t xml:space="preserve">Health Equity Advisory Commission consulted at design stage, not comment stage</w:t>
            </w:r>
          </w:p>
        </w:tc>
      </w:tr>
      <w:tr>
        <w:trPr>
          <w:cantSplit/>
        </w:trPr>
        <w:tc>
          <w:tcPr>
            <w:tcW w:w="2268" w:type="dxa"/>
          </w:tcPr>
          <w:p>
            <w:pPr>
              <w:pStyle w:val="Compact"/>
              <w:jc w:val="left"/>
            </w:pPr>
            <w:r>
              <w:rPr>
                <w:b/>
                <w:bCs/>
                <w:sz w:val="16"/>
              </w:rPr>
              <w:t xml:space="preserve">Operations execution without adequate capacity</w:t>
            </w:r>
            <w:r>
              <w:rPr>
                <w:sz w:val="16"/>
              </w:rPr>
              <w:t xml:space="preserve"> </w:t>
            </w:r>
            <w:r>
              <w:rPr>
                <w:sz w:val="16"/>
              </w:rPr>
              <w:t xml:space="preserve">— mandate outpaces organizational capacity</w:t>
            </w:r>
          </w:p>
        </w:tc>
        <w:tc>
          <w:tcPr>
            <w:tcW w:w="2268" w:type="dxa"/>
          </w:tcPr>
          <w:p>
            <w:pPr>
              <w:pStyle w:val="Compact"/>
              <w:jc w:val="left"/>
            </w:pPr>
            <w:r>
              <w:rPr>
                <w:sz w:val="16"/>
              </w:rPr>
              <w:t xml:space="preserve">Statutory deadlines extended or waived; deliverables perpetually</w:t>
            </w:r>
            <w:r>
              <w:rPr>
                <w:sz w:val="16"/>
              </w:rPr>
              <w:t xml:space="preserve"> </w:t>
            </w:r>
            <w:r>
              <w:rPr>
                <w:sz w:val="16"/>
              </w:rPr>
              <w:t xml:space="preserve">“in progress”</w:t>
            </w:r>
            <w:r>
              <w:rPr>
                <w:sz w:val="16"/>
              </w:rPr>
              <w:t xml:space="preserve">; governance that convenes but does not decide</w:t>
            </w:r>
          </w:p>
        </w:tc>
        <w:tc>
          <w:tcPr>
            <w:tcW w:w="2268" w:type="dxa"/>
          </w:tcPr>
          <w:p>
            <w:pPr>
              <w:pStyle w:val="Compact"/>
              <w:jc w:val="left"/>
            </w:pPr>
            <w:r>
              <w:rPr>
                <w:sz w:val="16"/>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6"/>
              </w:rPr>
              <w:t xml:space="preserve">RHRC builds hospital-level capacity before AHEAD accountability takes full effect</w:t>
            </w:r>
          </w:p>
        </w:tc>
      </w:tr>
    </w:tbl>
    <w:p>
      <w:pPr>
        <w:pStyle w:val="Caption"/>
      </w:pPr>
      <w:r>
        <w:rPr>
          <w:i/>
          <w:iCs/>
        </w:rPr>
        <w:t xml:space="preserve">Figure 1.E — Five sequencing errors: the diagnostic pattern, early-warning signals, and correction for each. Source: HTR analysis; Vermont experience;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autofit"/>
      </w:tblPr>
      <w:tblGrid>
        <w:gridCol w:w="975"/>
        <w:gridCol w:w="2243"/>
        <w:gridCol w:w="5853"/>
      </w:tblGrid>
      <w:tr>
        <w:trPr>
          <w:tblHeader w:val="on"/>
          <w:cantSplit/>
        </w:trPr>
        <w:tc>
          <w:tcPr>
            <w:shd w:val="clear" w:color="auto" w:fill="1B3A6B"/>
            <w:tcW w:w="975" w:type="dxa"/>
          </w:tcPr>
          <w:p>
            <w:pPr>
              <w:pStyle w:val="Compact"/>
              <w:jc w:val="left"/>
            </w:pPr>
            <w:r>
              <w:rPr>
                <w:b/>
                <w:color w:val="FFFFFF"/>
                <w:sz w:val="18"/>
              </w:rPr>
              <w:t xml:space="preserve">Pillar</w:t>
            </w:r>
          </w:p>
        </w:tc>
        <w:tc>
          <w:tcPr>
            <w:shd w:val="clear" w:color="auto" w:fill="1B3A6B"/>
            <w:tcW w:w="2243" w:type="dxa"/>
          </w:tcPr>
          <w:p>
            <w:pPr>
              <w:pStyle w:val="Compact"/>
              <w:jc w:val="left"/>
            </w:pPr>
            <w:r>
              <w:rPr>
                <w:b/>
                <w:color w:val="FFFFFF"/>
                <w:sz w:val="18"/>
              </w:rPr>
              <w:t xml:space="preserve">Status (timeframe)</w:t>
            </w:r>
          </w:p>
        </w:tc>
        <w:tc>
          <w:tcPr>
            <w:shd w:val="clear" w:color="auto" w:fill="1B3A6B"/>
            <w:tcW w:w="5853" w:type="dxa"/>
          </w:tcPr>
          <w:p>
            <w:pPr>
              <w:pStyle w:val="Compact"/>
              <w:jc w:val="left"/>
            </w:pPr>
            <w:r>
              <w:rPr>
                <w:b/>
                <w:color w:val="FFFFFF"/>
                <w:sz w:val="18"/>
              </w:rPr>
              <w:t xml:space="preserve">Where it stands</w:t>
            </w:r>
          </w:p>
        </w:tc>
      </w:tr>
      <w:tr>
        <w:trPr>
          <w:cantSplit/>
        </w:trPr>
        <w:tc>
          <w:tcPr>
            <w:tcW w:w="975" w:type="dxa"/>
          </w:tcPr>
          <w:p>
            <w:pPr>
              <w:pStyle w:val="Compact"/>
              <w:jc w:val="left"/>
            </w:pPr>
            <w:r>
              <w:rPr>
                <w:b/>
                <w:bCs/>
                <w:sz w:val="18"/>
              </w:rPr>
              <w:t xml:space="preserve">Policy</w:t>
            </w:r>
          </w:p>
        </w:tc>
        <w:tc>
          <w:tcPr>
            <w:tcW w:w="2243" w:type="dxa"/>
          </w:tcPr>
          <w:p>
            <w:pPr>
              <w:pStyle w:val="Compact"/>
              <w:jc w:val="left"/>
            </w:pPr>
            <w:r>
              <w:rPr>
                <w:sz w:val="18"/>
              </w:rPr>
              <w:t xml:space="preserve">Completed (2022–2025)</w:t>
            </w:r>
          </w:p>
        </w:tc>
        <w:tc>
          <w:tcPr>
            <w:tcW w:w="5853" w:type="dxa"/>
          </w:tcPr>
          <w:p>
            <w:pPr>
              <w:pStyle w:val="Compact"/>
              <w:jc w:val="left"/>
            </w:pPr>
            <w:r>
              <w:rPr>
                <w:sz w:val="18"/>
              </w:rPr>
              <w:t xml:space="preserve">Acts 167, 51, and 68 establish the mandatory architecture. Federal RHT award provides capital. AHEAD State Agreement signed January 2025. The Policy gate is fully open.</w:t>
            </w:r>
          </w:p>
        </w:tc>
      </w:tr>
      <w:tr>
        <w:trPr>
          <w:cantSplit/>
        </w:trPr>
        <w:tc>
          <w:tcPr>
            <w:tcW w:w="975" w:type="dxa"/>
          </w:tcPr>
          <w:p>
            <w:pPr>
              <w:pStyle w:val="Compact"/>
              <w:jc w:val="left"/>
            </w:pPr>
            <w:r>
              <w:rPr>
                <w:b/>
                <w:bCs/>
                <w:sz w:val="18"/>
              </w:rPr>
              <w:t xml:space="preserve">Technology</w:t>
            </w:r>
          </w:p>
        </w:tc>
        <w:tc>
          <w:tcPr>
            <w:tcW w:w="2243" w:type="dxa"/>
          </w:tcPr>
          <w:p>
            <w:pPr>
              <w:pStyle w:val="Compact"/>
              <w:jc w:val="left"/>
            </w:pPr>
            <w:r>
              <w:rPr>
                <w:sz w:val="18"/>
              </w:rPr>
              <w:t xml:space="preserve">In progress (2025–2026)</w:t>
            </w:r>
          </w:p>
        </w:tc>
        <w:tc>
          <w:tcPr>
            <w:tcW w:w="5853"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 the Technology gate is partially open but not fully operational.</w:t>
            </w:r>
          </w:p>
        </w:tc>
      </w:tr>
      <w:tr>
        <w:trPr>
          <w:cantSplit/>
        </w:trPr>
        <w:tc>
          <w:tcPr>
            <w:tcW w:w="975" w:type="dxa"/>
          </w:tcPr>
          <w:p>
            <w:pPr>
              <w:pStyle w:val="Compact"/>
              <w:jc w:val="left"/>
            </w:pPr>
            <w:r>
              <w:rPr>
                <w:b/>
                <w:bCs/>
                <w:sz w:val="18"/>
              </w:rPr>
              <w:t xml:space="preserve">Economics</w:t>
            </w:r>
          </w:p>
        </w:tc>
        <w:tc>
          <w:tcPr>
            <w:tcW w:w="2243" w:type="dxa"/>
          </w:tcPr>
          <w:p>
            <w:pPr>
              <w:pStyle w:val="Compact"/>
              <w:jc w:val="left"/>
            </w:pPr>
            <w:r>
              <w:rPr>
                <w:sz w:val="18"/>
              </w:rPr>
              <w:t xml:space="preserve">Staged (2027–2028)</w:t>
            </w:r>
          </w:p>
        </w:tc>
        <w:tc>
          <w:tcPr>
            <w:tcW w:w="5853"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cantSplit/>
        </w:trPr>
        <w:tc>
          <w:tcPr>
            <w:tcW w:w="975" w:type="dxa"/>
          </w:tcPr>
          <w:p>
            <w:pPr>
              <w:pStyle w:val="Compact"/>
              <w:jc w:val="left"/>
            </w:pPr>
            <w:r>
              <w:rPr>
                <w:b/>
                <w:bCs/>
                <w:sz w:val="18"/>
              </w:rPr>
              <w:t xml:space="preserve">Clinical</w:t>
            </w:r>
          </w:p>
        </w:tc>
        <w:tc>
          <w:tcPr>
            <w:tcW w:w="2243" w:type="dxa"/>
          </w:tcPr>
          <w:p>
            <w:pPr>
              <w:pStyle w:val="Compact"/>
              <w:jc w:val="left"/>
            </w:pPr>
            <w:r>
              <w:rPr>
                <w:sz w:val="18"/>
              </w:rPr>
              <w:t xml:space="preserve">Parallel (2024–2028)</w:t>
            </w:r>
          </w:p>
        </w:tc>
        <w:tc>
          <w:tcPr>
            <w:tcW w:w="5853" w:type="dxa"/>
          </w:tcPr>
          <w:p>
            <w:pPr>
              <w:pStyle w:val="Compact"/>
              <w:jc w:val="left"/>
            </w:pPr>
            <w:r>
              <w:rPr>
                <w:sz w:val="18"/>
              </w:rPr>
              <w:t xml:space="preserve">Blueprint PCMH expansion, CCBHC certifications, CoCM deployment proceed in parallel with Technology work — correctly, because they do not depend on the Technology or Economics gates being open to begin.</w:t>
            </w:r>
          </w:p>
        </w:tc>
      </w:tr>
      <w:tr>
        <w:trPr>
          <w:cantSplit/>
        </w:trPr>
        <w:tc>
          <w:tcPr>
            <w:tcW w:w="975" w:type="dxa"/>
          </w:tcPr>
          <w:p>
            <w:pPr>
              <w:pStyle w:val="Compact"/>
              <w:jc w:val="left"/>
            </w:pPr>
            <w:r>
              <w:rPr>
                <w:b/>
                <w:bCs/>
                <w:sz w:val="18"/>
              </w:rPr>
              <w:t xml:space="preserve">Operations</w:t>
            </w:r>
          </w:p>
        </w:tc>
        <w:tc>
          <w:tcPr>
            <w:tcW w:w="2243" w:type="dxa"/>
          </w:tcPr>
          <w:p>
            <w:pPr>
              <w:pStyle w:val="Compact"/>
              <w:jc w:val="left"/>
            </w:pPr>
            <w:r>
              <w:rPr>
                <w:sz w:val="18"/>
              </w:rPr>
              <w:t xml:space="preserve">Building (2025–2028)</w:t>
            </w:r>
          </w:p>
        </w:tc>
        <w:tc>
          <w:tcPr>
            <w:tcW w:w="5853"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975" w:type="dxa"/>
          </w:tcPr>
          <w:p>
            <w:pPr>
              <w:pStyle w:val="Compact"/>
              <w:jc w:val="left"/>
            </w:pPr>
            <w:r>
              <w:rPr>
                <w:b/>
                <w:bCs/>
                <w:sz w:val="18"/>
              </w:rPr>
              <w:t xml:space="preserve">Equity</w:t>
            </w:r>
          </w:p>
        </w:tc>
        <w:tc>
          <w:tcPr>
            <w:tcW w:w="2243" w:type="dxa"/>
          </w:tcPr>
          <w:p>
            <w:pPr>
              <w:pStyle w:val="Compact"/>
              <w:jc w:val="left"/>
            </w:pPr>
            <w:r>
              <w:rPr>
                <w:sz w:val="18"/>
              </w:rPr>
              <w:t xml:space="preserve">Throughout (2025–2028)</w:t>
            </w:r>
          </w:p>
        </w:tc>
        <w:tc>
          <w:tcPr>
            <w:tcW w:w="5853"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1.4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pPr>
      <w:r>
        <w:rPr>
          <w:color w:val="161B22"/>
        </w:rPr>
        <w:t xml:space="preserve">1.15  </w:t>
      </w:r>
      <w:bookmarkStart w:id="1061" w:name="_Toc1060"/>
      <w:r>
        <w:rPr>
          <w:b/>
          <w:bCs/>
          <w:color w:val="161B22"/>
        </w:rPr>
        <w:t xml:space="preserve">Work This Chapter on the Platform</w:t>
      </w:r>
      <w:bookmarkEnd w:id="1061"/>
    </w:p>
    <w:p>
      <w:pPr>
        <w:pStyle w:val="FirstParagraph"/>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autofit"/>
      </w:tblPr>
      <w:tblGrid>
        <w:gridCol w:w="3557"/>
        <w:gridCol w:w="1956"/>
        <w:gridCol w:w="3557"/>
      </w:tblGrid>
      <w:tr>
        <w:trPr>
          <w:tblHeader w:val="on"/>
          <w:cantSplit/>
        </w:trPr>
        <w:tc>
          <w:tcPr>
            <w:shd w:val="clear" w:color="auto" w:fill="1B3A6B"/>
            <w:tcW w:w="3557" w:type="dxa"/>
          </w:tcPr>
          <w:p>
            <w:pPr>
              <w:pStyle w:val="Compact"/>
              <w:jc w:val="left"/>
            </w:pPr>
            <w:r>
              <w:rPr>
                <w:b/>
                <w:color w:val="FFFFFF"/>
                <w:sz w:val="18"/>
              </w:rPr>
              <w:t xml:space="preserve">Do this</w:t>
            </w:r>
          </w:p>
        </w:tc>
        <w:tc>
          <w:tcPr>
            <w:shd w:val="clear" w:color="auto" w:fill="1B3A6B"/>
            <w:tcW w:w="1956" w:type="dxa"/>
          </w:tcPr>
          <w:p>
            <w:pPr>
              <w:pStyle w:val="Compact"/>
              <w:jc w:val="left"/>
            </w:pPr>
            <w:r>
              <w:rPr>
                <w:b/>
                <w:color w:val="FFFFFF"/>
                <w:sz w:val="18"/>
              </w:rPr>
              <w:t xml:space="preserve">On this tool</w:t>
            </w:r>
          </w:p>
        </w:tc>
        <w:tc>
          <w:tcPr>
            <w:shd w:val="clear" w:color="auto" w:fill="1B3A6B"/>
            <w:tcW w:w="3557" w:type="dxa"/>
          </w:tcPr>
          <w:p>
            <w:pPr>
              <w:pStyle w:val="Compact"/>
              <w:jc w:val="left"/>
            </w:pPr>
            <w:r>
              <w:rPr>
                <w:b/>
                <w:color w:val="FFFFFF"/>
                <w:sz w:val="18"/>
              </w:rPr>
              <w:t xml:space="preserve">What to look for</w:t>
            </w:r>
          </w:p>
        </w:tc>
      </w:tr>
      <w:tr>
        <w:trPr>
          <w:cantSplit/>
        </w:trPr>
        <w:tc>
          <w:tcPr>
            <w:tcW w:w="3557" w:type="dxa"/>
          </w:tcPr>
          <w:p>
            <w:pPr>
              <w:pStyle w:val="Compact"/>
              <w:jc w:val="left"/>
            </w:pPr>
            <w:r>
              <w:rPr>
                <w:sz w:val="18"/>
              </w:rPr>
              <w:t xml:space="preserve">Trace the 15 dependency relationships between the six pillars and see which downstream pillars a given gap disables</w:t>
            </w:r>
          </w:p>
        </w:tc>
        <w:tc>
          <w:tcPr>
            <w:tcW w:w="195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557" w:type="dxa"/>
          </w:tcPr>
          <w:p>
            <w:pPr>
              <w:pStyle w:val="Compact"/>
              <w:jc w:val="left"/>
            </w:pPr>
            <w:r>
              <w:rPr>
                <w:sz w:val="18"/>
              </w:rPr>
              <w:t xml:space="preserve">Click any pillar to highlight what it enables and what it depends on. Confirm visually why Technology sits upstream of Economics.</w:t>
            </w:r>
          </w:p>
        </w:tc>
      </w:tr>
      <w:tr>
        <w:trPr>
          <w:cantSplit/>
        </w:trPr>
        <w:tc>
          <w:tcPr>
            <w:tcW w:w="3557" w:type="dxa"/>
          </w:tcPr>
          <w:p>
            <w:pPr>
              <w:pStyle w:val="Compact"/>
              <w:jc w:val="left"/>
            </w:pPr>
            <w:r>
              <w:rPr>
                <w:sz w:val="18"/>
              </w:rPr>
              <w:t xml:space="preserve">Score a real organization or state across all six pillars and watch the composite readiness number respond</w:t>
            </w:r>
          </w:p>
        </w:tc>
        <w:tc>
          <w:tcPr>
            <w:tcW w:w="1956" w:type="dxa"/>
          </w:tcPr>
          <w:p>
            <w:pPr>
              <w:pStyle w:val="Compact"/>
              <w:jc w:val="left"/>
            </w:pPr>
            <w:hyperlink r:id="rId43">
              <w:r>
                <w:rPr>
                  <w:rStyle w:val="Hyperlink"/>
                  <w:b/>
                  <w:bCs/>
                </w:rPr>
                <w:t xml:space="preserve">HTR Simulator</w:t>
              </w:r>
            </w:hyperlink>
          </w:p>
        </w:tc>
        <w:tc>
          <w:tcPr>
            <w:tcW w:w="3557" w:type="dxa"/>
          </w:tcPr>
          <w:p>
            <w:pPr>
              <w:pStyle w:val="Compact"/>
              <w:jc w:val="left"/>
            </w:pPr>
            <w:r>
              <w:rPr>
                <w:sz w:val="18"/>
              </w:rPr>
              <w:t xml:space="preserve">Drop one pillar’s score to zero and observe the cascade — the simulator penalizes downstream readiness, reproducing the OneCare logic in Figure 1.1.</w:t>
            </w:r>
          </w:p>
        </w:tc>
      </w:tr>
      <w:tr>
        <w:trPr>
          <w:cantSplit/>
        </w:trPr>
        <w:tc>
          <w:tcPr>
            <w:tcW w:w="3557" w:type="dxa"/>
          </w:tcPr>
          <w:p>
            <w:pPr>
              <w:pStyle w:val="Compact"/>
              <w:jc w:val="left"/>
            </w:pPr>
            <w:r>
              <w:rPr>
                <w:sz w:val="18"/>
              </w:rPr>
              <w:t xml:space="preserve">Quantify where reform is losing momentum and which pillar is the binding constraint</w:t>
            </w:r>
          </w:p>
        </w:tc>
        <w:tc>
          <w:tcPr>
            <w:tcW w:w="1956" w:type="dxa"/>
          </w:tcPr>
          <w:p>
            <w:pPr>
              <w:pStyle w:val="Compact"/>
              <w:jc w:val="left"/>
            </w:pPr>
            <w:hyperlink r:id="rId89">
              <w:r>
                <w:rPr>
                  <w:rStyle w:val="Hyperlink"/>
                  <w:b/>
                  <w:bCs/>
                </w:rPr>
                <w:t xml:space="preserve">Transformation Friction Index</w:t>
              </w:r>
            </w:hyperlink>
          </w:p>
        </w:tc>
        <w:tc>
          <w:tcPr>
            <w:tcW w:w="3557"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bl>
    <w:p>
      <w:pPr>
        <w:pStyle w:val="Caption"/>
      </w:pPr>
      <w:r>
        <w:rPr>
          <w:i/>
          <w:iCs/>
        </w:rPr>
        <w:t xml:space="preserve">Figure 1.3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does not depend on any upstream gate opening.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Bdr>
          <w:top w:val="single" w:sz="4" w:space="8" w:color="B8B8B8"/>
        </w:pBdr>
        <w:spacing w:before="160" w:after="120"/>
      </w:pPr>
      <w:r>
        <w:rPr>
          <w:rFonts w:ascii="Calibri" w:hAnsi="Calibri"/>
          <w:b/>
          <w:bCs/>
          <w:i w:val="0"/>
          <w:color w:val="2E74B5"/>
          <w:sz w:val="20"/>
        </w:rPr>
        <w:t>Sources</w:t>
      </w:r>
    </w:p>
    <w:p>
      <w:pPr>
        <w:pStyle w:val="FirstParagraph"/>
        <w:spacing w:before="160" w:after="120"/>
      </w:pPr>
      <w:r>
        <w:rPr>
          <w:rFonts w:ascii="Calibri" w:hAnsi="Calibri"/>
          <w:color w:val="000000"/>
          <w:sz w:val="18"/>
        </w:rPr>
        <w:t xml:space="preserve">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autofit"/>
      </w:tblPr>
      <w:tblGrid>
        <w:gridCol w:w="1063"/>
        <w:gridCol w:w="2752"/>
        <w:gridCol w:w="1501"/>
        <w:gridCol w:w="3754"/>
      </w:tblGrid>
      <w:tr>
        <w:trPr>
          <w:tblHeader w:val="on"/>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pPr>
    </w:p>
    <w:p>
      <w:pPr>
        <w:pStyle w:val="BodyText"/>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2"/>
              </w:numPr>
              <w:spacing w:after="60" w:line="264" w:lineRule="auto"/>
            </w:pPr>
            <w:r>
              <w:rPr>
                <w:sz w:val="20"/>
                <w:szCs w:val="20"/>
              </w:rPr>
              <w:t xml:space="preserve">9 of 14 Vermont hospitals reported operating losses in FY2023, with losses reaching -8.9%</w:t>
            </w:r>
          </w:p>
          <w:p>
            <w:pPr>
              <w:numPr>
                <w:ilvl w:val="0"/>
                <w:numId w:val="1002"/>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2"/>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2"/>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2"/>
              </w:numPr>
              <w:spacing w:after="60" w:line="264" w:lineRule="auto"/>
            </w:pPr>
            <w:r>
              <w:rPr>
                <w:sz w:val="20"/>
                <w:szCs w:val="20"/>
              </w:rPr>
              <w:t xml:space="preserve">UVM Health Network alone faces $1.5B cumulative deficit over 5 years under the high-expense scenario</w:t>
            </w:r>
          </w:p>
          <w:p>
            <w:pPr>
              <w:numPr>
                <w:ilvl w:val="0"/>
                <w:numId w:val="1002"/>
              </w:numPr>
              <w:spacing w:after="60" w:line="264" w:lineRule="auto"/>
            </w:pPr>
            <w:r>
              <w:rPr>
                <w:sz w:val="20"/>
                <w:szCs w:val="20"/>
              </w:rPr>
              <w:t xml:space="preserve">Average silver exchange plan premium reached $985 in 2024 — a 108% increase in 6 years</w:t>
            </w:r>
          </w:p>
          <w:p>
            <w:pPr>
              <w:numPr>
                <w:ilvl w:val="0"/>
                <w:numId w:val="1002"/>
              </w:numPr>
              <w:spacing w:after="60" w:line="264" w:lineRule="auto"/>
            </w:pPr>
            <w:r>
              <w:rPr>
                <w:sz w:val="20"/>
                <w:szCs w:val="20"/>
              </w:rPr>
              <w:t xml:space="preserve">Out-of-pocket maximums more than doubled in 5 years</w:t>
            </w:r>
          </w:p>
          <w:p>
            <w:pPr>
              <w:numPr>
                <w:ilvl w:val="0"/>
                <w:numId w:val="1002"/>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pPr>
      <w:r>
        <w:rPr>
          <w:color w:val="161B22"/>
        </w:rPr>
        <w:t xml:space="preserve">2.4  </w:t>
      </w:r>
      <w:bookmarkStart w:id="1073" w:name="_Toc1072"/>
      <w:r>
        <w:rPr>
          <w:b/>
          <w:bCs/>
          <w:color w:val="161B22"/>
        </w:rPr>
        <w:t xml:space="preserve">The Perception vs. Reality Problem</w:t>
      </w:r>
      <w:bookmarkEnd w:id="1073"/>
    </w:p>
    <w:p>
      <w:pPr>
        <w:pStyle w:val="FirstParagraph"/>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cantSplit/>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cantSplit/>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3"/>
              </w:numPr>
              <w:spacing w:after="60" w:line="264" w:lineRule="auto"/>
            </w:pPr>
            <w:r>
              <w:rPr>
                <w:sz w:val="20"/>
                <w:szCs w:val="20"/>
              </w:rPr>
              <w:t xml:space="preserve">Remove barriers to building affordable housing for Vermont residents and newcomers</w:t>
            </w:r>
          </w:p>
          <w:p>
            <w:pPr>
              <w:numPr>
                <w:ilvl w:val="0"/>
                <w:numId w:val="1003"/>
              </w:numPr>
              <w:spacing w:after="60" w:line="264" w:lineRule="auto"/>
            </w:pPr>
            <w:r>
              <w:rPr>
                <w:sz w:val="20"/>
                <w:szCs w:val="20"/>
              </w:rPr>
              <w:t xml:space="preserve">Approve funding for EMS transformation</w:t>
            </w:r>
          </w:p>
          <w:p>
            <w:pPr>
              <w:numPr>
                <w:ilvl w:val="0"/>
                <w:numId w:val="1003"/>
              </w:numPr>
              <w:spacing w:after="60" w:line="264" w:lineRule="auto"/>
            </w:pPr>
            <w:r>
              <w:rPr>
                <w:sz w:val="20"/>
                <w:szCs w:val="20"/>
              </w:rPr>
              <w:t xml:space="preserve">Expand broadband coverage to rural areas</w:t>
            </w:r>
          </w:p>
          <w:p>
            <w:pPr>
              <w:numPr>
                <w:ilvl w:val="0"/>
                <w:numId w:val="1003"/>
              </w:numPr>
              <w:spacing w:after="60" w:line="264" w:lineRule="auto"/>
            </w:pPr>
            <w:r>
              <w:rPr>
                <w:sz w:val="20"/>
                <w:szCs w:val="20"/>
              </w:rPr>
              <w:t xml:space="preserve">Review existing AHS agency structure and program list to identify overlaps and efficiency opportunities</w:t>
            </w:r>
          </w:p>
          <w:p>
            <w:pPr>
              <w:numPr>
                <w:ilvl w:val="0"/>
                <w:numId w:val="1003"/>
              </w:numPr>
              <w:spacing w:after="60" w:line="264" w:lineRule="auto"/>
            </w:pPr>
            <w:r>
              <w:rPr>
                <w:sz w:val="20"/>
                <w:szCs w:val="20"/>
              </w:rPr>
              <w:t xml:space="preserve">Develop state regulations for Rural Emergency Hospital and free-standing birthing center designations</w:t>
            </w:r>
          </w:p>
          <w:p>
            <w:pPr>
              <w:numPr>
                <w:ilvl w:val="0"/>
                <w:numId w:val="1003"/>
              </w:numPr>
              <w:spacing w:after="60" w:line="264" w:lineRule="auto"/>
            </w:pPr>
            <w:r>
              <w:rPr>
                <w:sz w:val="20"/>
                <w:szCs w:val="20"/>
              </w:rPr>
              <w:t xml:space="preserve">Expand professional licensure and practice scope for nurses, EMTs, and pharmacists</w:t>
            </w:r>
          </w:p>
          <w:p>
            <w:pPr>
              <w:numPr>
                <w:ilvl w:val="0"/>
                <w:numId w:val="1003"/>
              </w:numPr>
              <w:spacing w:after="60" w:line="264" w:lineRule="auto"/>
            </w:pPr>
            <w:r>
              <w:rPr>
                <w:sz w:val="20"/>
                <w:szCs w:val="20"/>
              </w:rPr>
              <w:t xml:space="preserve">Regionalize specialty care services across hospitals</w:t>
            </w:r>
          </w:p>
          <w:p>
            <w:pPr>
              <w:numPr>
                <w:ilvl w:val="0"/>
                <w:numId w:val="1003"/>
              </w:numPr>
              <w:spacing w:after="60" w:line="264" w:lineRule="auto"/>
            </w:pPr>
            <w:r>
              <w:rPr>
                <w:sz w:val="20"/>
                <w:szCs w:val="20"/>
              </w:rPr>
              <w:t xml:space="preserve">Professionalize and regionalize EMS</w:t>
            </w:r>
          </w:p>
          <w:p>
            <w:pPr>
              <w:numPr>
                <w:ilvl w:val="0"/>
                <w:numId w:val="1003"/>
              </w:numPr>
              <w:spacing w:after="60" w:line="264" w:lineRule="auto"/>
            </w:pPr>
            <w:r>
              <w:rPr>
                <w:sz w:val="20"/>
                <w:szCs w:val="20"/>
              </w:rPr>
              <w:t xml:space="preserve">Improve care coordination for heavy utilizers — elderly, mental health, neuro-divergent, and foster care populations</w:t>
            </w:r>
          </w:p>
          <w:p>
            <w:pPr>
              <w:numPr>
                <w:ilvl w:val="0"/>
                <w:numId w:val="1003"/>
              </w:numPr>
              <w:spacing w:after="60" w:line="264" w:lineRule="auto"/>
            </w:pPr>
            <w:r>
              <w:rPr>
                <w:sz w:val="20"/>
                <w:szCs w:val="20"/>
              </w:rPr>
              <w:t xml:space="preserve">Develop dual-eligible targeting, care planning, and coordination</w:t>
            </w:r>
          </w:p>
          <w:p>
            <w:pPr>
              <w:numPr>
                <w:ilvl w:val="0"/>
                <w:numId w:val="1003"/>
              </w:numPr>
              <w:spacing w:after="60" w:line="264" w:lineRule="auto"/>
            </w:pPr>
            <w:r>
              <w:rPr>
                <w:sz w:val="20"/>
                <w:szCs w:val="20"/>
              </w:rPr>
              <w:t xml:space="preserve">Coordinate and optimize statewide electronic medical record systems</w:t>
            </w:r>
          </w:p>
          <w:p>
            <w:pPr>
              <w:numPr>
                <w:ilvl w:val="0"/>
                <w:numId w:val="1003"/>
              </w:numPr>
              <w:spacing w:after="60" w:line="264" w:lineRule="auto"/>
            </w:pPr>
            <w:r>
              <w:rPr>
                <w:sz w:val="20"/>
                <w:szCs w:val="20"/>
              </w:rPr>
              <w:t xml:space="preserve">Permit no further increases in commercial subsidization for hospital financial shortfalls</w:t>
            </w:r>
          </w:p>
          <w:p>
            <w:pPr>
              <w:numPr>
                <w:ilvl w:val="0"/>
                <w:numId w:val="1003"/>
              </w:numPr>
              <w:spacing w:after="60" w:line="264" w:lineRule="auto"/>
            </w:pPr>
            <w:r>
              <w:rPr>
                <w:sz w:val="20"/>
                <w:szCs w:val="20"/>
              </w:rPr>
              <w:t xml:space="preserve">Refrain from licensing any further hospital-based outpatient department units</w:t>
            </w:r>
          </w:p>
          <w:p>
            <w:pPr>
              <w:numPr>
                <w:ilvl w:val="0"/>
                <w:numId w:val="1003"/>
              </w:numPr>
              <w:spacing w:after="60" w:line="264" w:lineRule="auto"/>
            </w:pPr>
            <w:r>
              <w:rPr>
                <w:sz w:val="20"/>
                <w:szCs w:val="20"/>
              </w:rPr>
              <w:t xml:space="preserve">Simplify and shorten the Certificate of Need process</w:t>
            </w:r>
          </w:p>
          <w:p>
            <w:pPr>
              <w:numPr>
                <w:ilvl w:val="0"/>
                <w:numId w:val="1003"/>
              </w:numPr>
              <w:spacing w:after="60" w:line="264" w:lineRule="auto"/>
            </w:pPr>
            <w:r>
              <w:rPr>
                <w:sz w:val="20"/>
                <w:szCs w:val="20"/>
              </w:rPr>
              <w:t xml:space="preserve">Encourage free-standing diagnostic, ambulatory surgical, and birthing centers</w:t>
            </w:r>
          </w:p>
          <w:p>
            <w:pPr>
              <w:numPr>
                <w:ilvl w:val="0"/>
                <w:numId w:val="1003"/>
              </w:numPr>
              <w:spacing w:after="60" w:line="264" w:lineRule="auto"/>
            </w:pPr>
            <w:r>
              <w:rPr>
                <w:sz w:val="20"/>
                <w:szCs w:val="20"/>
              </w:rPr>
              <w:t xml:space="preserve">Begin movement to reference-based pricing, ideally at 200% of Medicare or less for PPS hospitals</w:t>
            </w:r>
          </w:p>
          <w:p>
            <w:pPr>
              <w:numPr>
                <w:ilvl w:val="0"/>
                <w:numId w:val="1003"/>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autofit"/>
      </w:tblPr>
      <w:tblGrid>
        <w:gridCol w:w="3767"/>
        <w:gridCol w:w="691"/>
        <w:gridCol w:w="4613"/>
      </w:tblGrid>
      <w:tr>
        <w:trPr>
          <w:tblHeader w:val="on"/>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4"/>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4"/>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4"/>
              </w:numPr>
              <w:spacing w:after="60" w:line="264" w:lineRule="auto"/>
            </w:pPr>
            <w:r>
              <w:rPr>
                <w:sz w:val="20"/>
                <w:szCs w:val="20"/>
              </w:rPr>
              <w:t xml:space="preserve">Reduce costs through synergies — shared services and staff across individual hospitals</w:t>
            </w:r>
          </w:p>
          <w:p>
            <w:pPr>
              <w:numPr>
                <w:ilvl w:val="0"/>
                <w:numId w:val="1004"/>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4"/>
              </w:numPr>
              <w:spacing w:after="60" w:line="264" w:lineRule="auto"/>
            </w:pPr>
            <w:r>
              <w:rPr>
                <w:sz w:val="20"/>
                <w:szCs w:val="20"/>
              </w:rPr>
              <w:t xml:space="preserve">Expand access to primary care settings to manage patient needs, reducing preventable emergency department visits</w:t>
            </w:r>
          </w:p>
          <w:p>
            <w:pPr>
              <w:numPr>
                <w:ilvl w:val="0"/>
                <w:numId w:val="1004"/>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pPr>
      <w:r>
        <w:rPr>
          <w:color w:val="161B22"/>
        </w:rPr>
        <w:t xml:space="preserve">2.7  </w:t>
      </w:r>
      <w:bookmarkStart w:id="1081" w:name="_Toc1080"/>
      <w:r>
        <w:rPr>
          <w:b/>
          <w:bCs/>
          <w:color w:val="161B22"/>
        </w:rPr>
        <w:t xml:space="preserve">Act 68 (2025): The Operational Mandate</w:t>
      </w:r>
      <w:bookmarkEnd w:id="1081"/>
    </w:p>
    <w:p>
      <w:pPr>
        <w:pStyle w:val="FirstParagraph"/>
      </w:pPr>
      <w:r>
        <w:rPr>
          <w:b/>
          <w:bCs/>
        </w:rPr>
        <w:t xml:space="preserve">Act 68 Key Statutory Deadlines</w:t>
      </w:r>
    </w:p>
    <w:tbl>
      <w:tblPr>
        <w:tblStyle w:val="HTRTable"/>
        <w:tblLook w:firstRow="1" w:lastRow="0" w:firstColumn="0" w:lastColumn="0" w:noHBand="0" w:noVBand="1" w:val="0020"/>
        <w:tblW w:w="9072" w:type="dxa"/>
        <w:tblLayout w:type="autofit"/>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cantSplit/>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cantSplit/>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cantSplit/>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cantSplit/>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cantSplit/>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cantSplit/>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5"/>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5"/>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5"/>
              </w:numPr>
              <w:spacing w:after="60" w:line="264" w:lineRule="auto"/>
            </w:pPr>
            <w:r>
              <w:rPr>
                <w:sz w:val="20"/>
                <w:szCs w:val="20"/>
              </w:rPr>
              <w:t xml:space="preserve">Vermont Medicaid global budget for hospitals begins January 2026 under AHEAD Cohort 2 State Agreement</w:t>
            </w:r>
          </w:p>
          <w:p>
            <w:pPr>
              <w:numPr>
                <w:ilvl w:val="0"/>
                <w:numId w:val="1005"/>
              </w:numPr>
              <w:spacing w:after="60" w:line="264" w:lineRule="auto"/>
            </w:pPr>
            <w:r>
              <w:rPr>
                <w:sz w:val="20"/>
                <w:szCs w:val="20"/>
              </w:rPr>
              <w:t xml:space="preserve">Act 55 outpatient drug cap at 120% of ASP effective April 2025, generating estimated $135M in annual savings</w:t>
            </w:r>
          </w:p>
          <w:p>
            <w:pPr>
              <w:numPr>
                <w:ilvl w:val="0"/>
                <w:numId w:val="1005"/>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5"/>
              </w:numPr>
              <w:spacing w:after="60" w:line="264" w:lineRule="auto"/>
            </w:pPr>
            <w:r>
              <w:rPr>
                <w:sz w:val="20"/>
                <w:szCs w:val="20"/>
              </w:rPr>
              <w:t xml:space="preserve">GMCB publishes hospital price transparency dashboard</w:t>
            </w:r>
          </w:p>
          <w:p>
            <w:pPr>
              <w:numPr>
                <w:ilvl w:val="0"/>
                <w:numId w:val="1005"/>
              </w:numPr>
              <w:spacing w:after="60" w:line="264" w:lineRule="auto"/>
            </w:pPr>
            <w:r>
              <w:rPr>
                <w:sz w:val="20"/>
                <w:szCs w:val="20"/>
              </w:rPr>
              <w:t xml:space="preserve">RBP vendor selection and methodology finalized; rulemaking completed</w:t>
            </w:r>
          </w:p>
          <w:p>
            <w:pPr>
              <w:numPr>
                <w:ilvl w:val="0"/>
                <w:numId w:val="1005"/>
              </w:numPr>
              <w:spacing w:after="60" w:line="264" w:lineRule="auto"/>
            </w:pPr>
            <w:r>
              <w:rPr>
                <w:sz w:val="20"/>
                <w:szCs w:val="20"/>
              </w:rPr>
              <w:t xml:space="preserve">Global hospital budgets established for non-critical access hospitals</w:t>
            </w:r>
          </w:p>
          <w:p>
            <w:pPr>
              <w:numPr>
                <w:ilvl w:val="0"/>
                <w:numId w:val="1005"/>
              </w:numPr>
              <w:spacing w:after="60" w:line="264" w:lineRule="auto"/>
            </w:pPr>
            <w:r>
              <w:rPr>
                <w:sz w:val="20"/>
                <w:szCs w:val="20"/>
              </w:rPr>
              <w:t xml:space="preserve">AHS Statewide Health Care Delivery Strategic Plan delivered to legislature by December 2028</w:t>
            </w:r>
          </w:p>
          <w:p>
            <w:pPr>
              <w:numPr>
                <w:ilvl w:val="0"/>
                <w:numId w:val="1005"/>
              </w:numPr>
              <w:spacing w:after="60" w:line="264" w:lineRule="auto"/>
            </w:pPr>
            <w:r>
              <w:rPr>
                <w:sz w:val="20"/>
                <w:szCs w:val="20"/>
              </w:rPr>
              <w:t xml:space="preserve">AHEAD Model Cohort 2 full operation; Medicare FFS hospital global budgets active</w:t>
            </w:r>
          </w:p>
          <w:p>
            <w:pPr>
              <w:numPr>
                <w:ilvl w:val="0"/>
                <w:numId w:val="1005"/>
              </w:numPr>
              <w:spacing w:after="60" w:line="264" w:lineRule="auto"/>
            </w:pPr>
            <w:r>
              <w:rPr>
                <w:sz w:val="20"/>
                <w:szCs w:val="20"/>
              </w:rPr>
              <w:t xml:space="preserve">CMMI transformation grants of $1.2M available through AHEAD Cooperative Agreement Year 3</w:t>
            </w:r>
          </w:p>
          <w:p>
            <w:pPr>
              <w:numPr>
                <w:ilvl w:val="0"/>
                <w:numId w:val="1005"/>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pPr>
      <w:r>
        <w:rPr>
          <w:color w:val="161B22"/>
        </w:rPr>
        <w:t xml:space="preserve">2.10  </w:t>
      </w:r>
      <w:bookmarkStart w:id="1087" w:name="_Toc1086"/>
      <w:r>
        <w:rPr>
          <w:b/>
          <w:bCs/>
          <w:color w:val="161B22"/>
        </w:rPr>
        <w:t xml:space="preserve">Work This Chapter on the Platform</w:t>
      </w:r>
      <w:bookmarkEnd w:id="1087"/>
    </w:p>
    <w:p>
      <w:pPr>
        <w:pStyle w:val="FirstParagraph"/>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Model an 1115 waiver or all-payer global budget design against a pre-loaded state scenario</w:t>
            </w:r>
          </w:p>
        </w:tc>
        <w:tc>
          <w:tcPr>
            <w:tcW w:w="3024"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4"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cantSplit/>
        </w:trPr>
        <w:tc>
          <w:tcPr>
            <w:tcW w:w="3024" w:type="dxa"/>
          </w:tcPr>
          <w:p>
            <w:pPr>
              <w:pStyle w:val="Compact"/>
              <w:jc w:val="left"/>
            </w:pPr>
            <w:r>
              <w:rPr>
                <w:sz w:val="18"/>
              </w:rPr>
              <w:t xml:space="preserve">Trace how a statutory mandate cascades into operational deadlines</w:t>
            </w:r>
          </w:p>
        </w:tc>
        <w:tc>
          <w:tcPr>
            <w:tcW w:w="3024"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4"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Introduced or Expanded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pBdr>
          <w:top w:val="single" w:sz="4" w:space="8" w:color="B8B8B8"/>
        </w:pBdr>
        <w:spacing w:before="160" w:after="120"/>
      </w:pPr>
      <w:r>
        <w:rPr>
          <w:rFonts w:ascii="Calibri" w:hAnsi="Calibri"/>
          <w:i/>
          <w:color w:val="00000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pPr>
      <w:r>
        <w:rPr>
          <w:color w:val="161B22"/>
        </w:rPr>
        <w:t xml:space="preserve">3.2.1  </w:t>
      </w:r>
      <w:bookmarkStart w:id="1093" w:name="_Toc1092"/>
      <w:r>
        <w:rPr>
          <w:b/>
          <w:bCs/>
          <w:color w:val="161B22"/>
        </w:rPr>
        <w:t xml:space="preserve">The CMMI Track Record — An Honest Assessment</w:t>
      </w:r>
      <w:bookmarkEnd w:id="1093"/>
    </w:p>
    <w:p>
      <w:pPr>
        <w:pStyle w:val="FirstParagraph"/>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Characteristic</w:t>
            </w:r>
          </w:p>
        </w:tc>
        <w:tc>
          <w:tcPr>
            <w:shd w:val="clear" w:color="auto" w:fill="1B3A6B"/>
            <w:tcW w:w="2440" w:type="dxa"/>
          </w:tcPr>
          <w:p>
            <w:pPr>
              <w:pStyle w:val="Compact"/>
              <w:jc w:val="left"/>
            </w:pPr>
            <w:r>
              <w:rPr>
                <w:b/>
                <w:color w:val="FFFFFF"/>
                <w:sz w:val="16"/>
              </w:rPr>
              <w:t xml:space="preserve">What it means</w:t>
            </w:r>
          </w:p>
        </w:tc>
        <w:tc>
          <w:tcPr>
            <w:shd w:val="clear" w:color="auto" w:fill="1B3A6B"/>
            <w:tcW w:w="2440" w:type="dxa"/>
          </w:tcPr>
          <w:p>
            <w:pPr>
              <w:pStyle w:val="Compact"/>
              <w:jc w:val="left"/>
            </w:pPr>
            <w:r>
              <w:rPr>
                <w:b/>
                <w:color w:val="FFFFFF"/>
                <w:sz w:val="16"/>
              </w:rPr>
              <w:t xml:space="preserve">Models with this characteristic</w:t>
            </w:r>
          </w:p>
        </w:tc>
        <w:tc>
          <w:tcPr>
            <w:shd w:val="clear" w:color="auto" w:fill="1B3A6B"/>
            <w:tcW w:w="2440" w:type="dxa"/>
          </w:tcPr>
          <w:p>
            <w:pPr>
              <w:pStyle w:val="Compact"/>
              <w:jc w:val="left"/>
            </w:pPr>
            <w:r>
              <w:rPr>
                <w:b/>
                <w:color w:val="FFFFFF"/>
                <w:sz w:val="16"/>
              </w:rPr>
              <w:t xml:space="preserve">Models without it</w:t>
            </w:r>
          </w:p>
        </w:tc>
      </w:tr>
      <w:tr>
        <w:trPr>
          <w:cantSplit/>
        </w:trPr>
        <w:tc>
          <w:tcPr>
            <w:tcW w:w="1749" w:type="dxa"/>
          </w:tcPr>
          <w:p>
            <w:pPr>
              <w:pStyle w:val="Compact"/>
              <w:jc w:val="left"/>
            </w:pPr>
            <w:r>
              <w:rPr>
                <w:sz w:val="16"/>
              </w:rPr>
              <w:t xml:space="preserve">Mandatory or near-mandatory participation</w:t>
            </w:r>
          </w:p>
        </w:tc>
        <w:tc>
          <w:tcPr>
            <w:tcW w:w="2440" w:type="dxa"/>
          </w:tcPr>
          <w:p>
            <w:pPr>
              <w:pStyle w:val="Compact"/>
              <w:jc w:val="left"/>
            </w:pPr>
            <w:r>
              <w:rPr>
                <w:sz w:val="16"/>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6"/>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6"/>
              </w:rPr>
              <w:t xml:space="preserve">Most CMMI ACO models. MSSP Track 1. Bundled Payments for Care Improvement (voluntary). Most demonstration projects.</w:t>
            </w:r>
          </w:p>
        </w:tc>
      </w:tr>
      <w:tr>
        <w:trPr>
          <w:cantSplit/>
        </w:trPr>
        <w:tc>
          <w:tcPr>
            <w:tcW w:w="1749" w:type="dxa"/>
          </w:tcPr>
          <w:p>
            <w:pPr>
              <w:pStyle w:val="Compact"/>
              <w:jc w:val="left"/>
            </w:pPr>
            <w:r>
              <w:rPr>
                <w:sz w:val="16"/>
              </w:rPr>
              <w:t xml:space="preserve">Two-sided risk that is real</w:t>
            </w:r>
          </w:p>
        </w:tc>
        <w:tc>
          <w:tcPr>
            <w:tcW w:w="2440" w:type="dxa"/>
          </w:tcPr>
          <w:p>
            <w:pPr>
              <w:pStyle w:val="Compact"/>
              <w:jc w:val="left"/>
            </w:pPr>
            <w:r>
              <w:rPr>
                <w:sz w:val="16"/>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6"/>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6"/>
              </w:rPr>
              <w:t xml:space="preserve">MSSP Track 1 (upside only for most participants). Most early CMMI bundled payment models with modest downside. Primary Care First (limited financial exposure).</w:t>
            </w:r>
          </w:p>
        </w:tc>
      </w:tr>
      <w:tr>
        <w:trPr>
          <w:cantSplit/>
        </w:trPr>
        <w:tc>
          <w:tcPr>
            <w:tcW w:w="1749" w:type="dxa"/>
          </w:tcPr>
          <w:p>
            <w:pPr>
              <w:pStyle w:val="Compact"/>
              <w:jc w:val="left"/>
            </w:pPr>
            <w:r>
              <w:rPr>
                <w:sz w:val="16"/>
              </w:rPr>
              <w:t xml:space="preserve">Adequate implementation support</w:t>
            </w:r>
          </w:p>
        </w:tc>
        <w:tc>
          <w:tcPr>
            <w:tcW w:w="2440" w:type="dxa"/>
          </w:tcPr>
          <w:p>
            <w:pPr>
              <w:pStyle w:val="Compact"/>
              <w:jc w:val="left"/>
            </w:pPr>
            <w:r>
              <w:rPr>
                <w:sz w:val="16"/>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6"/>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6"/>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6"/>
              </w:rPr>
              <w:t xml:space="preserve">Alignment with state regulatory environment</w:t>
            </w:r>
          </w:p>
        </w:tc>
        <w:tc>
          <w:tcPr>
            <w:tcW w:w="2440" w:type="dxa"/>
          </w:tcPr>
          <w:p>
            <w:pPr>
              <w:pStyle w:val="Compact"/>
              <w:jc w:val="left"/>
            </w:pPr>
            <w:r>
              <w:rPr>
                <w:sz w:val="16"/>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6"/>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6"/>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3.2.2  </w:t>
      </w:r>
      <w:bookmarkStart w:id="1094" w:name="_Toc1093"/>
      <w:r>
        <w:rPr>
          <w:b/>
          <w:bCs/>
          <w:color w:val="161B22"/>
        </w:rPr>
        <w:t xml:space="preserve">The Current Active CMMI Model Landscape (2026)</w:t>
      </w:r>
      <w:bookmarkEnd w:id="1094"/>
    </w:p>
    <w:p>
      <w:pPr>
        <w:pStyle w:val="FirstParagraph"/>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cantSplit/>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cantSplit/>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cantSplit/>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cantSplit/>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744"/>
        <w:gridCol w:w="4026"/>
        <w:gridCol w:w="4026"/>
        <w:gridCol w:w="4026"/>
      </w:tblGrid>
      <w:tr>
        <w:trPr>
          <w:tblHeader w:val="on"/>
          <w:cantSplit/>
        </w:trPr>
        <w:tc>
          <w:tcPr>
            <w:shd w:val="clear" w:color="auto" w:fill="1B3A6B"/>
            <w:tcW w:w="1145" w:type="dxa"/>
          </w:tcPr>
          <w:p>
            <w:pPr>
              <w:pStyle w:val="Compact"/>
              <w:jc w:val="left"/>
            </w:pPr>
            <w:r>
              <w:rPr>
                <w:b/>
                <w:color w:val="FFFFFF"/>
                <w:sz w:val="16"/>
              </w:rPr>
              <w:t xml:space="preserve">Function</w:t>
            </w:r>
          </w:p>
        </w:tc>
        <w:tc>
          <w:tcPr>
            <w:shd w:val="clear" w:color="auto" w:fill="1B3A6B"/>
            <w:tcW w:w="2642" w:type="dxa"/>
          </w:tcPr>
          <w:p>
            <w:pPr>
              <w:pStyle w:val="Compact"/>
              <w:jc w:val="left"/>
            </w:pPr>
            <w:r>
              <w:rPr>
                <w:b/>
                <w:color w:val="FFFFFF"/>
                <w:sz w:val="16"/>
              </w:rPr>
              <w:t xml:space="preserve">Key activities</w:t>
            </w:r>
          </w:p>
        </w:tc>
        <w:tc>
          <w:tcPr>
            <w:shd w:val="clear" w:color="auto" w:fill="1B3A6B"/>
            <w:tcW w:w="2642" w:type="dxa"/>
          </w:tcPr>
          <w:p>
            <w:pPr>
              <w:pStyle w:val="Compact"/>
              <w:jc w:val="left"/>
            </w:pPr>
            <w:r>
              <w:rPr>
                <w:b/>
                <w:color w:val="FFFFFF"/>
                <w:sz w:val="16"/>
              </w:rPr>
              <w:t xml:space="preserve">Vermont-specific examples</w:t>
            </w:r>
          </w:p>
        </w:tc>
        <w:tc>
          <w:tcPr>
            <w:shd w:val="clear" w:color="auto" w:fill="1B3A6B"/>
            <w:tcW w:w="2642" w:type="dxa"/>
          </w:tcPr>
          <w:p>
            <w:pPr>
              <w:pStyle w:val="Compact"/>
              <w:jc w:val="left"/>
            </w:pPr>
            <w:r>
              <w:rPr>
                <w:b/>
                <w:color w:val="FFFFFF"/>
                <w:sz w:val="16"/>
              </w:rPr>
              <w:t xml:space="preserve">HTR Advisory service</w:t>
            </w:r>
          </w:p>
        </w:tc>
      </w:tr>
      <w:tr>
        <w:trPr>
          <w:cantSplit/>
        </w:trPr>
        <w:tc>
          <w:tcPr>
            <w:tcW w:w="1145" w:type="dxa"/>
          </w:tcPr>
          <w:p>
            <w:pPr>
              <w:pStyle w:val="Compact"/>
              <w:jc w:val="left"/>
            </w:pPr>
            <w:r>
              <w:rPr>
                <w:sz w:val="16"/>
              </w:rPr>
              <w:t xml:space="preserve">Regulatory compliance</w:t>
            </w:r>
          </w:p>
        </w:tc>
        <w:tc>
          <w:tcPr>
            <w:tcW w:w="2642" w:type="dxa"/>
          </w:tcPr>
          <w:p>
            <w:pPr>
              <w:pStyle w:val="Compact"/>
              <w:jc w:val="left"/>
            </w:pPr>
            <w:r>
              <w:rPr>
                <w:sz w:val="16"/>
              </w:rPr>
              <w:t xml:space="preserve">Monitor rulemaking; assess financial and operational impact of new requirements; develop compliance roadmaps; manage comment letter processes</w:t>
            </w:r>
          </w:p>
        </w:tc>
        <w:tc>
          <w:tcPr>
            <w:tcW w:w="2642" w:type="dxa"/>
          </w:tcPr>
          <w:p>
            <w:pPr>
              <w:pStyle w:val="Compact"/>
              <w:jc w:val="left"/>
            </w:pPr>
            <w:r>
              <w:rPr>
                <w:sz w:val="16"/>
              </w:rPr>
              <w:t xml:space="preserve">Act 68 RBP compliance planning for FY2027; AHEAD hospital global budget participation; H.R. 1 Medicaid work requirement implementation timeline</w:t>
            </w:r>
          </w:p>
        </w:tc>
        <w:tc>
          <w:tcPr>
            <w:tcW w:w="2642" w:type="dxa"/>
          </w:tcPr>
          <w:p>
            <w:pPr>
              <w:pStyle w:val="Compact"/>
              <w:jc w:val="left"/>
            </w:pPr>
            <w:r>
              <w:rPr>
                <w:sz w:val="16"/>
              </w:rPr>
              <w:t xml:space="preserve">Policy Strategy service line: Phase 1 Landscape and Exposure Assessment</w:t>
            </w:r>
          </w:p>
        </w:tc>
      </w:tr>
      <w:tr>
        <w:trPr>
          <w:cantSplit/>
        </w:trPr>
        <w:tc>
          <w:tcPr>
            <w:tcW w:w="1145" w:type="dxa"/>
          </w:tcPr>
          <w:p>
            <w:pPr>
              <w:pStyle w:val="Compact"/>
              <w:jc w:val="left"/>
            </w:pPr>
            <w:r>
              <w:rPr>
                <w:sz w:val="16"/>
              </w:rPr>
              <w:t xml:space="preserve">Opportunity identification</w:t>
            </w:r>
          </w:p>
        </w:tc>
        <w:tc>
          <w:tcPr>
            <w:tcW w:w="2642" w:type="dxa"/>
          </w:tcPr>
          <w:p>
            <w:pPr>
              <w:pStyle w:val="Compact"/>
              <w:jc w:val="left"/>
            </w:pPr>
            <w:r>
              <w:rPr>
                <w:sz w:val="16"/>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6"/>
              </w:rPr>
              <w:t xml:space="preserve">Vermont hospitals: Act 68 transformation grants ($2M); AHEAD EAST Fund; RHT Program subrecipient grants; BALANCE Model GLP-1 coverage</w:t>
            </w:r>
          </w:p>
        </w:tc>
        <w:tc>
          <w:tcPr>
            <w:tcW w:w="2642" w:type="dxa"/>
          </w:tcPr>
          <w:p>
            <w:pPr>
              <w:pStyle w:val="Compact"/>
              <w:jc w:val="left"/>
            </w:pPr>
            <w:r>
              <w:rPr>
                <w:sz w:val="16"/>
              </w:rPr>
              <w:t xml:space="preserve">Policy Strategy service line: federal program opportunity assessment</w:t>
            </w:r>
          </w:p>
        </w:tc>
      </w:tr>
      <w:tr>
        <w:trPr>
          <w:cantSplit/>
        </w:trPr>
        <w:tc>
          <w:tcPr>
            <w:tcW w:w="1145" w:type="dxa"/>
          </w:tcPr>
          <w:p>
            <w:pPr>
              <w:pStyle w:val="Compact"/>
              <w:jc w:val="left"/>
            </w:pPr>
            <w:r>
              <w:rPr>
                <w:sz w:val="16"/>
              </w:rPr>
              <w:t xml:space="preserve">Policy advocacy</w:t>
            </w:r>
          </w:p>
        </w:tc>
        <w:tc>
          <w:tcPr>
            <w:tcW w:w="2642" w:type="dxa"/>
          </w:tcPr>
          <w:p>
            <w:pPr>
              <w:pStyle w:val="Compact"/>
              <w:jc w:val="left"/>
            </w:pPr>
            <w:r>
              <w:rPr>
                <w:sz w:val="16"/>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6"/>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6"/>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6"/>
        </w:numPr>
        <w:keepLines w:val="true"/>
        <w:keepNext w:val="true"/>
      </w:pPr>
      <w:r>
        <w:t xml:space="preserve">$911 billion in Medicaid cuts over 10 years — the largest reduction in federal health spending in American history.</w:t>
      </w:r>
    </w:p>
    <w:p>
      <w:pPr>
        <w:pStyle w:val="Compact"/>
        <w:numPr>
          <w:ilvl w:val="0"/>
          <w:numId w:val="1006"/>
        </w:numPr>
        <w:keepLines w:val="true"/>
        <w:keepNext w:val="true"/>
      </w:pPr>
      <w:r>
        <w:t xml:space="preserve">10 million additional Americans projected uninsured by 2034 (CBO estimate).</w:t>
      </w:r>
    </w:p>
    <w:p>
      <w:pPr>
        <w:pStyle w:val="Compact"/>
        <w:numPr>
          <w:ilvl w:val="0"/>
          <w:numId w:val="1006"/>
        </w:numPr>
        <w:keepLines w:val="true"/>
        <w:keepNext w:val="true"/>
      </w:pPr>
      <w:r>
        <w:t xml:space="preserve">Work requirements (80 hours/month) for Medicaid expansion enrollees beginning late 2026.</w:t>
      </w:r>
    </w:p>
    <w:p>
      <w:pPr>
        <w:pStyle w:val="Compact"/>
        <w:numPr>
          <w:ilvl w:val="0"/>
          <w:numId w:val="1006"/>
        </w:numPr>
        <w:keepLines w:val="true"/>
      </w:pPr>
      <w:r>
        <w:t xml:space="preserve">Eligibility redetermination every 6 months instead of annually — increased coverage churn.</w:t>
      </w:r>
    </w:p>
    <w:p>
      <w:pPr>
        <w:pStyle w:val="FirstParagraph"/>
      </w:pPr>
      <w:r>
        <w:t xml:space="preserve">RHT funds ($50B) expire 2030; Medicaid cuts accelerate after 2030. The math is unforgiving.</w:t>
      </w:r>
    </w:p>
    <w:p>
      <w:pPr>
        <w:pStyle w:val="BodyText"/>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544"/>
        <w:gridCol w:w="3189"/>
        <w:gridCol w:w="3544"/>
        <w:gridCol w:w="3544"/>
      </w:tblGrid>
      <w:tr>
        <w:trPr>
          <w:tblHeader w:val="on"/>
          <w:cantSplit/>
        </w:trPr>
        <w:tc>
          <w:tcPr>
            <w:shd w:val="clear" w:color="auto" w:fill="1B3A6B"/>
            <w:tcW w:w="2326" w:type="dxa"/>
          </w:tcPr>
          <w:p>
            <w:pPr>
              <w:pStyle w:val="Compact"/>
              <w:jc w:val="left"/>
            </w:pPr>
            <w:r>
              <w:rPr>
                <w:b/>
                <w:color w:val="FFFFFF"/>
                <w:sz w:val="16"/>
              </w:rPr>
              <w:t xml:space="preserve">H.R. 1 Medicaid provision</w:t>
            </w:r>
          </w:p>
        </w:tc>
        <w:tc>
          <w:tcPr>
            <w:shd w:val="clear" w:color="auto" w:fill="1B3A6B"/>
            <w:tcW w:w="2093" w:type="dxa"/>
          </w:tcPr>
          <w:p>
            <w:pPr>
              <w:pStyle w:val="Compact"/>
              <w:jc w:val="left"/>
            </w:pPr>
            <w:r>
              <w:rPr>
                <w:b/>
                <w:color w:val="FFFFFF"/>
                <w:sz w:val="16"/>
              </w:rPr>
              <w:t xml:space="preserve">When it takes effect</w:t>
            </w:r>
          </w:p>
        </w:tc>
        <w:tc>
          <w:tcPr>
            <w:shd w:val="clear" w:color="auto" w:fill="1B3A6B"/>
            <w:tcW w:w="2326" w:type="dxa"/>
          </w:tcPr>
          <w:p>
            <w:pPr>
              <w:pStyle w:val="Compact"/>
              <w:jc w:val="left"/>
            </w:pPr>
            <w:r>
              <w:rPr>
                <w:b/>
                <w:color w:val="FFFFFF"/>
                <w:sz w:val="16"/>
              </w:rPr>
              <w:t xml:space="preserve">Financial impact</w:t>
            </w:r>
          </w:p>
        </w:tc>
        <w:tc>
          <w:tcPr>
            <w:shd w:val="clear" w:color="auto" w:fill="1B3A6B"/>
            <w:tcW w:w="2326" w:type="dxa"/>
          </w:tcPr>
          <w:p>
            <w:pPr>
              <w:pStyle w:val="Compact"/>
              <w:jc w:val="left"/>
            </w:pPr>
            <w:r>
              <w:rPr>
                <w:b/>
                <w:color w:val="FFFFFF"/>
                <w:sz w:val="16"/>
              </w:rPr>
              <w:t xml:space="preserve">Vermont-specific implications</w:t>
            </w:r>
          </w:p>
        </w:tc>
      </w:tr>
      <w:tr>
        <w:trPr>
          <w:cantSplit/>
        </w:trPr>
        <w:tc>
          <w:tcPr>
            <w:tcW w:w="2326" w:type="dxa"/>
          </w:tcPr>
          <w:p>
            <w:pPr>
              <w:pStyle w:val="Compact"/>
              <w:jc w:val="left"/>
            </w:pPr>
            <w:r>
              <w:rPr>
                <w:sz w:val="16"/>
              </w:rPr>
              <w:t xml:space="preserve">Provider tax restrictions: ban on new or higher provider taxes in expansion states; phase-down of existing taxes</w:t>
            </w:r>
          </w:p>
        </w:tc>
        <w:tc>
          <w:tcPr>
            <w:tcW w:w="2093" w:type="dxa"/>
          </w:tcPr>
          <w:p>
            <w:pPr>
              <w:pStyle w:val="Compact"/>
              <w:jc w:val="left"/>
            </w:pPr>
            <w:r>
              <w:rPr>
                <w:sz w:val="16"/>
              </w:rPr>
              <w:t xml:space="preserve">In effect for new taxes; phase-down beginning 2027</w:t>
            </w:r>
          </w:p>
        </w:tc>
        <w:tc>
          <w:tcPr>
            <w:tcW w:w="2326" w:type="dxa"/>
          </w:tcPr>
          <w:p>
            <w:pPr>
              <w:pStyle w:val="Compact"/>
              <w:jc w:val="left"/>
            </w:pPr>
            <w:r>
              <w:rPr>
                <w:sz w:val="16"/>
              </w:rPr>
              <w:t xml:space="preserve">Reduces states’ ability to finance their Medicaid matching share; intensifies pressure on state Medicaid budgets</w:t>
            </w:r>
          </w:p>
        </w:tc>
        <w:tc>
          <w:tcPr>
            <w:tcW w:w="2326" w:type="dxa"/>
          </w:tcPr>
          <w:p>
            <w:pPr>
              <w:pStyle w:val="Compact"/>
              <w:jc w:val="left"/>
            </w:pPr>
            <w:r>
              <w:rPr>
                <w:sz w:val="16"/>
              </w:rPr>
              <w:t xml:space="preserve">Vermont’s financing mechanisms will need review; state budget implications require modeling through 2031</w:t>
            </w:r>
          </w:p>
        </w:tc>
      </w:tr>
      <w:tr>
        <w:trPr>
          <w:cantSplit/>
        </w:trPr>
        <w:tc>
          <w:tcPr>
            <w:tcW w:w="2326" w:type="dxa"/>
          </w:tcPr>
          <w:p>
            <w:pPr>
              <w:pStyle w:val="Compact"/>
              <w:jc w:val="left"/>
            </w:pPr>
            <w:r>
              <w:rPr>
                <w:sz w:val="16"/>
              </w:rPr>
              <w:t xml:space="preserve">State-directed payment caps at 100% of Medicare (expansion states)</w:t>
            </w:r>
          </w:p>
        </w:tc>
        <w:tc>
          <w:tcPr>
            <w:tcW w:w="2093" w:type="dxa"/>
          </w:tcPr>
          <w:p>
            <w:pPr>
              <w:pStyle w:val="Compact"/>
              <w:jc w:val="left"/>
            </w:pPr>
            <w:r>
              <w:rPr>
                <w:sz w:val="16"/>
              </w:rPr>
              <w:t xml:space="preserve">2027</w:t>
            </w:r>
          </w:p>
        </w:tc>
        <w:tc>
          <w:tcPr>
            <w:tcW w:w="2326" w:type="dxa"/>
          </w:tcPr>
          <w:p>
            <w:pPr>
              <w:pStyle w:val="Compact"/>
              <w:jc w:val="left"/>
            </w:pPr>
            <w:r>
              <w:rPr>
                <w:sz w:val="16"/>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6"/>
              </w:rPr>
              <w:t xml:space="preserve">Vermont hospitals receiving state-directed supplemental payments face revenue reduction; GMCB global budget design must account for this</w:t>
            </w:r>
          </w:p>
        </w:tc>
      </w:tr>
      <w:tr>
        <w:trPr>
          <w:cantSplit/>
        </w:trPr>
        <w:tc>
          <w:tcPr>
            <w:tcW w:w="2326" w:type="dxa"/>
          </w:tcPr>
          <w:p>
            <w:pPr>
              <w:pStyle w:val="Compact"/>
              <w:jc w:val="left"/>
            </w:pPr>
            <w:r>
              <w:rPr>
                <w:sz w:val="16"/>
              </w:rPr>
              <w:t xml:space="preserve">Work and community engagement requirements (80 hours/month)</w:t>
            </w:r>
          </w:p>
        </w:tc>
        <w:tc>
          <w:tcPr>
            <w:tcW w:w="2093" w:type="dxa"/>
          </w:tcPr>
          <w:p>
            <w:pPr>
              <w:pStyle w:val="Compact"/>
              <w:jc w:val="left"/>
            </w:pPr>
            <w:r>
              <w:rPr>
                <w:sz w:val="16"/>
              </w:rPr>
              <w:t xml:space="preserve">Late 2026 (states must implement by December 31, 2026)</w:t>
            </w:r>
          </w:p>
        </w:tc>
        <w:tc>
          <w:tcPr>
            <w:tcW w:w="2326" w:type="dxa"/>
          </w:tcPr>
          <w:p>
            <w:pPr>
              <w:pStyle w:val="Compact"/>
              <w:jc w:val="left"/>
            </w:pPr>
            <w:r>
              <w:rPr>
                <w:sz w:val="16"/>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6"/>
              </w:rPr>
              <w:t xml:space="preserve">Vermont has not expressed intent to implement work requirements; federal law now clearly authorizes them. Coverage implications for Vermont’s expansion population require monitoring.</w:t>
            </w:r>
          </w:p>
        </w:tc>
      </w:tr>
      <w:tr>
        <w:trPr>
          <w:cantSplit/>
        </w:trPr>
        <w:tc>
          <w:tcPr>
            <w:tcW w:w="2326" w:type="dxa"/>
          </w:tcPr>
          <w:p>
            <w:pPr>
              <w:pStyle w:val="Compact"/>
              <w:jc w:val="left"/>
            </w:pPr>
            <w:r>
              <w:rPr>
                <w:sz w:val="16"/>
              </w:rPr>
              <w:t xml:space="preserve">Eligibility redetermination every 6 months (vs. annual)</w:t>
            </w:r>
          </w:p>
        </w:tc>
        <w:tc>
          <w:tcPr>
            <w:tcW w:w="2093" w:type="dxa"/>
          </w:tcPr>
          <w:p>
            <w:pPr>
              <w:pStyle w:val="Compact"/>
              <w:jc w:val="left"/>
            </w:pPr>
            <w:r>
              <w:rPr>
                <w:sz w:val="16"/>
              </w:rPr>
              <w:t xml:space="preserve">2026</w:t>
            </w:r>
          </w:p>
        </w:tc>
        <w:tc>
          <w:tcPr>
            <w:tcW w:w="2326" w:type="dxa"/>
          </w:tcPr>
          <w:p>
            <w:pPr>
              <w:pStyle w:val="Compact"/>
              <w:jc w:val="left"/>
            </w:pPr>
            <w:r>
              <w:rPr>
                <w:sz w:val="16"/>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6"/>
              </w:rPr>
              <w:t xml:space="preserve">Vermont DVHA will face increased redetermination workload; outreach to ensure eligible Vermonters maintain coverage is an equity priority</w:t>
            </w:r>
          </w:p>
        </w:tc>
      </w:tr>
      <w:tr>
        <w:trPr>
          <w:cantSplit/>
        </w:trPr>
        <w:tc>
          <w:tcPr>
            <w:tcW w:w="2326" w:type="dxa"/>
          </w:tcPr>
          <w:p>
            <w:pPr>
              <w:pStyle w:val="Compact"/>
              <w:jc w:val="left"/>
            </w:pPr>
            <w:r>
              <w:rPr>
                <w:sz w:val="16"/>
              </w:rPr>
              <w:t xml:space="preserve">Medicaid reimbursement reductions (DSH cuts, payment rate changes)</w:t>
            </w:r>
          </w:p>
        </w:tc>
        <w:tc>
          <w:tcPr>
            <w:tcW w:w="2093" w:type="dxa"/>
          </w:tcPr>
          <w:p>
            <w:pPr>
              <w:pStyle w:val="Compact"/>
              <w:jc w:val="left"/>
            </w:pPr>
            <w:r>
              <w:rPr>
                <w:sz w:val="16"/>
              </w:rPr>
              <w:t xml:space="preserve">2026-2031 (phased)</w:t>
            </w:r>
          </w:p>
        </w:tc>
        <w:tc>
          <w:tcPr>
            <w:tcW w:w="2326" w:type="dxa"/>
          </w:tcPr>
          <w:p>
            <w:pPr>
              <w:pStyle w:val="Compact"/>
              <w:jc w:val="left"/>
            </w:pPr>
            <w:r>
              <w:rPr>
                <w:sz w:val="16"/>
              </w:rPr>
              <w:t xml:space="preserve">$911B over 10 years nationally; $137B in rural areas; hospitals will experience revenue reductions</w:t>
            </w:r>
          </w:p>
        </w:tc>
        <w:tc>
          <w:tcPr>
            <w:tcW w:w="2326" w:type="dxa"/>
          </w:tcPr>
          <w:p>
            <w:pPr>
              <w:pStyle w:val="Compact"/>
              <w:jc w:val="left"/>
            </w:pPr>
            <w:r>
              <w:rPr>
                <w:sz w:val="16"/>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7"/>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7"/>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7"/>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7"/>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8"/>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8"/>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8"/>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pPr>
      <w:r>
        <w:rPr>
          <w:color w:val="161B22"/>
        </w:rPr>
        <w:t xml:space="preserve">3.8  </w:t>
      </w:r>
      <w:bookmarkStart w:id="1110" w:name="_Toc1109"/>
      <w:r>
        <w:rPr>
          <w:b/>
          <w:bCs/>
          <w:color w:val="161B22"/>
        </w:rPr>
        <w:t xml:space="preserve">Work This Chapter on the Platform</w:t>
      </w:r>
      <w:bookmarkEnd w:id="1110"/>
    </w:p>
    <w:p>
      <w:pPr>
        <w:pStyle w:val="FirstParagraph"/>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Estimate Medicaid coverage loss under H.R. 1’s work-requirement and eligibility provisions</w:t>
            </w:r>
          </w:p>
        </w:tc>
        <w:tc>
          <w:tcPr>
            <w:tcW w:w="3024"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4" w:type="dxa"/>
          </w:tcPr>
          <w:p>
            <w:pPr>
              <w:pStyle w:val="Compact"/>
              <w:jc w:val="left"/>
            </w:pPr>
            <w:r>
              <w:rPr>
                <w:sz w:val="18"/>
              </w:rPr>
              <w:t xml:space="preserve">The gap between nominal exemptions and real-world coverage loss from administrative churn.</w:t>
            </w:r>
          </w:p>
        </w:tc>
      </w:tr>
      <w:tr>
        <w:trPr>
          <w:cantSplit/>
        </w:trPr>
        <w:tc>
          <w:tcPr>
            <w:tcW w:w="3024" w:type="dxa"/>
          </w:tcPr>
          <w:p>
            <w:pPr>
              <w:pStyle w:val="Compact"/>
              <w:jc w:val="left"/>
            </w:pPr>
            <w:r>
              <w:rPr>
                <w:sz w:val="18"/>
              </w:rPr>
              <w:t xml:space="preserve">Model the H.R. 1 funding cliff for a state’s Medicaid program</w:t>
            </w:r>
          </w:p>
        </w:tc>
        <w:tc>
          <w:tcPr>
            <w:tcW w:w="3024"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4" w:type="dxa"/>
          </w:tcPr>
          <w:p>
            <w:pPr>
              <w:pStyle w:val="Compact"/>
              <w:jc w:val="left"/>
            </w:pPr>
            <w:r>
              <w:rPr>
                <w:sz w:val="18"/>
              </w:rPr>
              <w:t xml:space="preserve">How federal policy shifts the financial assumptions every downstream pillar depends on.</w:t>
            </w:r>
          </w:p>
        </w:tc>
      </w:tr>
      <w:tr>
        <w:trPr>
          <w:cantSplit/>
        </w:trPr>
        <w:tc>
          <w:tcPr>
            <w:tcW w:w="3024" w:type="dxa"/>
          </w:tcPr>
          <w:p>
            <w:pPr>
              <w:pStyle w:val="Compact"/>
              <w:jc w:val="left"/>
            </w:pPr>
            <w:r>
              <w:rPr>
                <w:sz w:val="18"/>
              </w:rPr>
              <w:t xml:space="preserve">Test eligibility outcomes for a specific household</w:t>
            </w:r>
          </w:p>
        </w:tc>
        <w:tc>
          <w:tcPr>
            <w:tcW w:w="3024"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4"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pBdr>
          <w:top w:val="single" w:sz="4" w:space="8" w:color="B8B8B8"/>
        </w:pBdr>
        <w:spacing w:before="160" w:after="120"/>
      </w:pPr>
      <w:r>
        <w:rPr>
          <w:rFonts w:ascii="Calibri" w:hAnsi="Calibri"/>
          <w:i/>
          <w:color w:val="00000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autofit"/>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cantSplit/>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cantSplit/>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pPr>
      <w:r>
        <w:rPr>
          <w:color w:val="161B22"/>
        </w:rPr>
        <w:t xml:space="preserve">4.2.1  </w:t>
      </w:r>
      <w:bookmarkStart w:id="1117" w:name="_Toc1116"/>
      <w:r>
        <w:rPr>
          <w:b/>
          <w:bCs/>
          <w:color w:val="161B22"/>
        </w:rPr>
        <w:t xml:space="preserve">What VHCURES Contains and What It Can Do</w:t>
      </w:r>
      <w:bookmarkEnd w:id="1117"/>
    </w:p>
    <w:p>
      <w:pPr>
        <w:pStyle w:val="FirstParagraph"/>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cantSplit/>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pPr>
      <w:r>
        <w:rPr>
          <w:color w:val="161B22"/>
        </w:rPr>
        <w:t xml:space="preserve">4.2.2  </w:t>
      </w:r>
      <w:bookmarkStart w:id="1118" w:name="_Toc1117"/>
      <w:r>
        <w:rPr>
          <w:b/>
          <w:bCs/>
          <w:color w:val="161B22"/>
        </w:rPr>
        <w:t xml:space="preserve">VHCURES Limitations — Where the Gaps Are</w:t>
      </w:r>
      <w:bookmarkEnd w:id="1118"/>
    </w:p>
    <w:p>
      <w:pPr>
        <w:pStyle w:val="FirstParagraph"/>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Limitation</w:t>
            </w:r>
          </w:p>
        </w:tc>
        <w:tc>
          <w:tcPr>
            <w:shd w:val="clear" w:color="auto" w:fill="1B3A6B"/>
            <w:tcW w:w="3298" w:type="dxa"/>
          </w:tcPr>
          <w:p>
            <w:pPr>
              <w:pStyle w:val="Compact"/>
              <w:jc w:val="left"/>
            </w:pPr>
            <w:r>
              <w:rPr>
                <w:b/>
                <w:color w:val="FFFFFF"/>
                <w:sz w:val="18"/>
              </w:rPr>
              <w:t xml:space="preserve">What it means for transformation</w:t>
            </w:r>
          </w:p>
        </w:tc>
        <w:tc>
          <w:tcPr>
            <w:shd w:val="clear" w:color="auto" w:fill="1B3A6B"/>
            <w:tcW w:w="3298" w:type="dxa"/>
          </w:tcPr>
          <w:p>
            <w:pPr>
              <w:pStyle w:val="Compact"/>
              <w:jc w:val="left"/>
            </w:pPr>
            <w:r>
              <w:rPr>
                <w:b/>
                <w:color w:val="FFFFFF"/>
                <w:sz w:val="18"/>
              </w:rPr>
              <w:t xml:space="preserve">Required improvement</w:t>
            </w:r>
          </w:p>
        </w:tc>
      </w:tr>
      <w:tr>
        <w:trPr>
          <w:cantSplit/>
        </w:trPr>
        <w:tc>
          <w:tcPr>
            <w:tcW w:w="2474" w:type="dxa"/>
          </w:tcPr>
          <w:p>
            <w:pPr>
              <w:pStyle w:val="Compact"/>
              <w:jc w:val="left"/>
            </w:pPr>
            <w:r>
              <w:rPr>
                <w:sz w:val="18"/>
              </w:rPr>
              <w:t xml:space="preserve">Incomplete commercial coverage (60%)</w:t>
            </w:r>
          </w:p>
        </w:tc>
        <w:tc>
          <w:tcPr>
            <w:tcW w:w="3298"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cantSplit/>
        </w:trPr>
        <w:tc>
          <w:tcPr>
            <w:tcW w:w="2474" w:type="dxa"/>
          </w:tcPr>
          <w:p>
            <w:pPr>
              <w:pStyle w:val="Compact"/>
              <w:jc w:val="left"/>
            </w:pPr>
            <w:r>
              <w:rPr>
                <w:sz w:val="18"/>
              </w:rPr>
              <w:t xml:space="preserve">Data lag of 12-18+ months</w:t>
            </w:r>
          </w:p>
        </w:tc>
        <w:tc>
          <w:tcPr>
            <w:tcW w:w="3298"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cantSplit/>
        </w:trPr>
        <w:tc>
          <w:tcPr>
            <w:tcW w:w="2474" w:type="dxa"/>
          </w:tcPr>
          <w:p>
            <w:pPr>
              <w:pStyle w:val="Compact"/>
              <w:jc w:val="left"/>
            </w:pPr>
            <w:r>
              <w:rPr>
                <w:sz w:val="18"/>
              </w:rPr>
              <w:t xml:space="preserve">No behavioral health or SDOH data integration</w:t>
            </w:r>
          </w:p>
        </w:tc>
        <w:tc>
          <w:tcPr>
            <w:tcW w:w="3298"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2474" w:type="dxa"/>
          </w:tcPr>
          <w:p>
            <w:pPr>
              <w:pStyle w:val="Compact"/>
              <w:jc w:val="left"/>
            </w:pPr>
            <w:r>
              <w:rPr>
                <w:sz w:val="18"/>
              </w:rPr>
              <w:t xml:space="preserve">Voluntary provider participation in HIE</w:t>
            </w:r>
          </w:p>
        </w:tc>
        <w:tc>
          <w:tcPr>
            <w:tcW w:w="3298" w:type="dxa"/>
          </w:tcPr>
          <w:p>
            <w:pPr>
              <w:pStyle w:val="Compact"/>
              <w:jc w:val="left"/>
            </w:pPr>
            <w:r>
              <w:rPr>
                <w:sz w:val="18"/>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jc w:val="left"/>
            </w:pPr>
            <w:r>
              <w:rPr>
                <w:sz w:val="18"/>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09"/>
        </w:numPr>
        <w:keepLines w:val="true"/>
        <w:keepNext w:val="true"/>
      </w:pPr>
      <w:r>
        <w:t xml:space="preserve">Perception: Vermont has a State Health Information Exchange (VITL).</w:t>
      </w:r>
    </w:p>
    <w:p>
      <w:pPr>
        <w:pStyle w:val="Compact"/>
        <w:numPr>
          <w:ilvl w:val="0"/>
          <w:numId w:val="1009"/>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pPr>
      <w:r>
        <w:t xml:space="preserve">The practical path to this integration has three components that must be executed in sequence: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Step</w:t>
            </w:r>
          </w:p>
        </w:tc>
        <w:tc>
          <w:tcPr>
            <w:shd w:val="clear" w:color="auto" w:fill="1B3A6B"/>
            <w:tcW w:w="2440" w:type="dxa"/>
          </w:tcPr>
          <w:p>
            <w:pPr>
              <w:pStyle w:val="Compact"/>
              <w:jc w:val="left"/>
            </w:pPr>
            <w:r>
              <w:rPr>
                <w:b/>
                <w:color w:val="FFFFFF"/>
                <w:sz w:val="16"/>
              </w:rPr>
              <w:t xml:space="preserve">What it requires</w:t>
            </w:r>
          </w:p>
        </w:tc>
        <w:tc>
          <w:tcPr>
            <w:shd w:val="clear" w:color="auto" w:fill="1B3A6B"/>
            <w:tcW w:w="2440" w:type="dxa"/>
          </w:tcPr>
          <w:p>
            <w:pPr>
              <w:pStyle w:val="Compact"/>
              <w:jc w:val="left"/>
            </w:pPr>
            <w:r>
              <w:rPr>
                <w:b/>
                <w:color w:val="FFFFFF"/>
                <w:sz w:val="16"/>
              </w:rPr>
              <w:t xml:space="preserve">Timeline</w:t>
            </w:r>
          </w:p>
        </w:tc>
        <w:tc>
          <w:tcPr>
            <w:shd w:val="clear" w:color="auto" w:fill="1B3A6B"/>
            <w:tcW w:w="2440" w:type="dxa"/>
          </w:tcPr>
          <w:p>
            <w:pPr>
              <w:pStyle w:val="Compact"/>
              <w:jc w:val="left"/>
            </w:pPr>
            <w:r>
              <w:rPr>
                <w:b/>
                <w:color w:val="FFFFFF"/>
                <w:sz w:val="16"/>
              </w:rPr>
              <w:t xml:space="preserve">Current status</w:t>
            </w:r>
          </w:p>
        </w:tc>
      </w:tr>
      <w:tr>
        <w:trPr>
          <w:cantSplit/>
        </w:trPr>
        <w:tc>
          <w:tcPr>
            <w:tcW w:w="1749" w:type="dxa"/>
          </w:tcPr>
          <w:p>
            <w:pPr>
              <w:pStyle w:val="Compact"/>
              <w:jc w:val="left"/>
            </w:pPr>
            <w:r>
              <w:rPr>
                <w:sz w:val="16"/>
              </w:rPr>
              <w:t xml:space="preserve">1. VHCURES-VHIE claims-clinical integration</w:t>
            </w:r>
          </w:p>
        </w:tc>
        <w:tc>
          <w:tcPr>
            <w:tcW w:w="2440" w:type="dxa"/>
          </w:tcPr>
          <w:p>
            <w:pPr>
              <w:pStyle w:val="Compact"/>
              <w:jc w:val="left"/>
            </w:pPr>
            <w:r>
              <w:rPr>
                <w:sz w:val="16"/>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6"/>
              </w:rPr>
              <w:t xml:space="preserve">DVHA leading; AHEAD Model requires this for population health management; target 2026-2027</w:t>
            </w:r>
          </w:p>
        </w:tc>
        <w:tc>
          <w:tcPr>
            <w:tcW w:w="2440" w:type="dxa"/>
          </w:tcPr>
          <w:p>
            <w:pPr>
              <w:pStyle w:val="Compact"/>
              <w:jc w:val="left"/>
            </w:pPr>
            <w:r>
              <w:rPr>
                <w:sz w:val="16"/>
              </w:rPr>
              <w:t xml:space="preserve">HIE Steering Committee has a statutory directive to include data integration strategy in HIE plans; VHCURES-VITL linkage already used for Blueprint HEDIS measurement; full bidirectional integration not yet operational</w:t>
            </w:r>
          </w:p>
        </w:tc>
      </w:tr>
      <w:tr>
        <w:trPr>
          <w:cantSplit/>
        </w:trPr>
        <w:tc>
          <w:tcPr>
            <w:tcW w:w="1749" w:type="dxa"/>
          </w:tcPr>
          <w:p>
            <w:pPr>
              <w:pStyle w:val="Compact"/>
              <w:jc w:val="left"/>
            </w:pPr>
            <w:r>
              <w:rPr>
                <w:sz w:val="16"/>
              </w:rPr>
              <w:t xml:space="preserve">2. Mental health and SUD data integration</w:t>
            </w:r>
          </w:p>
        </w:tc>
        <w:tc>
          <w:tcPr>
            <w:tcW w:w="2440" w:type="dxa"/>
          </w:tcPr>
          <w:p>
            <w:pPr>
              <w:pStyle w:val="Compact"/>
              <w:jc w:val="left"/>
            </w:pPr>
            <w:r>
              <w:rPr>
                <w:sz w:val="16"/>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6"/>
              </w:rPr>
              <w:t xml:space="preserve">2027-2028; requires federal 42 CFR Part 2 compliance pathway</w:t>
            </w:r>
          </w:p>
        </w:tc>
        <w:tc>
          <w:tcPr>
            <w:tcW w:w="2440" w:type="dxa"/>
          </w:tcPr>
          <w:p>
            <w:pPr>
              <w:pStyle w:val="Compact"/>
              <w:jc w:val="left"/>
            </w:pPr>
            <w:r>
              <w:rPr>
                <w:sz w:val="16"/>
              </w:rPr>
              <w:t xml:space="preserve">DVHA working with VITL on consent policy; 2025 federal regulatory changes to 42 CFR Part 2 may simplify compliance pathway; behavioral health CCBHC expansion creates urgency</w:t>
            </w:r>
          </w:p>
        </w:tc>
      </w:tr>
      <w:tr>
        <w:trPr>
          <w:cantSplit/>
        </w:trPr>
        <w:tc>
          <w:tcPr>
            <w:tcW w:w="1749" w:type="dxa"/>
          </w:tcPr>
          <w:p>
            <w:pPr>
              <w:pStyle w:val="Compact"/>
              <w:jc w:val="left"/>
            </w:pPr>
            <w:r>
              <w:rPr>
                <w:sz w:val="16"/>
              </w:rPr>
              <w:t xml:space="preserve">3. SDOH data integration</w:t>
            </w:r>
          </w:p>
        </w:tc>
        <w:tc>
          <w:tcPr>
            <w:tcW w:w="2440" w:type="dxa"/>
          </w:tcPr>
          <w:p>
            <w:pPr>
              <w:pStyle w:val="Compact"/>
              <w:jc w:val="left"/>
            </w:pPr>
            <w:r>
              <w:rPr>
                <w:sz w:val="16"/>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6"/>
              </w:rPr>
              <w:t xml:space="preserve">2028 and beyond; requires cross-agency data governance agreement</w:t>
            </w:r>
          </w:p>
        </w:tc>
        <w:tc>
          <w:tcPr>
            <w:tcW w:w="2440" w:type="dxa"/>
          </w:tcPr>
          <w:p>
            <w:pPr>
              <w:pStyle w:val="Compact"/>
              <w:jc w:val="left"/>
            </w:pPr>
            <w:r>
              <w:rPr>
                <w:sz w:val="16"/>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cantSplit/>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cantSplit/>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cantSplit/>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cantSplit/>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cantSplit/>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cantSplit/>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0"/>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0"/>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0"/>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0"/>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0"/>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1"/>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1"/>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1"/>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1"/>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cantSplit/>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cantSplit/>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2"/>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2"/>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2"/>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2"/>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2"/>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autofit"/>
      </w:tblPr>
      <w:tblGrid>
        <w:gridCol w:w="4212"/>
        <w:gridCol w:w="4860"/>
      </w:tblGrid>
      <w:tr>
        <w:trPr>
          <w:tblHeader w:val="on"/>
          <w:cantSplit/>
        </w:trPr>
        <w:tc>
          <w:tcPr>
            <w:shd w:val="clear" w:color="auto" w:fill="1B3A6B"/>
            <w:tcW w:w="4212" w:type="dxa"/>
          </w:tcPr>
          <w:p>
            <w:pPr>
              <w:pStyle w:val="Compact"/>
            </w:pPr>
            <w:r>
              <w:rPr>
                <w:b/>
                <w:color w:val="FFFFFF"/>
                <w:sz w:val="18"/>
              </w:rPr>
              <w:t xml:space="preserve">Layer</w:t>
            </w:r>
          </w:p>
        </w:tc>
        <w:tc>
          <w:tcPr>
            <w:shd w:val="clear" w:color="auto" w:fill="1B3A6B"/>
            <w:tcW w:w="4860" w:type="dxa"/>
          </w:tcPr>
          <w:p>
            <w:pPr>
              <w:pStyle w:val="Compact"/>
            </w:pPr>
            <w:r>
              <w:rPr>
                <w:b/>
                <w:color w:val="FFFFFF"/>
                <w:sz w:val="18"/>
              </w:rPr>
              <w:t xml:space="preserve">Components</w:t>
            </w:r>
          </w:p>
        </w:tc>
      </w:tr>
      <w:tr>
        <w:trPr>
          <w:cantSplit/>
        </w:trPr>
        <w:tc>
          <w:tcPr>
            <w:tcW w:w="4212"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4860" w:type="dxa"/>
          </w:tcPr>
          <w:p>
            <w:pPr>
              <w:pStyle w:val="Compact"/>
              <w:numPr>
                <w:ilvl w:val="0"/>
                <w:numId w:val="1013"/>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3"/>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3"/>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3"/>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3"/>
              </w:numPr>
            </w:pPr>
            <w:r>
              <w:rPr>
                <w:sz w:val="18"/>
              </w:rPr>
              <w:t xml:space="preserve">Price transparency dashboard: GMCB public tool;</w:t>
            </w:r>
            <w:r>
              <w:rPr>
                <w:sz w:val="18"/>
              </w:rPr>
              <w:t xml:space="preserve"> </w:t>
            </w:r>
            <w:r>
              <w:rPr>
                <w:sz w:val="18"/>
              </w:rPr>
              <w:t xml:space="preserve">patient-facing comparison via RHT</w:t>
            </w:r>
          </w:p>
        </w:tc>
      </w:tr>
      <w:tr>
        <w:trPr>
          <w:cantSplit/>
        </w:trPr>
        <w:tc>
          <w:tcPr>
            <w:tcW w:w="4212"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4860" w:type="dxa"/>
          </w:tcPr>
          <w:p>
            <w:pPr>
              <w:pStyle w:val="Compact"/>
              <w:numPr>
                <w:ilvl w:val="0"/>
                <w:numId w:val="1014"/>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4"/>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4"/>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4"/>
              </w:numPr>
            </w:pPr>
            <w:r>
              <w:rPr>
                <w:sz w:val="18"/>
              </w:rPr>
              <w:t xml:space="preserve">Care coordination registry: CHT patient registries; CCBHC</w:t>
            </w:r>
            <w:r>
              <w:rPr>
                <w:sz w:val="18"/>
              </w:rPr>
              <w:t xml:space="preserve"> </w:t>
            </w:r>
            <w:r>
              <w:rPr>
                <w:sz w:val="18"/>
              </w:rPr>
              <w:t xml:space="preserve">care-management data</w:t>
            </w:r>
          </w:p>
        </w:tc>
      </w:tr>
      <w:tr>
        <w:trPr>
          <w:cantSplit/>
        </w:trPr>
        <w:tc>
          <w:tcPr>
            <w:tcW w:w="4212"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4860" w:type="dxa"/>
          </w:tcPr>
          <w:p>
            <w:pPr>
              <w:pStyle w:val="Compact"/>
              <w:numPr>
                <w:ilvl w:val="0"/>
                <w:numId w:val="1015"/>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5"/>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5"/>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5"/>
              </w:numPr>
            </w:pPr>
            <w:r>
              <w:rPr>
                <w:sz w:val="18"/>
              </w:rPr>
              <w:t xml:space="preserve">Single patient identity: master patient index across all</w:t>
            </w:r>
            <w:r>
              <w:rPr>
                <w:sz w:val="18"/>
              </w:rPr>
              <w:t xml:space="preserve"> </w:t>
            </w:r>
            <w:r>
              <w:rPr>
                <w:sz w:val="18"/>
              </w:rPr>
              <w:t xml:space="preserve">14 hospitals and community providers</w:t>
            </w:r>
          </w:p>
        </w:tc>
      </w:tr>
      <w:tr>
        <w:trPr>
          <w:cantSplit/>
        </w:trPr>
        <w:tc>
          <w:tcPr>
            <w:tcW w:w="4212"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4860" w:type="dxa"/>
          </w:tcPr>
          <w:p>
            <w:pPr>
              <w:pStyle w:val="Compact"/>
              <w:numPr>
                <w:ilvl w:val="0"/>
                <w:numId w:val="1016"/>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6"/>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6"/>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6"/>
              </w:numPr>
            </w:pPr>
            <w:r>
              <w:rPr>
                <w:sz w:val="18"/>
              </w:rPr>
              <w:t xml:space="preserve">CommonWell / Carequality: national network connectivity</w:t>
            </w:r>
            <w:r>
              <w:rPr>
                <w:sz w:val="18"/>
              </w:rPr>
              <w:t xml:space="preserve"> </w:t>
            </w:r>
            <w:r>
              <w:rPr>
                <w:sz w:val="18"/>
              </w:rPr>
              <w:t xml:space="preserve">for out-of-state care records</w:t>
            </w:r>
          </w:p>
        </w:tc>
      </w:tr>
      <w:tr>
        <w:trPr>
          <w:cantSplit/>
        </w:trPr>
        <w:tc>
          <w:tcPr>
            <w:tcW w:w="4212"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4860" w:type="dxa"/>
          </w:tcPr>
          <w:p>
            <w:pPr>
              <w:pStyle w:val="Compact"/>
              <w:numPr>
                <w:ilvl w:val="0"/>
                <w:numId w:val="1017"/>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7"/>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7"/>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7"/>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7"/>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pPr>
      <w:r>
        <w:rPr>
          <w:color w:val="161B22"/>
        </w:rPr>
        <w:t xml:space="preserve">4.9  </w:t>
      </w:r>
      <w:bookmarkStart w:id="1138" w:name="_Toc1137"/>
      <w:r>
        <w:rPr>
          <w:b/>
          <w:bCs/>
          <w:color w:val="161B22"/>
        </w:rPr>
        <w:t xml:space="preserve">Work This Chapter on the Platform</w:t>
      </w:r>
      <w:bookmarkEnd w:id="1138"/>
    </w:p>
    <w:p>
      <w:pPr>
        <w:pStyle w:val="FirstParagraph"/>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FHIR R4 resources and map terminology across ICD-10, SNOMED, LOINC, RxNorm</w:t>
            </w:r>
          </w:p>
        </w:tc>
        <w:tc>
          <w:tcPr>
            <w:tcW w:w="3024"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4"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cantSplit/>
        </w:trPr>
        <w:tc>
          <w:tcPr>
            <w:tcW w:w="3024" w:type="dxa"/>
          </w:tcPr>
          <w:p>
            <w:pPr>
              <w:pStyle w:val="Compact"/>
              <w:jc w:val="left"/>
            </w:pPr>
            <w:r>
              <w:rPr>
                <w:sz w:val="18"/>
              </w:rPr>
              <w:t xml:space="preserve">Stratify a population by CMS-HCC risk and see the attribution that global budgets require</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Why technology must precede economics: you cannot manage a budget for a population you cannot see.</w:t>
            </w:r>
          </w:p>
        </w:tc>
      </w:tr>
      <w:tr>
        <w:trPr>
          <w:cantSplit/>
        </w:trPr>
        <w:tc>
          <w:tcPr>
            <w:tcW w:w="3024" w:type="dxa"/>
          </w:tcPr>
          <w:p>
            <w:pPr>
              <w:pStyle w:val="Compact"/>
              <w:jc w:val="left"/>
            </w:pPr>
            <w:r>
              <w:rPr>
                <w:sz w:val="18"/>
              </w:rPr>
              <w:t xml:space="preserve">Compare EHR vendors, model adoption cost and 5-year ROI, and audit a record’s USCDI data quality</w:t>
            </w:r>
          </w:p>
        </w:tc>
        <w:tc>
          <w:tcPr>
            <w:tcW w:w="3024"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4"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3024" w:type="dxa"/>
          </w:tcPr>
          <w:p>
            <w:pPr>
              <w:pStyle w:val="Compact"/>
              <w:jc w:val="left"/>
            </w:pPr>
            <w:r>
              <w:rPr>
                <w:sz w:val="18"/>
              </w:rPr>
              <w:t xml:space="preserve">Weigh a single statewide EHR against FHIR interoperability across Vermont’s existing platforms</w:t>
            </w:r>
          </w:p>
        </w:tc>
        <w:tc>
          <w:tcPr>
            <w:tcW w:w="3024"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4"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Introduced or Expanded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pBdr>
          <w:top w:val="single" w:sz="4" w:space="8" w:color="B8B8B8"/>
        </w:pBdr>
        <w:spacing w:before="160" w:after="120"/>
      </w:pPr>
      <w:r>
        <w:rPr>
          <w:rFonts w:ascii="Calibri" w:hAnsi="Calibri"/>
          <w:i/>
          <w:color w:val="00000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pPr>
      <w:r>
        <w:rPr>
          <w:color w:val="161B22"/>
        </w:rPr>
        <w:t xml:space="preserve">5.2.2  </w:t>
      </w:r>
      <w:bookmarkStart w:id="1145" w:name="_Toc1144"/>
      <w:r>
        <w:rPr>
          <w:b/>
          <w:bCs/>
          <w:color w:val="161B22"/>
        </w:rPr>
        <w:t xml:space="preserve">The Three FHIR Use Cases Vermont Needs Most</w:t>
      </w:r>
      <w:bookmarkEnd w:id="1145"/>
    </w:p>
    <w:p>
      <w:pPr>
        <w:pStyle w:val="FirstParagraph"/>
      </w:pPr>
      <w:r>
        <w:t xml:space="preserve">Vermont’s technology investments should prioritize three FHIR use cases that deliver the highest value for the transformation agenda:</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324"/>
        <w:gridCol w:w="3499"/>
        <w:gridCol w:w="3499"/>
        <w:gridCol w:w="3499"/>
      </w:tblGrid>
      <w:tr>
        <w:trPr>
          <w:tblHeader w:val="on"/>
          <w:cantSplit/>
        </w:trPr>
        <w:tc>
          <w:tcPr>
            <w:shd w:val="clear" w:color="auto" w:fill="1B3A6B"/>
            <w:tcW w:w="2181" w:type="dxa"/>
          </w:tcPr>
          <w:p>
            <w:pPr>
              <w:pStyle w:val="Compact"/>
              <w:jc w:val="left"/>
            </w:pPr>
            <w:r>
              <w:rPr>
                <w:b/>
                <w:color w:val="FFFFFF"/>
                <w:sz w:val="16"/>
              </w:rPr>
              <w:t xml:space="preserve">FHIR use case</w:t>
            </w:r>
          </w:p>
        </w:tc>
        <w:tc>
          <w:tcPr>
            <w:shd w:val="clear" w:color="auto" w:fill="1B3A6B"/>
            <w:tcW w:w="2296" w:type="dxa"/>
          </w:tcPr>
          <w:p>
            <w:pPr>
              <w:pStyle w:val="Compact"/>
              <w:jc w:val="left"/>
            </w:pPr>
            <w:r>
              <w:rPr>
                <w:b/>
                <w:color w:val="FFFFFF"/>
                <w:sz w:val="16"/>
              </w:rPr>
              <w:t xml:space="preserve">What it enables</w:t>
            </w:r>
          </w:p>
        </w:tc>
        <w:tc>
          <w:tcPr>
            <w:shd w:val="clear" w:color="auto" w:fill="1B3A6B"/>
            <w:tcW w:w="2296" w:type="dxa"/>
          </w:tcPr>
          <w:p>
            <w:pPr>
              <w:pStyle w:val="Compact"/>
              <w:jc w:val="left"/>
            </w:pPr>
            <w:r>
              <w:rPr>
                <w:b/>
                <w:color w:val="FFFFFF"/>
                <w:sz w:val="16"/>
              </w:rPr>
              <w:t xml:space="preserve">Implementation requirements</w:t>
            </w:r>
          </w:p>
        </w:tc>
        <w:tc>
          <w:tcPr>
            <w:shd w:val="clear" w:color="auto" w:fill="1B3A6B"/>
            <w:tcW w:w="2296" w:type="dxa"/>
          </w:tcPr>
          <w:p>
            <w:pPr>
              <w:pStyle w:val="Compact"/>
              <w:jc w:val="left"/>
            </w:pPr>
            <w:r>
              <w:rPr>
                <w:b/>
                <w:color w:val="FFFFFF"/>
                <w:sz w:val="16"/>
              </w:rPr>
              <w:t xml:space="preserve">Vermont priority</w:t>
            </w:r>
          </w:p>
        </w:tc>
      </w:tr>
      <w:tr>
        <w:trPr>
          <w:cantSplit/>
        </w:trPr>
        <w:tc>
          <w:tcPr>
            <w:tcW w:w="2181" w:type="dxa"/>
          </w:tcPr>
          <w:p>
            <w:pPr>
              <w:pStyle w:val="Compact"/>
              <w:jc w:val="left"/>
            </w:pPr>
            <w:r>
              <w:rPr>
                <w:sz w:val="16"/>
              </w:rPr>
              <w:t xml:space="preserve">Patient access API (§170.315(g)(10))</w:t>
            </w:r>
          </w:p>
        </w:tc>
        <w:tc>
          <w:tcPr>
            <w:tcW w:w="2296" w:type="dxa"/>
          </w:tcPr>
          <w:p>
            <w:pPr>
              <w:pStyle w:val="Compact"/>
              <w:jc w:val="left"/>
            </w:pPr>
            <w:r>
              <w:rPr>
                <w:sz w:val="16"/>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6"/>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6"/>
              </w:rPr>
              <w:t xml:space="preserve">Required compliance — all Vermont hospitals must be compliant. Monitor for compliance at smaller CAHs without robust IT departments.</w:t>
            </w:r>
          </w:p>
        </w:tc>
      </w:tr>
      <w:tr>
        <w:trPr>
          <w:cantSplit/>
        </w:trPr>
        <w:tc>
          <w:tcPr>
            <w:tcW w:w="2181" w:type="dxa"/>
          </w:tcPr>
          <w:p>
            <w:pPr>
              <w:pStyle w:val="Compact"/>
              <w:jc w:val="left"/>
            </w:pPr>
            <w:r>
              <w:rPr>
                <w:sz w:val="16"/>
              </w:rPr>
              <w:t xml:space="preserve">Provider access API (care coordination)</w:t>
            </w:r>
          </w:p>
        </w:tc>
        <w:tc>
          <w:tcPr>
            <w:tcW w:w="2296" w:type="dxa"/>
          </w:tcPr>
          <w:p>
            <w:pPr>
              <w:pStyle w:val="Compact"/>
              <w:jc w:val="left"/>
            </w:pPr>
            <w:r>
              <w:rPr>
                <w:sz w:val="16"/>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6"/>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6"/>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6"/>
              </w:rPr>
              <w:t xml:space="preserve">Payer-to-provider API (prior authorization and formulary)</w:t>
            </w:r>
          </w:p>
        </w:tc>
        <w:tc>
          <w:tcPr>
            <w:tcW w:w="2296" w:type="dxa"/>
          </w:tcPr>
          <w:p>
            <w:pPr>
              <w:pStyle w:val="Compact"/>
              <w:jc w:val="left"/>
            </w:pPr>
            <w:r>
              <w:rPr>
                <w:sz w:val="16"/>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6"/>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6"/>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pPr>
      <w:r>
        <w:rPr>
          <w:color w:val="161B22"/>
        </w:rPr>
        <w:t xml:space="preserve">5.4.2  </w:t>
      </w:r>
      <w:bookmarkStart w:id="1156" w:name="_Toc1155"/>
      <w:r>
        <w:rPr>
          <w:b/>
          <w:bCs/>
          <w:color w:val="161B22"/>
        </w:rPr>
        <w:t xml:space="preserve">Population Health CDS — Vermont’s Priority Application</w:t>
      </w:r>
      <w:bookmarkEnd w:id="1156"/>
    </w:p>
    <w:p>
      <w:pPr>
        <w:pStyle w:val="FirstParagraph"/>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CDS type</w:t>
            </w:r>
          </w:p>
        </w:tc>
        <w:tc>
          <w:tcPr>
            <w:shd w:val="clear" w:color="auto" w:fill="1B3A6B"/>
            <w:tcW w:w="2579" w:type="dxa"/>
          </w:tcPr>
          <w:p>
            <w:pPr>
              <w:pStyle w:val="Compact"/>
              <w:jc w:val="left"/>
            </w:pPr>
            <w:r>
              <w:rPr>
                <w:b/>
                <w:color w:val="FFFFFF"/>
                <w:sz w:val="16"/>
              </w:rPr>
              <w:t xml:space="preserve">What it does</w:t>
            </w:r>
          </w:p>
        </w:tc>
        <w:tc>
          <w:tcPr>
            <w:shd w:val="clear" w:color="auto" w:fill="1B3A6B"/>
            <w:tcW w:w="2579" w:type="dxa"/>
          </w:tcPr>
          <w:p>
            <w:pPr>
              <w:pStyle w:val="Compact"/>
              <w:jc w:val="left"/>
            </w:pPr>
            <w:r>
              <w:rPr>
                <w:b/>
                <w:color w:val="FFFFFF"/>
                <w:sz w:val="16"/>
              </w:rPr>
              <w:t xml:space="preserve">Implementation requirement</w:t>
            </w:r>
          </w:p>
        </w:tc>
        <w:tc>
          <w:tcPr>
            <w:shd w:val="clear" w:color="auto" w:fill="1B3A6B"/>
            <w:tcW w:w="2579" w:type="dxa"/>
          </w:tcPr>
          <w:p>
            <w:pPr>
              <w:pStyle w:val="Compact"/>
              <w:jc w:val="left"/>
            </w:pPr>
            <w:r>
              <w:rPr>
                <w:b/>
                <w:color w:val="FFFFFF"/>
                <w:sz w:val="16"/>
              </w:rPr>
              <w:t xml:space="preserve">Vermont application</w:t>
            </w:r>
          </w:p>
        </w:tc>
      </w:tr>
      <w:tr>
        <w:trPr>
          <w:cantSplit/>
        </w:trPr>
        <w:tc>
          <w:tcPr>
            <w:tcW w:w="1332" w:type="dxa"/>
          </w:tcPr>
          <w:p>
            <w:pPr>
              <w:pStyle w:val="Compact"/>
              <w:jc w:val="left"/>
            </w:pPr>
            <w:r>
              <w:rPr>
                <w:sz w:val="16"/>
              </w:rPr>
              <w:t xml:space="preserve">Predictive risk stratification</w:t>
            </w:r>
          </w:p>
        </w:tc>
        <w:tc>
          <w:tcPr>
            <w:tcW w:w="2579" w:type="dxa"/>
          </w:tcPr>
          <w:p>
            <w:pPr>
              <w:pStyle w:val="Compact"/>
              <w:jc w:val="left"/>
            </w:pPr>
            <w:r>
              <w:rPr>
                <w:sz w:val="16"/>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6"/>
              </w:rPr>
              <w:t xml:space="preserve">Attribution data, historical claims, EHR access, trained risk model; care management workflow to receive and act on high-risk alerts</w:t>
            </w:r>
          </w:p>
        </w:tc>
        <w:tc>
          <w:tcPr>
            <w:tcW w:w="2579" w:type="dxa"/>
          </w:tcPr>
          <w:p>
            <w:pPr>
              <w:pStyle w:val="Compact"/>
              <w:jc w:val="left"/>
            </w:pPr>
            <w:r>
              <w:rPr>
                <w:sz w:val="16"/>
              </w:rPr>
              <w:t xml:space="preserve">VHCURES-based risk stratification for AHEAD-attributed Medicare population; identify the top 5% highest-risk patients for intensive CHT engagement before AHEAD year begins</w:t>
            </w:r>
          </w:p>
        </w:tc>
      </w:tr>
      <w:tr>
        <w:trPr>
          <w:cantSplit/>
        </w:trPr>
        <w:tc>
          <w:tcPr>
            <w:tcW w:w="1332" w:type="dxa"/>
          </w:tcPr>
          <w:p>
            <w:pPr>
              <w:pStyle w:val="Compact"/>
              <w:jc w:val="left"/>
            </w:pPr>
            <w:r>
              <w:rPr>
                <w:sz w:val="16"/>
              </w:rPr>
              <w:t xml:space="preserve">Care gap identification</w:t>
            </w:r>
          </w:p>
        </w:tc>
        <w:tc>
          <w:tcPr>
            <w:tcW w:w="2579" w:type="dxa"/>
          </w:tcPr>
          <w:p>
            <w:pPr>
              <w:pStyle w:val="Compact"/>
              <w:jc w:val="left"/>
            </w:pPr>
            <w:r>
              <w:rPr>
                <w:sz w:val="16"/>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6"/>
              </w:rPr>
              <w:t xml:space="preserve">EHR integration; HEDIS measure definitions; patient registry with last service date tracking</w:t>
            </w:r>
          </w:p>
        </w:tc>
        <w:tc>
          <w:tcPr>
            <w:tcW w:w="2579" w:type="dxa"/>
          </w:tcPr>
          <w:p>
            <w:pPr>
              <w:pStyle w:val="Compact"/>
              <w:jc w:val="left"/>
            </w:pPr>
            <w:r>
              <w:rPr>
                <w:sz w:val="16"/>
              </w:rPr>
              <w:t xml:space="preserve">Blueprint PCMH practices: care gap report generated for each scheduled patient appointment, enabling care coordinator to prepare outreach materials before the visit</w:t>
            </w:r>
          </w:p>
        </w:tc>
      </w:tr>
      <w:tr>
        <w:trPr>
          <w:cantSplit/>
        </w:trPr>
        <w:tc>
          <w:tcPr>
            <w:tcW w:w="1332" w:type="dxa"/>
          </w:tcPr>
          <w:p>
            <w:pPr>
              <w:pStyle w:val="Compact"/>
              <w:jc w:val="left"/>
            </w:pPr>
            <w:r>
              <w:rPr>
                <w:sz w:val="16"/>
              </w:rPr>
              <w:t xml:space="preserve">SDOH screening and navigation</w:t>
            </w:r>
          </w:p>
        </w:tc>
        <w:tc>
          <w:tcPr>
            <w:tcW w:w="2579" w:type="dxa"/>
          </w:tcPr>
          <w:p>
            <w:pPr>
              <w:pStyle w:val="Compact"/>
              <w:jc w:val="left"/>
            </w:pPr>
            <w:r>
              <w:rPr>
                <w:sz w:val="16"/>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6"/>
              </w:rPr>
              <w:t xml:space="preserve">EHR-integrated screening tool; CHT workflow to receive referrals; community resource directory integration</w:t>
            </w:r>
          </w:p>
        </w:tc>
        <w:tc>
          <w:tcPr>
            <w:tcW w:w="2579" w:type="dxa"/>
          </w:tcPr>
          <w:p>
            <w:pPr>
              <w:pStyle w:val="Compact"/>
              <w:jc w:val="left"/>
            </w:pPr>
            <w:r>
              <w:rPr>
                <w:sz w:val="16"/>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6"/>
              </w:rPr>
              <w:t xml:space="preserve">Medication safety and adherence</w:t>
            </w:r>
          </w:p>
        </w:tc>
        <w:tc>
          <w:tcPr>
            <w:tcW w:w="2579" w:type="dxa"/>
          </w:tcPr>
          <w:p>
            <w:pPr>
              <w:pStyle w:val="Compact"/>
              <w:jc w:val="left"/>
            </w:pPr>
            <w:r>
              <w:rPr>
                <w:sz w:val="16"/>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6"/>
              </w:rPr>
              <w:t xml:space="preserve">Pharmacy claims data access; prescriber notification workflow</w:t>
            </w:r>
          </w:p>
        </w:tc>
        <w:tc>
          <w:tcPr>
            <w:tcW w:w="2579" w:type="dxa"/>
          </w:tcPr>
          <w:p>
            <w:pPr>
              <w:pStyle w:val="Compact"/>
              <w:jc w:val="left"/>
            </w:pPr>
            <w:r>
              <w:rPr>
                <w:sz w:val="16"/>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pPr>
      <w:r>
        <w:rPr>
          <w:color w:val="161B22"/>
        </w:rPr>
        <w:t xml:space="preserve">5.6  </w:t>
      </w:r>
      <w:bookmarkStart w:id="1159" w:name="_Toc1158"/>
      <w:r>
        <w:rPr>
          <w:b/>
          <w:bCs/>
          <w:color w:val="161B22"/>
        </w:rPr>
        <w:t xml:space="preserve">Technology Pillar Implementation Matrix</w:t>
      </w:r>
      <w:bookmarkEnd w:id="1159"/>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6"/>
        <w:gridCol w:w="1167"/>
        <w:gridCol w:w="901"/>
        <w:gridCol w:w="1273"/>
        <w:gridCol w:w="3183"/>
      </w:tblGrid>
      <w:tr>
        <w:trPr>
          <w:tblHeader w:val="on"/>
          <w:cantSplit/>
        </w:trPr>
        <w:tc>
          <w:tcPr>
            <w:shd w:val="clear" w:color="auto" w:fill="1B3A6B"/>
            <w:tcW w:w="2546" w:type="dxa"/>
          </w:tcPr>
          <w:p>
            <w:pPr>
              <w:pStyle w:val="Compact"/>
              <w:jc w:val="left"/>
            </w:pPr>
            <w:r>
              <w:rPr>
                <w:b/>
                <w:color w:val="FFFFFF"/>
                <w:sz w:val="18"/>
              </w:rPr>
              <w:t xml:space="preserve">Investment</w:t>
            </w:r>
          </w:p>
        </w:tc>
        <w:tc>
          <w:tcPr>
            <w:shd w:val="clear" w:color="auto" w:fill="1B3A6B"/>
            <w:tcW w:w="1167"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1273"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2546" w:type="dxa"/>
          </w:tcPr>
          <w:p>
            <w:pPr>
              <w:pStyle w:val="Compact"/>
              <w:jc w:val="left"/>
            </w:pPr>
            <w:r>
              <w:rPr>
                <w:sz w:val="18"/>
              </w:rPr>
              <w:t xml:space="preserve">FHIR R4 compliance and API development</w:t>
            </w:r>
          </w:p>
        </w:tc>
        <w:tc>
          <w:tcPr>
            <w:tcW w:w="1167" w:type="dxa"/>
          </w:tcPr>
          <w:p>
            <w:pPr>
              <w:pStyle w:val="Compact"/>
              <w:jc w:val="left"/>
            </w:pPr>
            <w:r>
              <w:rPr>
                <w:sz w:val="18"/>
              </w:rPr>
              <w:t xml:space="preserve">$150K-$500K per org</w:t>
            </w:r>
          </w:p>
        </w:tc>
        <w:tc>
          <w:tcPr>
            <w:tcW w:w="901" w:type="dxa"/>
          </w:tcPr>
          <w:p>
            <w:pPr>
              <w:pStyle w:val="Compact"/>
              <w:jc w:val="left"/>
            </w:pPr>
            <w:r>
              <w:rPr>
                <w:sz w:val="18"/>
              </w:rPr>
              <w:t xml:space="preserve">12-18 months</w:t>
            </w:r>
          </w:p>
        </w:tc>
        <w:tc>
          <w:tcPr>
            <w:tcW w:w="1273" w:type="dxa"/>
          </w:tcPr>
          <w:p>
            <w:pPr>
              <w:pStyle w:val="Compact"/>
              <w:jc w:val="left"/>
            </w:pPr>
            <w:r>
              <w:rPr>
                <w:sz w:val="18"/>
              </w:rPr>
              <w:t xml:space="preserve">18-24 months</w:t>
            </w:r>
          </w:p>
        </w:tc>
        <w:tc>
          <w:tcPr>
            <w:tcW w:w="3183" w:type="dxa"/>
          </w:tcPr>
          <w:p>
            <w:pPr>
              <w:pStyle w:val="Compact"/>
              <w:jc w:val="left"/>
            </w:pPr>
            <w:r>
              <w:rPr>
                <w:sz w:val="18"/>
              </w:rPr>
              <w:t xml:space="preserve">Vermont VITL FHIR mandate; CMS interoperability rule compliance</w:t>
            </w:r>
          </w:p>
        </w:tc>
      </w:tr>
      <w:tr>
        <w:trPr>
          <w:cantSplit/>
        </w:trPr>
        <w:tc>
          <w:tcPr>
            <w:tcW w:w="2546" w:type="dxa"/>
          </w:tcPr>
          <w:p>
            <w:pPr>
              <w:pStyle w:val="Compact"/>
              <w:jc w:val="left"/>
            </w:pPr>
            <w:r>
              <w:rPr>
                <w:sz w:val="18"/>
              </w:rPr>
              <w:t xml:space="preserve">Clinical AI deployment with governance framework</w:t>
            </w:r>
          </w:p>
        </w:tc>
        <w:tc>
          <w:tcPr>
            <w:tcW w:w="1167" w:type="dxa"/>
          </w:tcPr>
          <w:p>
            <w:pPr>
              <w:pStyle w:val="Compact"/>
              <w:jc w:val="left"/>
            </w:pPr>
            <w:r>
              <w:rPr>
                <w:sz w:val="18"/>
              </w:rPr>
              <w:t xml:space="preserve">$200K-$1M setup</w:t>
            </w:r>
          </w:p>
        </w:tc>
        <w:tc>
          <w:tcPr>
            <w:tcW w:w="901" w:type="dxa"/>
          </w:tcPr>
          <w:p>
            <w:pPr>
              <w:pStyle w:val="Compact"/>
              <w:jc w:val="left"/>
            </w:pPr>
            <w:r>
              <w:rPr>
                <w:sz w:val="18"/>
              </w:rPr>
              <w:t xml:space="preserve">6-12 months</w:t>
            </w:r>
          </w:p>
        </w:tc>
        <w:tc>
          <w:tcPr>
            <w:tcW w:w="1273" w:type="dxa"/>
          </w:tcPr>
          <w:p>
            <w:pPr>
              <w:pStyle w:val="Compact"/>
              <w:jc w:val="left"/>
            </w:pPr>
            <w:r>
              <w:rPr>
                <w:sz w:val="18"/>
              </w:rPr>
              <w:t xml:space="preserve">12-24 months</w:t>
            </w:r>
          </w:p>
        </w:tc>
        <w:tc>
          <w:tcPr>
            <w:tcW w:w="3183" w:type="dxa"/>
          </w:tcPr>
          <w:p>
            <w:pPr>
              <w:pStyle w:val="Compact"/>
              <w:jc w:val="left"/>
            </w:pPr>
            <w:r>
              <w:rPr>
                <w:sz w:val="18"/>
              </w:rPr>
              <w:t xml:space="preserve">Vermont AI scribe grants (RHT); ambient documentation ROI 30-45 min/day/provider</w:t>
            </w:r>
          </w:p>
        </w:tc>
      </w:tr>
      <w:tr>
        <w:trPr>
          <w:cantSplit/>
        </w:trPr>
        <w:tc>
          <w:tcPr>
            <w:tcW w:w="2546" w:type="dxa"/>
          </w:tcPr>
          <w:p>
            <w:pPr>
              <w:pStyle w:val="Compact"/>
              <w:jc w:val="left"/>
            </w:pPr>
            <w:r>
              <w:rPr>
                <w:sz w:val="18"/>
              </w:rPr>
              <w:t xml:space="preserve">VHCURES analytics platform access and training</w:t>
            </w:r>
          </w:p>
        </w:tc>
        <w:tc>
          <w:tcPr>
            <w:tcW w:w="1167" w:type="dxa"/>
          </w:tcPr>
          <w:p>
            <w:pPr>
              <w:pStyle w:val="Compact"/>
              <w:jc w:val="left"/>
            </w:pPr>
            <w:r>
              <w:rPr>
                <w:sz w:val="18"/>
              </w:rPr>
              <w:t xml:space="preserve">$20K-$60K annually</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Vermont hospitals: pre-AHEAD HCC gap analysis; attribution modeling</w:t>
            </w:r>
          </w:p>
        </w:tc>
      </w:tr>
      <w:tr>
        <w:trPr>
          <w:cantSplit/>
        </w:trPr>
        <w:tc>
          <w:tcPr>
            <w:tcW w:w="2546" w:type="dxa"/>
          </w:tcPr>
          <w:p>
            <w:pPr>
              <w:pStyle w:val="Compact"/>
              <w:jc w:val="left"/>
            </w:pPr>
            <w:r>
              <w:rPr>
                <w:sz w:val="18"/>
              </w:rPr>
              <w:t xml:space="preserve">CIN shared analytics infrastructure</w:t>
            </w:r>
          </w:p>
        </w:tc>
        <w:tc>
          <w:tcPr>
            <w:tcW w:w="1167" w:type="dxa"/>
          </w:tcPr>
          <w:p>
            <w:pPr>
              <w:pStyle w:val="Compact"/>
              <w:jc w:val="left"/>
            </w:pPr>
            <w:r>
              <w:rPr>
                <w:sz w:val="18"/>
              </w:rPr>
              <w:t xml:space="preserve">$500K-$2M network cost</w:t>
            </w:r>
          </w:p>
        </w:tc>
        <w:tc>
          <w:tcPr>
            <w:tcW w:w="901" w:type="dxa"/>
          </w:tcPr>
          <w:p>
            <w:pPr>
              <w:pStyle w:val="Compact"/>
              <w:jc w:val="left"/>
            </w:pPr>
            <w:r>
              <w:rPr>
                <w:sz w:val="18"/>
              </w:rPr>
              <w:t xml:space="preserve">18-36 months</w:t>
            </w:r>
          </w:p>
        </w:tc>
        <w:tc>
          <w:tcPr>
            <w:tcW w:w="1273"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for all 14 hospitals</w:t>
            </w:r>
          </w:p>
        </w:tc>
      </w:tr>
      <w:tr>
        <w:trPr>
          <w:cantSplit/>
        </w:trPr>
        <w:tc>
          <w:tcPr>
            <w:tcW w:w="2546" w:type="dxa"/>
          </w:tcPr>
          <w:p>
            <w:pPr>
              <w:pStyle w:val="Compact"/>
              <w:jc w:val="left"/>
            </w:pPr>
            <w:r>
              <w:rPr>
                <w:sz w:val="18"/>
              </w:rPr>
              <w:t xml:space="preserve">EHR optimization for structured data capture</w:t>
            </w:r>
          </w:p>
        </w:tc>
        <w:tc>
          <w:tcPr>
            <w:tcW w:w="1167" w:type="dxa"/>
          </w:tcPr>
          <w:p>
            <w:pPr>
              <w:pStyle w:val="Compact"/>
              <w:jc w:val="left"/>
            </w:pPr>
            <w:r>
              <w:rPr>
                <w:sz w:val="18"/>
              </w:rPr>
              <w:t xml:space="preserve">$15K-$40K per practice</w:t>
            </w:r>
          </w:p>
        </w:tc>
        <w:tc>
          <w:tcPr>
            <w:tcW w:w="901" w:type="dxa"/>
          </w:tcPr>
          <w:p>
            <w:pPr>
              <w:pStyle w:val="Compact"/>
              <w:jc w:val="left"/>
            </w:pPr>
            <w:r>
              <w:rPr>
                <w:sz w:val="18"/>
              </w:rPr>
              <w:t xml:space="preserve">1-3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Blueprint PCMH prerequisite; HEDIS measure reporting accuracy</w:t>
            </w:r>
          </w:p>
        </w:tc>
      </w:tr>
      <w:tr>
        <w:trPr>
          <w:cantSplit/>
        </w:trPr>
        <w:tc>
          <w:tcPr>
            <w:tcW w:w="2546" w:type="dxa"/>
          </w:tcPr>
          <w:p>
            <w:pPr>
              <w:pStyle w:val="Compact"/>
              <w:jc w:val="left"/>
            </w:pPr>
            <w:r>
              <w:rPr>
                <w:sz w:val="18"/>
              </w:rPr>
              <w:t xml:space="preserve">Cybersecurity assessment and hardening</w:t>
            </w:r>
          </w:p>
        </w:tc>
        <w:tc>
          <w:tcPr>
            <w:tcW w:w="1167" w:type="dxa"/>
          </w:tcPr>
          <w:p>
            <w:pPr>
              <w:pStyle w:val="Compact"/>
              <w:jc w:val="left"/>
            </w:pPr>
            <w:r>
              <w:rPr>
                <w:sz w:val="18"/>
              </w:rPr>
              <w:t xml:space="preserve">$50K-$200K per org</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Risk avoidance immediate</w:t>
            </w:r>
          </w:p>
        </w:tc>
        <w:tc>
          <w:tcPr>
            <w:tcW w:w="3183"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pPr>
      <w:r>
        <w:rPr>
          <w:color w:val="161B22"/>
        </w:rPr>
        <w:t xml:space="preserve">5.7  </w:t>
      </w:r>
      <w:bookmarkStart w:id="1160" w:name="_Toc1159"/>
      <w:r>
        <w:rPr>
          <w:b/>
          <w:bCs/>
          <w:color w:val="161B22"/>
        </w:rPr>
        <w:t xml:space="preserve">Work This Chapter on the Platform</w:t>
      </w:r>
      <w:bookmarkEnd w:id="1160"/>
    </w:p>
    <w:p>
      <w:pPr>
        <w:pStyle w:val="FirstParagraph"/>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an AI clinical governance framework across the model lifecycle</w:t>
            </w:r>
          </w:p>
        </w:tc>
        <w:tc>
          <w:tcPr>
            <w:tcW w:w="3024"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4" w:type="dxa"/>
          </w:tcPr>
          <w:p>
            <w:pPr>
              <w:pStyle w:val="Compact"/>
              <w:jc w:val="left"/>
            </w:pPr>
            <w:r>
              <w:rPr>
                <w:sz w:val="18"/>
              </w:rPr>
              <w:t xml:space="preserve">The 65-item checklist as a go/no-go gate before any clinical AI deployment.</w:t>
            </w:r>
          </w:p>
        </w:tc>
      </w:tr>
      <w:tr>
        <w:trPr>
          <w:cantSplit/>
        </w:trPr>
        <w:tc>
          <w:tcPr>
            <w:tcW w:w="3024" w:type="dxa"/>
          </w:tcPr>
          <w:p>
            <w:pPr>
              <w:pStyle w:val="Compact"/>
              <w:jc w:val="left"/>
            </w:pPr>
            <w:r>
              <w:rPr>
                <w:sz w:val="18"/>
              </w:rPr>
              <w:t xml:space="preserve">Model RPM and telehealth ROI by condition and CPT code</w:t>
            </w:r>
          </w:p>
        </w:tc>
        <w:tc>
          <w:tcPr>
            <w:tcW w:w="3024"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4" w:type="dxa"/>
          </w:tcPr>
          <w:p>
            <w:pPr>
              <w:pStyle w:val="Compact"/>
              <w:jc w:val="left"/>
            </w:pPr>
            <w:r>
              <w:rPr>
                <w:sz w:val="18"/>
              </w:rPr>
              <w:t xml:space="preserve">Where digital health earns its cost — and where it adds alert fatigue without value.</w:t>
            </w:r>
          </w:p>
        </w:tc>
      </w:tr>
      <w:tr>
        <w:trPr>
          <w:cantSplit/>
        </w:trPr>
        <w:tc>
          <w:tcPr>
            <w:tcW w:w="3024" w:type="dxa"/>
          </w:tcPr>
          <w:p>
            <w:pPr>
              <w:pStyle w:val="Compact"/>
              <w:jc w:val="left"/>
            </w:pPr>
            <w:r>
              <w:rPr>
                <w:sz w:val="18"/>
              </w:rPr>
              <w:t xml:space="preserve">Exercise clinical data exchange and HL7 messaging</w:t>
            </w:r>
          </w:p>
        </w:tc>
        <w:tc>
          <w:tcPr>
            <w:tcW w:w="3024"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4" w:type="dxa"/>
          </w:tcPr>
          <w:p>
            <w:pPr>
              <w:pStyle w:val="Compact"/>
              <w:jc w:val="left"/>
            </w:pPr>
            <w:r>
              <w:rPr>
                <w:sz w:val="18"/>
              </w:rPr>
              <w:t xml:space="preserve">The integration work that makes near-real-time care management possible.</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pBdr>
          <w:top w:val="single" w:sz="4" w:space="8" w:color="B8B8B8"/>
        </w:pBdr>
        <w:spacing w:before="160" w:after="120"/>
      </w:pPr>
      <w:r>
        <w:rPr>
          <w:rFonts w:ascii="Calibri" w:hAnsi="Calibri"/>
          <w:i/>
          <w:color w:val="00000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rPr>
          <w:i/>
          <w:color w:val="404040"/>
          <w:sz w:val="18"/>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pPr>
      <w:r>
        <w:rPr>
          <w:rFonts w:ascii="Garamond" w:hAnsi="Garamond"/>
          <w:b w:val="0"/>
          <w:i w:val="0"/>
          <w:color w:val="333333"/>
          <w:sz w:val="19"/>
        </w:rPr>
        <w:t xml:space="preserve">— Maryland state regulator, quoted in JAMA Network Open study of the Maryland All-Payer Model</w:t>
      </w:r>
    </w:p>
    <w:p>
      <w:pPr>
        <w:pStyle w:val="Heading3"/>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cantSplit/>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pPr>
      <w:r>
        <w:rPr>
          <w:b/>
          <w:bCs/>
        </w:rPr>
        <w:t xml:space="preserve">Vermont average monthly silver marketplace premium (2018–2024)</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cantSplit/>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cantSplit/>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cantSplit/>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cantSplit/>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8"/>
        </w:numPr>
        <w:keepLines w:val="true"/>
        <w:keepNext w:val="true"/>
      </w:pPr>
      <w:r>
        <w:t xml:space="preserve">Mandatory, not voluntary — every hospital, every commercial payer, by FY2027</w:t>
      </w:r>
    </w:p>
    <w:p>
      <w:pPr>
        <w:pStyle w:val="Compact"/>
        <w:numPr>
          <w:ilvl w:val="0"/>
          <w:numId w:val="1018"/>
        </w:numPr>
        <w:keepLines w:val="true"/>
        <w:keepNext w:val="true"/>
      </w:pPr>
      <w:r>
        <w:t xml:space="preserve">Binding ceiling, not advisory guidance — hospitals cannot charge or collect more than the established rate</w:t>
      </w:r>
    </w:p>
    <w:p>
      <w:pPr>
        <w:pStyle w:val="Compact"/>
        <w:numPr>
          <w:ilvl w:val="0"/>
          <w:numId w:val="1018"/>
        </w:numPr>
        <w:keepLines w:val="true"/>
        <w:keepNext w:val="true"/>
      </w:pPr>
      <w:r>
        <w:t xml:space="preserve">Transparent benchmark — Medicare rates provide a nationally comparable, publicly available anchor</w:t>
      </w:r>
    </w:p>
    <w:p>
      <w:pPr>
        <w:pStyle w:val="Compact"/>
        <w:numPr>
          <w:ilvl w:val="0"/>
          <w:numId w:val="1018"/>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pPr>
      <w:r>
        <w:rPr>
          <w:color w:val="161B22"/>
        </w:rPr>
        <w:t xml:space="preserve">6.3.2  </w:t>
      </w:r>
      <w:bookmarkStart w:id="1171" w:name="_Toc1170"/>
      <w:r>
        <w:rPr>
          <w:b/>
          <w:bCs/>
          <w:color w:val="161B22"/>
        </w:rPr>
        <w:t xml:space="preserve">The Evidence Base: Cross-State Results</w:t>
      </w:r>
      <w:bookmarkEnd w:id="1171"/>
    </w:p>
    <w:p>
      <w:pPr>
        <w:pStyle w:val="FirstParagraph"/>
      </w:pPr>
      <w:r>
        <w:t xml:space="preserve">Vermont is not designing RBP in a vacuum. Three states have implemented meaningful price reference programs with documented results, providing the evidence base for Vermont’s design choices.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699"/>
        <w:gridCol w:w="4435"/>
        <w:gridCol w:w="3252"/>
        <w:gridCol w:w="4435"/>
      </w:tblGrid>
      <w:tr>
        <w:trPr>
          <w:tblHeader w:val="on"/>
          <w:cantSplit/>
        </w:trPr>
        <w:tc>
          <w:tcPr>
            <w:shd w:val="clear" w:color="auto" w:fill="1B3A6B"/>
            <w:tcW w:w="1115" w:type="dxa"/>
          </w:tcPr>
          <w:p>
            <w:pPr>
              <w:pStyle w:val="Compact"/>
              <w:jc w:val="left"/>
            </w:pPr>
            <w:r>
              <w:rPr>
                <w:b/>
                <w:color w:val="FFFFFF"/>
                <w:sz w:val="16"/>
              </w:rPr>
              <w:t xml:space="preserve">State / Program</w:t>
            </w:r>
          </w:p>
        </w:tc>
        <w:tc>
          <w:tcPr>
            <w:shd w:val="clear" w:color="auto" w:fill="1B3A6B"/>
            <w:tcW w:w="2910" w:type="dxa"/>
          </w:tcPr>
          <w:p>
            <w:pPr>
              <w:pStyle w:val="Compact"/>
              <w:jc w:val="left"/>
            </w:pPr>
            <w:r>
              <w:rPr>
                <w:b/>
                <w:color w:val="FFFFFF"/>
                <w:sz w:val="16"/>
              </w:rPr>
              <w:t xml:space="preserve">Design</w:t>
            </w:r>
          </w:p>
        </w:tc>
        <w:tc>
          <w:tcPr>
            <w:shd w:val="clear" w:color="auto" w:fill="1B3A6B"/>
            <w:tcW w:w="2134" w:type="dxa"/>
          </w:tcPr>
          <w:p>
            <w:pPr>
              <w:pStyle w:val="Compact"/>
              <w:jc w:val="left"/>
            </w:pPr>
            <w:r>
              <w:rPr>
                <w:b/>
                <w:color w:val="FFFFFF"/>
                <w:sz w:val="16"/>
              </w:rPr>
              <w:t xml:space="preserve">Scope</w:t>
            </w:r>
          </w:p>
        </w:tc>
        <w:tc>
          <w:tcPr>
            <w:shd w:val="clear" w:color="auto" w:fill="1B3A6B"/>
            <w:tcW w:w="2910" w:type="dxa"/>
          </w:tcPr>
          <w:p>
            <w:pPr>
              <w:pStyle w:val="Compact"/>
              <w:jc w:val="left"/>
            </w:pPr>
            <w:r>
              <w:rPr>
                <w:b/>
                <w:color w:val="FFFFFF"/>
                <w:sz w:val="16"/>
              </w:rPr>
              <w:t xml:space="preserve">Key Results</w:t>
            </w:r>
          </w:p>
        </w:tc>
      </w:tr>
      <w:tr>
        <w:trPr>
          <w:cantSplit/>
        </w:trPr>
        <w:tc>
          <w:tcPr>
            <w:tcW w:w="1115" w:type="dxa"/>
          </w:tcPr>
          <w:p>
            <w:pPr>
              <w:pStyle w:val="Compact"/>
              <w:jc w:val="left"/>
            </w:pPr>
            <w:r>
              <w:rPr>
                <w:sz w:val="16"/>
              </w:rPr>
              <w:t xml:space="preserve">Oregon (2019)</w:t>
            </w:r>
          </w:p>
        </w:tc>
        <w:tc>
          <w:tcPr>
            <w:tcW w:w="2910" w:type="dxa"/>
          </w:tcPr>
          <w:p>
            <w:pPr>
              <w:pStyle w:val="Compact"/>
              <w:jc w:val="left"/>
            </w:pPr>
            <w:r>
              <w:rPr>
                <w:sz w:val="16"/>
              </w:rPr>
              <w:t xml:space="preserve">200% of Medicare in-network; 185% out-of-network. CAH exemptions.</w:t>
            </w:r>
          </w:p>
        </w:tc>
        <w:tc>
          <w:tcPr>
            <w:tcW w:w="2134" w:type="dxa"/>
          </w:tcPr>
          <w:p>
            <w:pPr>
              <w:pStyle w:val="Compact"/>
              <w:jc w:val="left"/>
            </w:pPr>
            <w:r>
              <w:rPr>
                <w:sz w:val="16"/>
              </w:rPr>
              <w:t xml:space="preserve">State employee plan (~300,000 covered lives)</w:t>
            </w:r>
          </w:p>
        </w:tc>
        <w:tc>
          <w:tcPr>
            <w:tcW w:w="2910" w:type="dxa"/>
          </w:tcPr>
          <w:p>
            <w:pPr>
              <w:pStyle w:val="Compact"/>
              <w:jc w:val="left"/>
            </w:pPr>
            <w:r>
              <w:rPr>
                <w:sz w:val="16"/>
              </w:rPr>
              <w:t xml:space="preserve">$107.5M saved in first 27 months (Health Affairs). All 24 affected hospitals remained in-network. No documented access harm.</w:t>
            </w:r>
          </w:p>
        </w:tc>
      </w:tr>
      <w:tr>
        <w:trPr>
          <w:cantSplit/>
        </w:trPr>
        <w:tc>
          <w:tcPr>
            <w:tcW w:w="1115" w:type="dxa"/>
          </w:tcPr>
          <w:p>
            <w:pPr>
              <w:pStyle w:val="Compact"/>
              <w:jc w:val="left"/>
            </w:pPr>
            <w:r>
              <w:rPr>
                <w:sz w:val="16"/>
              </w:rPr>
              <w:t xml:space="preserve">Montana (2016)</w:t>
            </w:r>
          </w:p>
        </w:tc>
        <w:tc>
          <w:tcPr>
            <w:tcW w:w="2910" w:type="dxa"/>
          </w:tcPr>
          <w:p>
            <w:pPr>
              <w:pStyle w:val="Compact"/>
              <w:jc w:val="left"/>
            </w:pPr>
            <w:r>
              <w:rPr>
                <w:sz w:val="16"/>
              </w:rPr>
              <w:t xml:space="preserve">Direct contracting at % of Medicare for state employee plan.</w:t>
            </w:r>
          </w:p>
        </w:tc>
        <w:tc>
          <w:tcPr>
            <w:tcW w:w="2134" w:type="dxa"/>
          </w:tcPr>
          <w:p>
            <w:pPr>
              <w:pStyle w:val="Compact"/>
              <w:jc w:val="left"/>
            </w:pPr>
            <w:r>
              <w:rPr>
                <w:sz w:val="16"/>
              </w:rPr>
              <w:t xml:space="preserve">State employee plan</w:t>
            </w:r>
          </w:p>
        </w:tc>
        <w:tc>
          <w:tcPr>
            <w:tcW w:w="2910" w:type="dxa"/>
          </w:tcPr>
          <w:p>
            <w:pPr>
              <w:pStyle w:val="Compact"/>
              <w:jc w:val="left"/>
            </w:pPr>
            <w:r>
              <w:rPr>
                <w:sz w:val="16"/>
              </w:rPr>
              <w:t xml:space="preserve">$48M initial savings. Politically fragile without statutory mandate — illustrates Vermont’s correct choice to legislate rather than demonstrate.</w:t>
            </w:r>
          </w:p>
        </w:tc>
      </w:tr>
      <w:tr>
        <w:trPr>
          <w:cantSplit/>
        </w:trPr>
        <w:tc>
          <w:tcPr>
            <w:tcW w:w="1115" w:type="dxa"/>
          </w:tcPr>
          <w:p>
            <w:pPr>
              <w:pStyle w:val="Compact"/>
              <w:jc w:val="left"/>
            </w:pPr>
            <w:r>
              <w:rPr>
                <w:sz w:val="16"/>
              </w:rPr>
              <w:t xml:space="preserve">Washington (2021)</w:t>
            </w:r>
          </w:p>
        </w:tc>
        <w:tc>
          <w:tcPr>
            <w:tcW w:w="2910" w:type="dxa"/>
          </w:tcPr>
          <w:p>
            <w:pPr>
              <w:pStyle w:val="Compact"/>
              <w:jc w:val="left"/>
            </w:pPr>
            <w:r>
              <w:rPr>
                <w:sz w:val="16"/>
              </w:rPr>
              <w:t xml:space="preserve">‘Cascade Care’</w:t>
            </w:r>
            <w:r>
              <w:rPr>
                <w:sz w:val="16"/>
              </w:rPr>
              <w:t xml:space="preserve"> </w:t>
            </w:r>
            <w:r>
              <w:rPr>
                <w:sz w:val="16"/>
              </w:rPr>
              <w:t xml:space="preserve">public option. 160% of Medicare for participating networks.</w:t>
            </w:r>
          </w:p>
        </w:tc>
        <w:tc>
          <w:tcPr>
            <w:tcW w:w="2134" w:type="dxa"/>
          </w:tcPr>
          <w:p>
            <w:pPr>
              <w:pStyle w:val="Compact"/>
              <w:jc w:val="left"/>
            </w:pPr>
            <w:r>
              <w:rPr>
                <w:sz w:val="16"/>
              </w:rPr>
              <w:t xml:space="preserve">Voluntary public option</w:t>
            </w:r>
          </w:p>
        </w:tc>
        <w:tc>
          <w:tcPr>
            <w:tcW w:w="2910" w:type="dxa"/>
          </w:tcPr>
          <w:p>
            <w:pPr>
              <w:pStyle w:val="Compact"/>
              <w:jc w:val="left"/>
            </w:pPr>
            <w:r>
              <w:rPr>
                <w:sz w:val="16"/>
              </w:rPr>
              <w:t xml:space="preserve">Expanding to state employee plans. Growing commercial adoption.</w:t>
            </w:r>
          </w:p>
        </w:tc>
      </w:tr>
      <w:tr>
        <w:trPr>
          <w:cantSplit/>
        </w:trPr>
        <w:tc>
          <w:tcPr>
            <w:tcW w:w="1115" w:type="dxa"/>
          </w:tcPr>
          <w:p>
            <w:pPr>
              <w:pStyle w:val="Compact"/>
              <w:jc w:val="left"/>
            </w:pPr>
            <w:r>
              <w:rPr>
                <w:sz w:val="16"/>
              </w:rPr>
              <w:t xml:space="preserve">Maryland (2014–present)</w:t>
            </w:r>
          </w:p>
        </w:tc>
        <w:tc>
          <w:tcPr>
            <w:tcW w:w="2910" w:type="dxa"/>
          </w:tcPr>
          <w:p>
            <w:pPr>
              <w:pStyle w:val="Compact"/>
              <w:jc w:val="left"/>
            </w:pPr>
            <w:r>
              <w:rPr>
                <w:sz w:val="16"/>
              </w:rPr>
              <w:t xml:space="preserve">All-payer rate setting; hospitals receive fixed annual revenue (global budget). Medicare waiver.</w:t>
            </w:r>
          </w:p>
        </w:tc>
        <w:tc>
          <w:tcPr>
            <w:tcW w:w="2134" w:type="dxa"/>
          </w:tcPr>
          <w:p>
            <w:pPr>
              <w:pStyle w:val="Compact"/>
              <w:jc w:val="left"/>
            </w:pPr>
            <w:r>
              <w:rPr>
                <w:sz w:val="16"/>
              </w:rPr>
              <w:t xml:space="preserve">All payers, all hospitals statewide</w:t>
            </w:r>
          </w:p>
        </w:tc>
        <w:tc>
          <w:tcPr>
            <w:tcW w:w="2910" w:type="dxa"/>
          </w:tcPr>
          <w:p>
            <w:pPr>
              <w:pStyle w:val="Compact"/>
              <w:jc w:val="left"/>
            </w:pPr>
            <w:r>
              <w:rPr>
                <w:sz w:val="16"/>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6"/>
              </w:rPr>
              <w:t xml:space="preserve">Vermont Act 68 (FY2027)</w:t>
            </w:r>
          </w:p>
        </w:tc>
        <w:tc>
          <w:tcPr>
            <w:tcW w:w="2910" w:type="dxa"/>
          </w:tcPr>
          <w:p>
            <w:pPr>
              <w:pStyle w:val="Compact"/>
              <w:jc w:val="left"/>
            </w:pPr>
            <w:r>
              <w:rPr>
                <w:sz w:val="16"/>
              </w:rPr>
              <w:t xml:space="preserve">Mandatory statewide RBP maximum set by GMCB rule. Initially commercial payers; excludes Medicare/Medicaid.</w:t>
            </w:r>
          </w:p>
        </w:tc>
        <w:tc>
          <w:tcPr>
            <w:tcW w:w="2134" w:type="dxa"/>
          </w:tcPr>
          <w:p>
            <w:pPr>
              <w:pStyle w:val="Compact"/>
              <w:jc w:val="left"/>
            </w:pPr>
            <w:r>
              <w:rPr>
                <w:sz w:val="16"/>
              </w:rPr>
              <w:t xml:space="preserve">All Vermont hospitals, all commercial payers</w:t>
            </w:r>
          </w:p>
        </w:tc>
        <w:tc>
          <w:tcPr>
            <w:tcW w:w="2910" w:type="dxa"/>
          </w:tcPr>
          <w:p>
            <w:pPr>
              <w:pStyle w:val="Compact"/>
              <w:jc w:val="left"/>
            </w:pPr>
            <w:r>
              <w:rPr>
                <w:sz w:val="16"/>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19"/>
        </w:numPr>
        <w:keepLines w:val="true"/>
        <w:keepNext w:val="true"/>
      </w:pPr>
      <w:r>
        <w:t xml:space="preserve">Reduce hospital leverage to demand excessive prices from commercial payers</w:t>
      </w:r>
    </w:p>
    <w:p>
      <w:pPr>
        <w:pStyle w:val="Compact"/>
        <w:numPr>
          <w:ilvl w:val="0"/>
          <w:numId w:val="1019"/>
        </w:numPr>
        <w:keepLines w:val="true"/>
        <w:keepNext w:val="true"/>
      </w:pPr>
      <w:r>
        <w:t xml:space="preserve">Narrow unjustified price variation across hospitals for the same service</w:t>
      </w:r>
    </w:p>
    <w:p>
      <w:pPr>
        <w:pStyle w:val="Compact"/>
        <w:numPr>
          <w:ilvl w:val="0"/>
          <w:numId w:val="1019"/>
        </w:numPr>
        <w:keepLines w:val="true"/>
        <w:keepNext w:val="true"/>
      </w:pPr>
      <w:r>
        <w:t xml:space="preserve">Protect patient affordability by establishing binding price ceilings</w:t>
      </w:r>
    </w:p>
    <w:p>
      <w:pPr>
        <w:pStyle w:val="Compact"/>
        <w:numPr>
          <w:ilvl w:val="0"/>
          <w:numId w:val="1019"/>
        </w:numPr>
        <w:keepLines w:val="true"/>
        <w:keepNext w:val="true"/>
      </w:pPr>
      <w:r>
        <w:t xml:space="preserve">Limit monopolistic pricing power in concentrated markets</w:t>
      </w:r>
    </w:p>
    <w:p>
      <w:pPr>
        <w:pStyle w:val="Compact"/>
        <w:numPr>
          <w:ilvl w:val="0"/>
          <w:numId w:val="1019"/>
        </w:numPr>
        <w:keepLines w:val="true"/>
        <w:keepNext w:val="true"/>
      </w:pPr>
      <w:r>
        <w:t xml:space="preserve">Incentivize operational efficiencies over price increases as the margin lever</w:t>
      </w:r>
    </w:p>
    <w:p>
      <w:pPr>
        <w:pStyle w:val="Compact"/>
        <w:numPr>
          <w:ilvl w:val="0"/>
          <w:numId w:val="1019"/>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0"/>
        </w:numPr>
        <w:keepLines w:val="true"/>
        <w:keepNext w:val="true"/>
      </w:pPr>
      <w:r>
        <w:t xml:space="preserve">Control total hospital spending — only the price component, not volume</w:t>
      </w:r>
    </w:p>
    <w:p>
      <w:pPr>
        <w:pStyle w:val="Compact"/>
        <w:numPr>
          <w:ilvl w:val="0"/>
          <w:numId w:val="1020"/>
        </w:numPr>
        <w:keepLines w:val="true"/>
        <w:keepNext w:val="true"/>
      </w:pPr>
      <w:r>
        <w:t xml:space="preserve">Guarantee savings pass-through to consumers without explicit monitoring requirements</w:t>
      </w:r>
    </w:p>
    <w:p>
      <w:pPr>
        <w:pStyle w:val="Compact"/>
        <w:numPr>
          <w:ilvl w:val="0"/>
          <w:numId w:val="1020"/>
        </w:numPr>
        <w:keepLines w:val="true"/>
        <w:keepNext w:val="true"/>
      </w:pPr>
      <w:r>
        <w:t xml:space="preserve">Restructure incentives around prevention or population health</w:t>
      </w:r>
    </w:p>
    <w:p>
      <w:pPr>
        <w:pStyle w:val="Compact"/>
        <w:numPr>
          <w:ilvl w:val="0"/>
          <w:numId w:val="1020"/>
        </w:numPr>
        <w:keepLines w:val="true"/>
        <w:keepNext w:val="true"/>
      </w:pPr>
      <w:r>
        <w:t xml:space="preserve">Guarantee hospital efficiency, sustainability, or quality performance</w:t>
      </w:r>
    </w:p>
    <w:p>
      <w:pPr>
        <w:pStyle w:val="Compact"/>
        <w:numPr>
          <w:ilvl w:val="0"/>
          <w:numId w:val="1020"/>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pPr>
      <w:r>
        <w:rPr>
          <w:color w:val="161B22"/>
        </w:rPr>
        <w:t xml:space="preserve">6.3.4  </w:t>
      </w:r>
      <w:bookmarkStart w:id="1173" w:name="_Toc1172"/>
      <w:r>
        <w:rPr>
          <w:b/>
          <w:bCs/>
          <w:color w:val="161B22"/>
        </w:rPr>
        <w:t xml:space="preserve">Vermont’s Phased Implementation Timeline</w:t>
      </w:r>
      <w:bookmarkEnd w:id="1173"/>
    </w:p>
    <w:p>
      <w:pPr>
        <w:pStyle w:val="FirstParagraph"/>
      </w:pPr>
      <w:r>
        <w:t xml:space="preserve">GMCB is implementing RBP in two phases, reflecting both the regulatory complexity of establishing a statewide rate-setting methodology and the operational reality that hospitals need runway to adapt their financial models.</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526"/>
        <w:gridCol w:w="2287"/>
        <w:gridCol w:w="2287"/>
        <w:gridCol w:w="5721"/>
      </w:tblGrid>
      <w:tr>
        <w:trPr>
          <w:tblHeader w:val="on"/>
          <w:cantSplit/>
        </w:trPr>
        <w:tc>
          <w:tcPr>
            <w:shd w:val="clear" w:color="auto" w:fill="1B3A6B"/>
            <w:tcW w:w="2314" w:type="dxa"/>
          </w:tcPr>
          <w:p>
            <w:pPr>
              <w:pStyle w:val="Compact"/>
              <w:jc w:val="left"/>
            </w:pPr>
            <w:r>
              <w:rPr>
                <w:b/>
                <w:color w:val="FFFFFF"/>
                <w:sz w:val="16"/>
              </w:rPr>
              <w:t xml:space="preserve">Phase</w:t>
            </w:r>
          </w:p>
        </w:tc>
        <w:tc>
          <w:tcPr>
            <w:shd w:val="clear" w:color="auto" w:fill="1B3A6B"/>
            <w:tcW w:w="1501" w:type="dxa"/>
          </w:tcPr>
          <w:p>
            <w:pPr>
              <w:pStyle w:val="Compact"/>
              <w:jc w:val="left"/>
            </w:pPr>
            <w:r>
              <w:rPr>
                <w:b/>
                <w:color w:val="FFFFFF"/>
                <w:sz w:val="16"/>
              </w:rPr>
              <w:t xml:space="preserve">Timeline</w:t>
            </w:r>
          </w:p>
        </w:tc>
        <w:tc>
          <w:tcPr>
            <w:shd w:val="clear" w:color="auto" w:fill="1B3A6B"/>
            <w:tcW w:w="1501" w:type="dxa"/>
          </w:tcPr>
          <w:p>
            <w:pPr>
              <w:pStyle w:val="Compact"/>
              <w:jc w:val="left"/>
            </w:pPr>
            <w:r>
              <w:rPr>
                <w:b/>
                <w:color w:val="FFFFFF"/>
                <w:sz w:val="16"/>
              </w:rPr>
              <w:t xml:space="preserve">Mechanism</w:t>
            </w:r>
          </w:p>
        </w:tc>
        <w:tc>
          <w:tcPr>
            <w:shd w:val="clear" w:color="auto" w:fill="1B3A6B"/>
            <w:tcW w:w="3754" w:type="dxa"/>
          </w:tcPr>
          <w:p>
            <w:pPr>
              <w:pStyle w:val="Compact"/>
              <w:jc w:val="left"/>
            </w:pPr>
            <w:r>
              <w:rPr>
                <w:b/>
                <w:color w:val="FFFFFF"/>
                <w:sz w:val="16"/>
              </w:rPr>
              <w:t xml:space="preserve">Key Actions</w:t>
            </w:r>
          </w:p>
        </w:tc>
      </w:tr>
      <w:tr>
        <w:trPr>
          <w:cantSplit/>
        </w:trPr>
        <w:tc>
          <w:tcPr>
            <w:tcW w:w="2314" w:type="dxa"/>
          </w:tcPr>
          <w:p>
            <w:pPr>
              <w:pStyle w:val="Compact"/>
              <w:jc w:val="left"/>
            </w:pPr>
            <w:r>
              <w:rPr>
                <w:sz w:val="16"/>
              </w:rPr>
              <w:t xml:space="preserve">Phase I — Differential Price Growth</w:t>
            </w:r>
          </w:p>
        </w:tc>
        <w:tc>
          <w:tcPr>
            <w:tcW w:w="1501" w:type="dxa"/>
          </w:tcPr>
          <w:p>
            <w:pPr>
              <w:pStyle w:val="Compact"/>
              <w:jc w:val="left"/>
            </w:pPr>
            <w:r>
              <w:rPr>
                <w:sz w:val="16"/>
              </w:rPr>
              <w:t xml:space="preserve">FY26–FY27 (now underway)</w:t>
            </w:r>
          </w:p>
        </w:tc>
        <w:tc>
          <w:tcPr>
            <w:tcW w:w="1501" w:type="dxa"/>
          </w:tcPr>
          <w:p>
            <w:pPr>
              <w:pStyle w:val="Compact"/>
              <w:jc w:val="left"/>
            </w:pPr>
            <w:r>
              <w:rPr>
                <w:sz w:val="16"/>
              </w:rPr>
              <w:t xml:space="preserve">Hospital Budget Guidance</w:t>
            </w:r>
          </w:p>
        </w:tc>
        <w:tc>
          <w:tcPr>
            <w:tcW w:w="3754" w:type="dxa"/>
          </w:tcPr>
          <w:p>
            <w:pPr>
              <w:pStyle w:val="Compact"/>
              <w:jc w:val="left"/>
            </w:pPr>
            <w:r>
              <w:rPr>
                <w:sz w:val="16"/>
              </w:rPr>
              <w:t xml:space="preserve">FY27 guidance recommends -1% commercial rate growth benchmark — first negative benchmark in Vermont history. Targets</w:t>
            </w:r>
            <w:r>
              <w:rPr>
                <w:sz w:val="16"/>
              </w:rPr>
              <w:t xml:space="preserve"> </w:t>
            </w:r>
            <w:r>
              <w:rPr>
                <w:sz w:val="16"/>
              </w:rPr>
              <w:t xml:space="preserve">‘outlier services’</w:t>
            </w:r>
            <w:r>
              <w:rPr>
                <w:sz w:val="16"/>
              </w:rPr>
              <w:t xml:space="preserve"> </w:t>
            </w:r>
            <w:r>
              <w:rPr>
                <w:sz w:val="16"/>
              </w:rPr>
              <w:t xml:space="preserve">with highest prices and volumes for initial reductions.</w:t>
            </w:r>
          </w:p>
        </w:tc>
      </w:tr>
      <w:tr>
        <w:trPr>
          <w:cantSplit/>
        </w:trPr>
        <w:tc>
          <w:tcPr>
            <w:tcW w:w="2314" w:type="dxa"/>
          </w:tcPr>
          <w:p>
            <w:pPr>
              <w:pStyle w:val="Compact"/>
              <w:jc w:val="left"/>
            </w:pPr>
            <w:r>
              <w:rPr>
                <w:sz w:val="16"/>
              </w:rPr>
              <w:t xml:space="preserve">Phase II — Rate Setting (RBP)</w:t>
            </w:r>
          </w:p>
        </w:tc>
        <w:tc>
          <w:tcPr>
            <w:tcW w:w="1501" w:type="dxa"/>
          </w:tcPr>
          <w:p>
            <w:pPr>
              <w:pStyle w:val="Compact"/>
              <w:jc w:val="left"/>
            </w:pPr>
            <w:r>
              <w:rPr>
                <w:sz w:val="16"/>
              </w:rPr>
              <w:t xml:space="preserve">FY27–FY28</w:t>
            </w:r>
          </w:p>
        </w:tc>
        <w:tc>
          <w:tcPr>
            <w:tcW w:w="1501" w:type="dxa"/>
          </w:tcPr>
          <w:p>
            <w:pPr>
              <w:pStyle w:val="Compact"/>
              <w:jc w:val="left"/>
            </w:pPr>
            <w:r>
              <w:rPr>
                <w:sz w:val="16"/>
              </w:rPr>
              <w:t xml:space="preserve">GMCB Rule-Making</w:t>
            </w:r>
          </w:p>
        </w:tc>
        <w:tc>
          <w:tcPr>
            <w:tcW w:w="3754" w:type="dxa"/>
          </w:tcPr>
          <w:p>
            <w:pPr>
              <w:pStyle w:val="Compact"/>
              <w:jc w:val="left"/>
            </w:pPr>
            <w:r>
              <w:rPr>
                <w:sz w:val="16"/>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6"/>
              </w:rPr>
              <w:t xml:space="preserve">Phase III — Global Budget Integration</w:t>
            </w:r>
          </w:p>
        </w:tc>
        <w:tc>
          <w:tcPr>
            <w:tcW w:w="1501" w:type="dxa"/>
          </w:tcPr>
          <w:p>
            <w:pPr>
              <w:pStyle w:val="Compact"/>
              <w:jc w:val="left"/>
            </w:pPr>
            <w:r>
              <w:rPr>
                <w:sz w:val="16"/>
              </w:rPr>
              <w:t xml:space="preserve">FY28 and FY30</w:t>
            </w:r>
          </w:p>
        </w:tc>
        <w:tc>
          <w:tcPr>
            <w:tcW w:w="1501" w:type="dxa"/>
          </w:tcPr>
          <w:p>
            <w:pPr>
              <w:pStyle w:val="Compact"/>
              <w:jc w:val="left"/>
            </w:pPr>
            <w:r>
              <w:rPr>
                <w:sz w:val="16"/>
              </w:rPr>
              <w:t xml:space="preserve">Statutory Mandate</w:t>
            </w:r>
          </w:p>
        </w:tc>
        <w:tc>
          <w:tcPr>
            <w:tcW w:w="3754" w:type="dxa"/>
          </w:tcPr>
          <w:p>
            <w:pPr>
              <w:pStyle w:val="Compact"/>
              <w:jc w:val="left"/>
            </w:pPr>
            <w:r>
              <w:rPr>
                <w:sz w:val="16"/>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505"/>
        <w:gridCol w:w="4106"/>
        <w:gridCol w:w="4106"/>
        <w:gridCol w:w="4106"/>
      </w:tblGrid>
      <w:tr>
        <w:trPr>
          <w:tblHeader w:val="on"/>
          <w:cantSplit/>
        </w:trPr>
        <w:tc>
          <w:tcPr>
            <w:shd w:val="clear" w:color="auto" w:fill="1B3A6B"/>
            <w:tcW w:w="988" w:type="dxa"/>
          </w:tcPr>
          <w:p>
            <w:pPr>
              <w:pStyle w:val="Compact"/>
              <w:jc w:val="left"/>
            </w:pPr>
            <w:r>
              <w:rPr>
                <w:b/>
                <w:color w:val="FFFFFF"/>
                <w:sz w:val="16"/>
              </w:rPr>
              <w:t xml:space="preserve">Design dimension</w:t>
            </w:r>
          </w:p>
        </w:tc>
        <w:tc>
          <w:tcPr>
            <w:shd w:val="clear" w:color="auto" w:fill="1B3A6B"/>
            <w:tcW w:w="2694" w:type="dxa"/>
          </w:tcPr>
          <w:p>
            <w:pPr>
              <w:pStyle w:val="Compact"/>
              <w:jc w:val="left"/>
            </w:pPr>
            <w:r>
              <w:rPr>
                <w:b/>
                <w:color w:val="FFFFFF"/>
                <w:sz w:val="16"/>
              </w:rPr>
              <w:t xml:space="preserve">The choice</w:t>
            </w:r>
          </w:p>
        </w:tc>
        <w:tc>
          <w:tcPr>
            <w:shd w:val="clear" w:color="auto" w:fill="1B3A6B"/>
            <w:tcW w:w="2694" w:type="dxa"/>
          </w:tcPr>
          <w:p>
            <w:pPr>
              <w:pStyle w:val="Compact"/>
              <w:jc w:val="left"/>
            </w:pPr>
            <w:r>
              <w:rPr>
                <w:b/>
                <w:color w:val="FFFFFF"/>
                <w:sz w:val="16"/>
              </w:rPr>
              <w:t xml:space="preserve">Key tradeoff</w:t>
            </w:r>
          </w:p>
        </w:tc>
        <w:tc>
          <w:tcPr>
            <w:shd w:val="clear" w:color="auto" w:fill="1B3A6B"/>
            <w:tcW w:w="2694" w:type="dxa"/>
          </w:tcPr>
          <w:p>
            <w:pPr>
              <w:pStyle w:val="Compact"/>
              <w:jc w:val="left"/>
            </w:pPr>
            <w:r>
              <w:rPr>
                <w:b/>
                <w:color w:val="FFFFFF"/>
                <w:sz w:val="16"/>
              </w:rPr>
              <w:t xml:space="preserve">Vermont’s current direction</w:t>
            </w:r>
          </w:p>
        </w:tc>
      </w:tr>
      <w:tr>
        <w:trPr>
          <w:cantSplit/>
        </w:trPr>
        <w:tc>
          <w:tcPr>
            <w:tcW w:w="988" w:type="dxa"/>
          </w:tcPr>
          <w:p>
            <w:pPr>
              <w:pStyle w:val="Compact"/>
              <w:jc w:val="left"/>
            </w:pPr>
            <w:r>
              <w:rPr>
                <w:sz w:val="16"/>
              </w:rPr>
              <w:t xml:space="preserve">Scope</w:t>
            </w:r>
          </w:p>
        </w:tc>
        <w:tc>
          <w:tcPr>
            <w:tcW w:w="2694" w:type="dxa"/>
          </w:tcPr>
          <w:p>
            <w:pPr>
              <w:pStyle w:val="Compact"/>
              <w:jc w:val="left"/>
            </w:pPr>
            <w:r>
              <w:rPr>
                <w:sz w:val="16"/>
              </w:rPr>
              <w:t xml:space="preserve">Which services are inside vs. outside the budget? (Capital, high-cost drugs, outpatient, physician services?)</w:t>
            </w:r>
          </w:p>
        </w:tc>
        <w:tc>
          <w:tcPr>
            <w:tcW w:w="2694" w:type="dxa"/>
          </w:tcPr>
          <w:p>
            <w:pPr>
              <w:pStyle w:val="Compact"/>
              <w:jc w:val="left"/>
            </w:pPr>
            <w:r>
              <w:rPr>
                <w:sz w:val="16"/>
              </w:rPr>
              <w:t xml:space="preserve">Broader scope = more comprehensive cost control. Narrower scope = simpler to administer but leaves cost-shifting opportunities.</w:t>
            </w:r>
          </w:p>
        </w:tc>
        <w:tc>
          <w:tcPr>
            <w:tcW w:w="2694" w:type="dxa"/>
          </w:tcPr>
          <w:p>
            <w:pPr>
              <w:pStyle w:val="Compact"/>
              <w:jc w:val="left"/>
            </w:pPr>
            <w:r>
              <w:rPr>
                <w:sz w:val="16"/>
              </w:rPr>
              <w:t xml:space="preserve">TBD through rulemaking. Maryland excludes physician office services and outpatient drugs. Vermont likely to follow similar structure initially.</w:t>
            </w:r>
          </w:p>
        </w:tc>
      </w:tr>
      <w:tr>
        <w:trPr>
          <w:cantSplit/>
        </w:trPr>
        <w:tc>
          <w:tcPr>
            <w:tcW w:w="988" w:type="dxa"/>
          </w:tcPr>
          <w:p>
            <w:pPr>
              <w:pStyle w:val="Compact"/>
              <w:jc w:val="left"/>
            </w:pPr>
            <w:r>
              <w:rPr>
                <w:sz w:val="16"/>
              </w:rPr>
              <w:t xml:space="preserve">Population adjustment</w:t>
            </w:r>
          </w:p>
        </w:tc>
        <w:tc>
          <w:tcPr>
            <w:tcW w:w="2694" w:type="dxa"/>
          </w:tcPr>
          <w:p>
            <w:pPr>
              <w:pStyle w:val="Compact"/>
              <w:jc w:val="left"/>
            </w:pPr>
            <w:r>
              <w:rPr>
                <w:sz w:val="16"/>
              </w:rPr>
              <w:t xml:space="preserve">How does the budget account for patient demographics, complexity, and socioeconomic factors?</w:t>
            </w:r>
          </w:p>
        </w:tc>
        <w:tc>
          <w:tcPr>
            <w:tcW w:w="2694" w:type="dxa"/>
          </w:tcPr>
          <w:p>
            <w:pPr>
              <w:pStyle w:val="Compact"/>
              <w:jc w:val="left"/>
            </w:pPr>
            <w:r>
              <w:rPr>
                <w:sz w:val="16"/>
              </w:rPr>
              <w:t xml:space="preserve">No adjustment rewards hospitals serving healthier populations. Over-adjustment reduces cost-control incentives.</w:t>
            </w:r>
          </w:p>
        </w:tc>
        <w:tc>
          <w:tcPr>
            <w:tcW w:w="2694" w:type="dxa"/>
          </w:tcPr>
          <w:p>
            <w:pPr>
              <w:pStyle w:val="Compact"/>
              <w:jc w:val="left"/>
            </w:pPr>
            <w:r>
              <w:rPr>
                <w:sz w:val="16"/>
              </w:rPr>
              <w:t xml:space="preserve">GMCB considering payer mix, labor costs, social risk factors for each hospital. Critical for Vermont’s CAHs vs. UVMMC.</w:t>
            </w:r>
          </w:p>
        </w:tc>
      </w:tr>
      <w:tr>
        <w:trPr>
          <w:cantSplit/>
        </w:trPr>
        <w:tc>
          <w:tcPr>
            <w:tcW w:w="988" w:type="dxa"/>
          </w:tcPr>
          <w:p>
            <w:pPr>
              <w:pStyle w:val="Compact"/>
              <w:jc w:val="left"/>
            </w:pPr>
            <w:r>
              <w:rPr>
                <w:sz w:val="16"/>
              </w:rPr>
              <w:t xml:space="preserve">Volume treatment</w:t>
            </w:r>
          </w:p>
        </w:tc>
        <w:tc>
          <w:tcPr>
            <w:tcW w:w="2694" w:type="dxa"/>
          </w:tcPr>
          <w:p>
            <w:pPr>
              <w:pStyle w:val="Compact"/>
              <w:jc w:val="left"/>
            </w:pPr>
            <w:r>
              <w:rPr>
                <w:sz w:val="16"/>
              </w:rPr>
              <w:t xml:space="preserve">Does the budget adjust if patient volume changes significantly?</w:t>
            </w:r>
          </w:p>
        </w:tc>
        <w:tc>
          <w:tcPr>
            <w:tcW w:w="2694" w:type="dxa"/>
          </w:tcPr>
          <w:p>
            <w:pPr>
              <w:pStyle w:val="Compact"/>
              <w:jc w:val="left"/>
            </w:pPr>
            <w:r>
              <w:rPr>
                <w:sz w:val="16"/>
              </w:rPr>
              <w:t xml:space="preserve">Fixed budget = maximum cost-control incentive. Volume-adjusted budget = lower risk for hospitals, less population health incentive.</w:t>
            </w:r>
          </w:p>
        </w:tc>
        <w:tc>
          <w:tcPr>
            <w:tcW w:w="2694" w:type="dxa"/>
          </w:tcPr>
          <w:p>
            <w:pPr>
              <w:pStyle w:val="Compact"/>
              <w:jc w:val="left"/>
            </w:pPr>
            <w:r>
              <w:rPr>
                <w:sz w:val="16"/>
              </w:rPr>
              <w:t xml:space="preserve">Maryland preserved revenue initially when volume decreased to ease transition. Vermont likely to adopt similar glide path.</w:t>
            </w:r>
          </w:p>
        </w:tc>
      </w:tr>
      <w:tr>
        <w:trPr>
          <w:cantSplit/>
        </w:trPr>
        <w:tc>
          <w:tcPr>
            <w:tcW w:w="988" w:type="dxa"/>
          </w:tcPr>
          <w:p>
            <w:pPr>
              <w:pStyle w:val="Compact"/>
              <w:jc w:val="left"/>
            </w:pPr>
            <w:r>
              <w:rPr>
                <w:sz w:val="16"/>
              </w:rPr>
              <w:t xml:space="preserve">Quality linkage</w:t>
            </w:r>
          </w:p>
        </w:tc>
        <w:tc>
          <w:tcPr>
            <w:tcW w:w="2694" w:type="dxa"/>
          </w:tcPr>
          <w:p>
            <w:pPr>
              <w:pStyle w:val="Compact"/>
              <w:jc w:val="left"/>
            </w:pPr>
            <w:r>
              <w:rPr>
                <w:sz w:val="16"/>
              </w:rPr>
              <w:t xml:space="preserve">How are quality metrics integrated — penalty, incentive, or both?</w:t>
            </w:r>
          </w:p>
        </w:tc>
        <w:tc>
          <w:tcPr>
            <w:tcW w:w="2694" w:type="dxa"/>
          </w:tcPr>
          <w:p>
            <w:pPr>
              <w:pStyle w:val="Compact"/>
              <w:jc w:val="left"/>
            </w:pPr>
            <w:r>
              <w:rPr>
                <w:sz w:val="16"/>
              </w:rPr>
              <w:t xml:space="preserve">Too small a linkage = no behavioral change. Too large = financial instability for hospitals still improving.</w:t>
            </w:r>
          </w:p>
        </w:tc>
        <w:tc>
          <w:tcPr>
            <w:tcW w:w="2694" w:type="dxa"/>
          </w:tcPr>
          <w:p>
            <w:pPr>
              <w:pStyle w:val="Compact"/>
              <w:jc w:val="left"/>
            </w:pPr>
            <w:r>
              <w:rPr>
                <w:sz w:val="16"/>
              </w:rPr>
              <w:t xml:space="preserve">Act 68 requires standardized accountability metrics. GMCB quality programs (readmissions, HACs) will be embedded.</w:t>
            </w:r>
          </w:p>
        </w:tc>
      </w:tr>
      <w:tr>
        <w:trPr>
          <w:cantSplit/>
        </w:trPr>
        <w:tc>
          <w:tcPr>
            <w:tcW w:w="988" w:type="dxa"/>
          </w:tcPr>
          <w:p>
            <w:pPr>
              <w:pStyle w:val="Compact"/>
              <w:jc w:val="left"/>
            </w:pPr>
            <w:r>
              <w:rPr>
                <w:sz w:val="16"/>
              </w:rPr>
              <w:t xml:space="preserve">Flexibility mechanisms</w:t>
            </w:r>
          </w:p>
        </w:tc>
        <w:tc>
          <w:tcPr>
            <w:tcW w:w="2694" w:type="dxa"/>
          </w:tcPr>
          <w:p>
            <w:pPr>
              <w:pStyle w:val="Compact"/>
              <w:jc w:val="left"/>
            </w:pPr>
            <w:r>
              <w:rPr>
                <w:sz w:val="16"/>
              </w:rPr>
              <w:t xml:space="preserve">Provisions for mid-year adjustments, carryover of savings, risk corridors?</w:t>
            </w:r>
          </w:p>
        </w:tc>
        <w:tc>
          <w:tcPr>
            <w:tcW w:w="2694" w:type="dxa"/>
          </w:tcPr>
          <w:p>
            <w:pPr>
              <w:pStyle w:val="Compact"/>
              <w:jc w:val="left"/>
            </w:pPr>
            <w:r>
              <w:rPr>
                <w:sz w:val="16"/>
              </w:rPr>
              <w:t xml:space="preserve">More flexibility = lower hospital risk, easier adoption. Less flexibility = stronger cost-control signal.</w:t>
            </w:r>
          </w:p>
        </w:tc>
        <w:tc>
          <w:tcPr>
            <w:tcW w:w="2694" w:type="dxa"/>
          </w:tcPr>
          <w:p>
            <w:pPr>
              <w:pStyle w:val="Compact"/>
              <w:jc w:val="left"/>
            </w:pPr>
            <w:r>
              <w:rPr>
                <w:sz w:val="16"/>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973"/>
        <w:gridCol w:w="1205"/>
        <w:gridCol w:w="4822"/>
        <w:gridCol w:w="4822"/>
      </w:tblGrid>
      <w:tr>
        <w:trPr>
          <w:tblHeader w:val="on"/>
          <w:cantSplit/>
        </w:trPr>
        <w:tc>
          <w:tcPr>
            <w:shd w:val="clear" w:color="auto" w:fill="1B3A6B"/>
            <w:tcW w:w="1951" w:type="dxa"/>
          </w:tcPr>
          <w:p>
            <w:pPr>
              <w:pStyle w:val="Compact"/>
              <w:jc w:val="left"/>
            </w:pPr>
            <w:r>
              <w:rPr>
                <w:b/>
                <w:color w:val="FFFFFF"/>
                <w:sz w:val="16"/>
              </w:rPr>
              <w:t xml:space="preserve">Approach</w:t>
            </w:r>
          </w:p>
        </w:tc>
        <w:tc>
          <w:tcPr>
            <w:shd w:val="clear" w:color="auto" w:fill="1B3A6B"/>
            <w:tcW w:w="791" w:type="dxa"/>
          </w:tcPr>
          <w:p>
            <w:pPr>
              <w:pStyle w:val="Compact"/>
              <w:jc w:val="left"/>
            </w:pPr>
            <w:r>
              <w:rPr>
                <w:b/>
                <w:color w:val="FFFFFF"/>
                <w:sz w:val="16"/>
              </w:rPr>
              <w:t xml:space="preserve">Year(s)</w:t>
            </w:r>
          </w:p>
        </w:tc>
        <w:tc>
          <w:tcPr>
            <w:shd w:val="clear" w:color="auto" w:fill="1B3A6B"/>
            <w:tcW w:w="3164" w:type="dxa"/>
          </w:tcPr>
          <w:p>
            <w:pPr>
              <w:pStyle w:val="Compact"/>
              <w:jc w:val="left"/>
            </w:pPr>
            <w:r>
              <w:rPr>
                <w:b/>
                <w:color w:val="FFFFFF"/>
                <w:sz w:val="16"/>
              </w:rPr>
              <w:t xml:space="preserve">Structure</w:t>
            </w:r>
          </w:p>
        </w:tc>
        <w:tc>
          <w:tcPr>
            <w:shd w:val="clear" w:color="auto" w:fill="1B3A6B"/>
            <w:tcW w:w="3164" w:type="dxa"/>
          </w:tcPr>
          <w:p>
            <w:pPr>
              <w:pStyle w:val="Compact"/>
              <w:jc w:val="left"/>
            </w:pPr>
            <w:r>
              <w:rPr>
                <w:b/>
                <w:color w:val="FFFFFF"/>
                <w:sz w:val="16"/>
              </w:rPr>
              <w:t xml:space="preserve">Outcome and lesson</w:t>
            </w:r>
          </w:p>
        </w:tc>
      </w:tr>
      <w:tr>
        <w:trPr>
          <w:cantSplit/>
        </w:trPr>
        <w:tc>
          <w:tcPr>
            <w:tcW w:w="1951" w:type="dxa"/>
          </w:tcPr>
          <w:p>
            <w:pPr>
              <w:pStyle w:val="Compact"/>
              <w:jc w:val="left"/>
            </w:pPr>
            <w:r>
              <w:rPr>
                <w:sz w:val="16"/>
              </w:rPr>
              <w:t xml:space="preserve">GMCB Net Patient Revenue Cap</w:t>
            </w:r>
          </w:p>
        </w:tc>
        <w:tc>
          <w:tcPr>
            <w:tcW w:w="791" w:type="dxa"/>
          </w:tcPr>
          <w:p>
            <w:pPr>
              <w:pStyle w:val="Compact"/>
              <w:jc w:val="left"/>
            </w:pPr>
            <w:r>
              <w:rPr>
                <w:sz w:val="16"/>
              </w:rPr>
              <w:t xml:space="preserve">2012–present</w:t>
            </w:r>
          </w:p>
        </w:tc>
        <w:tc>
          <w:tcPr>
            <w:tcW w:w="3164" w:type="dxa"/>
          </w:tcPr>
          <w:p>
            <w:pPr>
              <w:pStyle w:val="Compact"/>
              <w:jc w:val="left"/>
            </w:pPr>
            <w:r>
              <w:rPr>
                <w:sz w:val="16"/>
              </w:rPr>
              <w:t xml:space="preserve">Regulatory cap on net patient revenue each hospital may receive</w:t>
            </w:r>
          </w:p>
        </w:tc>
        <w:tc>
          <w:tcPr>
            <w:tcW w:w="3164" w:type="dxa"/>
          </w:tcPr>
          <w:p>
            <w:pPr>
              <w:pStyle w:val="Compact"/>
              <w:jc w:val="left"/>
            </w:pPr>
            <w:r>
              <w:rPr>
                <w:sz w:val="16"/>
              </w:rPr>
              <w:t xml:space="preserve">Partial constraint. Controlled revenue growth within individual hospital budgets but did not align incentives across payers or address volume gaming.</w:t>
            </w:r>
          </w:p>
        </w:tc>
      </w:tr>
      <w:tr>
        <w:trPr>
          <w:cantSplit/>
        </w:trPr>
        <w:tc>
          <w:tcPr>
            <w:tcW w:w="1951" w:type="dxa"/>
          </w:tcPr>
          <w:p>
            <w:pPr>
              <w:pStyle w:val="Compact"/>
              <w:jc w:val="left"/>
            </w:pPr>
            <w:r>
              <w:rPr>
                <w:sz w:val="16"/>
              </w:rPr>
              <w:t xml:space="preserve">Rutland Regional Medical Center Pilot</w:t>
            </w:r>
          </w:p>
        </w:tc>
        <w:tc>
          <w:tcPr>
            <w:tcW w:w="791" w:type="dxa"/>
          </w:tcPr>
          <w:p>
            <w:pPr>
              <w:pStyle w:val="Compact"/>
              <w:jc w:val="left"/>
            </w:pPr>
            <w:r>
              <w:rPr>
                <w:sz w:val="16"/>
              </w:rPr>
              <w:t xml:space="preserve">2014 (proposed)</w:t>
            </w:r>
          </w:p>
        </w:tc>
        <w:tc>
          <w:tcPr>
            <w:tcW w:w="3164" w:type="dxa"/>
          </w:tcPr>
          <w:p>
            <w:pPr>
              <w:pStyle w:val="Compact"/>
              <w:jc w:val="left"/>
            </w:pPr>
            <w:r>
              <w:rPr>
                <w:sz w:val="16"/>
              </w:rPr>
              <w:t xml:space="preserve">Hospital payments based on historical revenue plus inflation, adjusted for demographics</w:t>
            </w:r>
          </w:p>
        </w:tc>
        <w:tc>
          <w:tcPr>
            <w:tcW w:w="3164" w:type="dxa"/>
          </w:tcPr>
          <w:p>
            <w:pPr>
              <w:pStyle w:val="Compact"/>
              <w:jc w:val="left"/>
            </w:pPr>
            <w:r>
              <w:rPr>
                <w:sz w:val="16"/>
              </w:rPr>
              <w:t xml:space="preserve">Never implemented. Hospital opposition and implementation complexity prevented launch. Showed that hospital buy-in is necessary but not sufficient without statutory mandate.</w:t>
            </w:r>
          </w:p>
        </w:tc>
      </w:tr>
      <w:tr>
        <w:trPr>
          <w:cantSplit/>
        </w:trPr>
        <w:tc>
          <w:tcPr>
            <w:tcW w:w="1951" w:type="dxa"/>
          </w:tcPr>
          <w:p>
            <w:pPr>
              <w:pStyle w:val="Compact"/>
              <w:jc w:val="left"/>
            </w:pPr>
            <w:r>
              <w:rPr>
                <w:sz w:val="16"/>
              </w:rPr>
              <w:t xml:space="preserve">Vermont All-Payer ACO Model</w:t>
            </w:r>
          </w:p>
        </w:tc>
        <w:tc>
          <w:tcPr>
            <w:tcW w:w="791" w:type="dxa"/>
          </w:tcPr>
          <w:p>
            <w:pPr>
              <w:pStyle w:val="Compact"/>
              <w:jc w:val="left"/>
            </w:pPr>
            <w:r>
              <w:rPr>
                <w:sz w:val="16"/>
              </w:rPr>
              <w:t xml:space="preserve">2017–2025</w:t>
            </w:r>
          </w:p>
        </w:tc>
        <w:tc>
          <w:tcPr>
            <w:tcW w:w="3164" w:type="dxa"/>
          </w:tcPr>
          <w:p>
            <w:pPr>
              <w:pStyle w:val="Compact"/>
              <w:jc w:val="left"/>
            </w:pPr>
            <w:r>
              <w:rPr>
                <w:sz w:val="16"/>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6"/>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6"/>
              </w:rPr>
              <w:t xml:space="preserve">Act 167 / Act 68 Mandate</w:t>
            </w:r>
          </w:p>
        </w:tc>
        <w:tc>
          <w:tcPr>
            <w:tcW w:w="791" w:type="dxa"/>
          </w:tcPr>
          <w:p>
            <w:pPr>
              <w:pStyle w:val="Compact"/>
              <w:jc w:val="left"/>
            </w:pPr>
            <w:r>
              <w:rPr>
                <w:sz w:val="16"/>
              </w:rPr>
              <w:t xml:space="preserve">2022–present</w:t>
            </w:r>
          </w:p>
        </w:tc>
        <w:tc>
          <w:tcPr>
            <w:tcW w:w="3164" w:type="dxa"/>
          </w:tcPr>
          <w:p>
            <w:pPr>
              <w:pStyle w:val="Compact"/>
              <w:jc w:val="left"/>
            </w:pPr>
            <w:r>
              <w:rPr>
                <w:sz w:val="16"/>
              </w:rPr>
              <w:t xml:space="preserve">GMCB directed to design and implement mandatory global budgets: non-CAH hospitals by FY2028, all hospitals by FY2030</w:t>
            </w:r>
          </w:p>
        </w:tc>
        <w:tc>
          <w:tcPr>
            <w:tcW w:w="3164" w:type="dxa"/>
          </w:tcPr>
          <w:p>
            <w:pPr>
              <w:pStyle w:val="Compact"/>
              <w:jc w:val="left"/>
            </w:pPr>
            <w:r>
              <w:rPr>
                <w:sz w:val="16"/>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pPr>
      <w:r>
        <w:rPr>
          <w:color w:val="161B22"/>
        </w:rPr>
        <w:t xml:space="preserve">6.5.3  </w:t>
      </w:r>
      <w:bookmarkStart w:id="1181" w:name="_Toc1180"/>
      <w:r>
        <w:rPr>
          <w:b/>
          <w:bCs/>
          <w:color w:val="161B22"/>
        </w:rPr>
        <w:t xml:space="preserve">The Results</w:t>
      </w:r>
      <w:bookmarkEnd w:id="1181"/>
    </w:p>
    <w:p>
      <w:pPr>
        <w:pStyle w:val="FirstParagraph"/>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cantSplit/>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1"/>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1"/>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1"/>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2"/>
        </w:numPr>
        <w:keepLines w:val="true"/>
        <w:keepNext w:val="true"/>
      </w:pPr>
      <w:r>
        <w:t xml:space="preserve">Up to $150 million in additional Medicare funds annually starting in 2027, with inflation adjustments each year</w:t>
      </w:r>
    </w:p>
    <w:p>
      <w:pPr>
        <w:pStyle w:val="Compact"/>
        <w:numPr>
          <w:ilvl w:val="0"/>
          <w:numId w:val="1022"/>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autofit"/>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cantSplit/>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cantSplit/>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cantSplit/>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pPr>
      <w:r>
        <w:rPr>
          <w:color w:val="161B22"/>
        </w:rPr>
        <w:t xml:space="preserve">6.7.1  </w:t>
      </w:r>
      <w:bookmarkStart w:id="1187" w:name="_Toc1186"/>
      <w:r>
        <w:rPr>
          <w:b/>
          <w:bCs/>
          <w:color w:val="161B22"/>
        </w:rPr>
        <w:t xml:space="preserve">The Oliver Wyman Projection Scenarios</w:t>
      </w:r>
      <w:bookmarkEnd w:id="1187"/>
    </w:p>
    <w:p>
      <w:pPr>
        <w:pStyle w:val="FirstParagraph"/>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autofit"/>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cantSplit/>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cantSplit/>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autofit"/>
      </w:tblPr>
      <w:tblGrid>
        <w:gridCol w:w="4379"/>
        <w:gridCol w:w="4692"/>
      </w:tblGrid>
      <w:tr>
        <w:trPr>
          <w:tblHeader w:val="on"/>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cantSplit/>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cantSplit/>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cantSplit/>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pPr>
      <w:r>
        <w:rPr>
          <w:color w:val="161B22"/>
        </w:rPr>
        <w:t xml:space="preserve">6.8.1  </w:t>
      </w:r>
      <w:bookmarkStart w:id="1191" w:name="_Toc1190"/>
      <w:r>
        <w:rPr>
          <w:b/>
          <w:bCs/>
          <w:color w:val="161B22"/>
        </w:rPr>
        <w:t xml:space="preserve">The Three-Phase Transition Model</w:t>
      </w:r>
      <w:bookmarkEnd w:id="1191"/>
    </w:p>
    <w:p>
      <w:pPr>
        <w:pStyle w:val="FirstParagraph"/>
      </w:pPr>
      <w:r>
        <w:t xml:space="preserve">Vermont’s payment reform trajectory follows a predictable three-phase model that organizations can use for planning purposes: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019"/>
        <w:gridCol w:w="1668"/>
        <w:gridCol w:w="5567"/>
        <w:gridCol w:w="5567"/>
      </w:tblGrid>
      <w:tr>
        <w:trPr>
          <w:tblHeader w:val="on"/>
          <w:cantSplit/>
        </w:trPr>
        <w:tc>
          <w:tcPr>
            <w:shd w:val="clear" w:color="auto" w:fill="1B3A6B"/>
            <w:tcW w:w="669" w:type="dxa"/>
          </w:tcPr>
          <w:p>
            <w:pPr>
              <w:pStyle w:val="Compact"/>
              <w:jc w:val="left"/>
            </w:pPr>
            <w:r>
              <w:rPr>
                <w:b/>
                <w:color w:val="FFFFFF"/>
                <w:sz w:val="16"/>
              </w:rPr>
              <w:t xml:space="preserve">Phase</w:t>
            </w:r>
          </w:p>
        </w:tc>
        <w:tc>
          <w:tcPr>
            <w:shd w:val="clear" w:color="auto" w:fill="1B3A6B"/>
            <w:tcW w:w="1095" w:type="dxa"/>
          </w:tcPr>
          <w:p>
            <w:pPr>
              <w:pStyle w:val="Compact"/>
              <w:jc w:val="left"/>
            </w:pPr>
            <w:r>
              <w:rPr>
                <w:b/>
                <w:color w:val="FFFFFF"/>
                <w:sz w:val="16"/>
              </w:rPr>
              <w:t xml:space="preserve">Timeline</w:t>
            </w:r>
          </w:p>
        </w:tc>
        <w:tc>
          <w:tcPr>
            <w:shd w:val="clear" w:color="auto" w:fill="1B3A6B"/>
            <w:tcW w:w="3653" w:type="dxa"/>
          </w:tcPr>
          <w:p>
            <w:pPr>
              <w:pStyle w:val="Compact"/>
              <w:jc w:val="left"/>
            </w:pPr>
            <w:r>
              <w:rPr>
                <w:b/>
                <w:color w:val="FFFFFF"/>
                <w:sz w:val="16"/>
              </w:rPr>
              <w:t xml:space="preserve">Payment environment</w:t>
            </w:r>
          </w:p>
        </w:tc>
        <w:tc>
          <w:tcPr>
            <w:shd w:val="clear" w:color="auto" w:fill="1B3A6B"/>
            <w:tcW w:w="3653" w:type="dxa"/>
          </w:tcPr>
          <w:p>
            <w:pPr>
              <w:pStyle w:val="Compact"/>
              <w:jc w:val="left"/>
            </w:pPr>
            <w:r>
              <w:rPr>
                <w:b/>
                <w:color w:val="FFFFFF"/>
                <w:sz w:val="16"/>
              </w:rPr>
              <w:t xml:space="preserve">Strategic priorities</w:t>
            </w:r>
          </w:p>
        </w:tc>
      </w:tr>
      <w:tr>
        <w:trPr>
          <w:cantSplit/>
        </w:trPr>
        <w:tc>
          <w:tcPr>
            <w:tcW w:w="669" w:type="dxa"/>
          </w:tcPr>
          <w:p>
            <w:pPr>
              <w:pStyle w:val="Compact"/>
              <w:jc w:val="left"/>
            </w:pPr>
            <w:r>
              <w:rPr>
                <w:sz w:val="16"/>
              </w:rPr>
              <w:t xml:space="preserve">Preparation</w:t>
            </w:r>
          </w:p>
        </w:tc>
        <w:tc>
          <w:tcPr>
            <w:tcW w:w="1095" w:type="dxa"/>
          </w:tcPr>
          <w:p>
            <w:pPr>
              <w:pStyle w:val="Compact"/>
              <w:jc w:val="left"/>
            </w:pPr>
            <w:r>
              <w:rPr>
                <w:sz w:val="16"/>
              </w:rPr>
              <w:t xml:space="preserve">Now through FY2026</w:t>
            </w:r>
          </w:p>
        </w:tc>
        <w:tc>
          <w:tcPr>
            <w:tcW w:w="3653" w:type="dxa"/>
          </w:tcPr>
          <w:p>
            <w:pPr>
              <w:pStyle w:val="Compact"/>
              <w:jc w:val="left"/>
            </w:pPr>
            <w:r>
              <w:rPr>
                <w:sz w:val="16"/>
              </w:rPr>
              <w:t xml:space="preserve">FFS with increasing budget pressure; -1% commercial rate benchmark; Act 55 drug cap in effect</w:t>
            </w:r>
          </w:p>
        </w:tc>
        <w:tc>
          <w:tcPr>
            <w:tcW w:w="3653" w:type="dxa"/>
          </w:tcPr>
          <w:p>
            <w:pPr>
              <w:pStyle w:val="Compact"/>
              <w:jc w:val="left"/>
            </w:pPr>
            <w:r>
              <w:rPr>
                <w:sz w:val="16"/>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cantSplit/>
        </w:trPr>
        <w:tc>
          <w:tcPr>
            <w:tcW w:w="669" w:type="dxa"/>
          </w:tcPr>
          <w:p>
            <w:pPr>
              <w:pStyle w:val="Compact"/>
              <w:jc w:val="left"/>
            </w:pPr>
            <w:r>
              <w:rPr>
                <w:sz w:val="16"/>
              </w:rPr>
              <w:t xml:space="preserve">Transition</w:t>
            </w:r>
          </w:p>
        </w:tc>
        <w:tc>
          <w:tcPr>
            <w:tcW w:w="1095" w:type="dxa"/>
          </w:tcPr>
          <w:p>
            <w:pPr>
              <w:pStyle w:val="Compact"/>
              <w:jc w:val="left"/>
            </w:pPr>
            <w:r>
              <w:rPr>
                <w:sz w:val="16"/>
              </w:rPr>
              <w:t xml:space="preserve">FY2027</w:t>
            </w:r>
          </w:p>
        </w:tc>
        <w:tc>
          <w:tcPr>
            <w:tcW w:w="3653" w:type="dxa"/>
          </w:tcPr>
          <w:p>
            <w:pPr>
              <w:pStyle w:val="Compact"/>
              <w:jc w:val="left"/>
            </w:pPr>
            <w:r>
              <w:rPr>
                <w:sz w:val="16"/>
              </w:rPr>
              <w:t xml:space="preserve">RBP maximum rates in effect for commercial payers; AHEAD Hospital Global Budgets begin January 2028 for Medicare FFS</w:t>
            </w:r>
          </w:p>
        </w:tc>
        <w:tc>
          <w:tcPr>
            <w:tcW w:w="3653" w:type="dxa"/>
          </w:tcPr>
          <w:p>
            <w:pPr>
              <w:pStyle w:val="Compact"/>
              <w:jc w:val="left"/>
            </w:pPr>
            <w:r>
              <w:rPr>
                <w:sz w:val="16"/>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6"/>
              </w:rPr>
              <w:t xml:space="preserve">Operation</w:t>
            </w:r>
          </w:p>
        </w:tc>
        <w:tc>
          <w:tcPr>
            <w:tcW w:w="1095" w:type="dxa"/>
          </w:tcPr>
          <w:p>
            <w:pPr>
              <w:pStyle w:val="Compact"/>
              <w:jc w:val="left"/>
            </w:pPr>
            <w:r>
              <w:rPr>
                <w:sz w:val="16"/>
              </w:rPr>
              <w:t xml:space="preserve">FY2028 and beyond</w:t>
            </w:r>
          </w:p>
        </w:tc>
        <w:tc>
          <w:tcPr>
            <w:tcW w:w="3653" w:type="dxa"/>
          </w:tcPr>
          <w:p>
            <w:pPr>
              <w:pStyle w:val="Compact"/>
              <w:jc w:val="left"/>
            </w:pPr>
            <w:r>
              <w:rPr>
                <w:sz w:val="16"/>
              </w:rPr>
              <w:t xml:space="preserve">Global hospital budgets for non-CAH hospitals; AHEAD in full operation; Statewide Strategic Plan delivered December 2028</w:t>
            </w:r>
          </w:p>
        </w:tc>
        <w:tc>
          <w:tcPr>
            <w:tcW w:w="3653" w:type="dxa"/>
          </w:tcPr>
          <w:p>
            <w:pPr>
              <w:pStyle w:val="Compact"/>
              <w:jc w:val="left"/>
            </w:pPr>
            <w:r>
              <w:rPr>
                <w:sz w:val="16"/>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pPr>
      <w:r>
        <w:rPr>
          <w:color w:val="161B22"/>
        </w:rPr>
        <w:t xml:space="preserve">6.9  </w:t>
      </w:r>
      <w:bookmarkStart w:id="1193" w:name="_Toc1192"/>
      <w:r>
        <w:rPr>
          <w:b/>
          <w:bCs/>
          <w:color w:val="161B22"/>
        </w:rPr>
        <w:t xml:space="preserve">Work This Chapter on the Platform</w:t>
      </w:r>
      <w:bookmarkEnd w:id="1193"/>
    </w:p>
    <w:p>
      <w:pPr>
        <w:pStyle w:val="FirstParagraph"/>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Design an APM and model a 5-year global-budget transition with Vermont’s All-Payer TCOC preset</w:t>
            </w:r>
          </w:p>
        </w:tc>
        <w:tc>
          <w:tcPr>
            <w:tcW w:w="3024"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4" w:type="dxa"/>
          </w:tcPr>
          <w:p>
            <w:pPr>
              <w:pStyle w:val="Compact"/>
              <w:jc w:val="left"/>
            </w:pPr>
            <w:r>
              <w:rPr>
                <w:sz w:val="18"/>
              </w:rPr>
              <w:t xml:space="preserve">How a binding revenue envelope changes the volume incentive the chapter describes.</w:t>
            </w:r>
          </w:p>
        </w:tc>
      </w:tr>
      <w:tr>
        <w:trPr>
          <w:cantSplit/>
        </w:trPr>
        <w:tc>
          <w:tcPr>
            <w:tcW w:w="3024" w:type="dxa"/>
          </w:tcPr>
          <w:p>
            <w:pPr>
              <w:pStyle w:val="Compact"/>
              <w:jc w:val="left"/>
            </w:pPr>
            <w:r>
              <w:rPr>
                <w:sz w:val="18"/>
              </w:rPr>
              <w:t xml:space="preserve">Stress-test a hospital’s finances under RBP, global-budget, and Medicaid-cut scenarios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Introduced or Expanded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pBdr>
          <w:top w:val="single" w:sz="4" w:space="8" w:color="B8B8B8"/>
        </w:pBdr>
        <w:spacing w:before="160" w:after="120"/>
      </w:pPr>
      <w:r>
        <w:rPr>
          <w:rFonts w:ascii="Calibri" w:hAnsi="Calibri"/>
          <w:i/>
          <w:color w:val="00000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pPr>
      <w:r>
        <w:rPr>
          <w:color w:val="161B22"/>
        </w:rPr>
        <w:t xml:space="preserve">7.2.2  </w:t>
      </w:r>
      <w:bookmarkStart w:id="1200" w:name="_Toc1199"/>
      <w:r>
        <w:rPr>
          <w:b/>
          <w:bCs/>
          <w:color w:val="161B22"/>
        </w:rPr>
        <w:t xml:space="preserve">Historical Spending Baseline</w:t>
      </w:r>
      <w:bookmarkEnd w:id="1200"/>
    </w:p>
    <w:p>
      <w:pPr>
        <w:pStyle w:val="FirstParagraph"/>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pPr>
      <w:r>
        <w:rPr>
          <w:color w:val="161B22"/>
        </w:rPr>
        <w:t xml:space="preserve">7.2.3  </w:t>
      </w:r>
      <w:bookmarkStart w:id="1201" w:name="_Toc1200"/>
      <w:r>
        <w:rPr>
          <w:b/>
          <w:bCs/>
          <w:color w:val="161B22"/>
        </w:rPr>
        <w:t xml:space="preserve">Regional Benchmark</w:t>
      </w:r>
      <w:bookmarkEnd w:id="1201"/>
    </w:p>
    <w:p>
      <w:pPr>
        <w:pStyle w:val="FirstParagraph"/>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pPr>
      <w:r>
        <w:rPr>
          <w:color w:val="161B22"/>
        </w:rPr>
        <w:t xml:space="preserve">7.2.4  </w:t>
      </w:r>
      <w:bookmarkStart w:id="1202" w:name="_Toc1201"/>
      <w:r>
        <w:rPr>
          <w:b/>
          <w:bCs/>
          <w:color w:val="161B22"/>
        </w:rPr>
        <w:t xml:space="preserve">Prospective Benchmark</w:t>
      </w:r>
      <w:bookmarkEnd w:id="1202"/>
    </w:p>
    <w:p>
      <w:pPr>
        <w:pStyle w:val="FirstParagraph"/>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pPr>
      <w:r>
        <w:rPr>
          <w:color w:val="161B22"/>
        </w:rPr>
        <w:t xml:space="preserve">7.2.5  </w:t>
      </w:r>
      <w:bookmarkStart w:id="1203" w:name="_Toc1202"/>
      <w:r>
        <w:rPr>
          <w:b/>
          <w:bCs/>
          <w:color w:val="161B22"/>
        </w:rPr>
        <w:t xml:space="preserve">The Shared Savings Calculation — A Working Model</w:t>
      </w:r>
      <w:bookmarkEnd w:id="1203"/>
    </w:p>
    <w:p>
      <w:pPr>
        <w:pStyle w:val="FirstParagraph"/>
      </w:pPr>
      <w:r>
        <w:t xml:space="preserve">For organizations entering ACO REACH, MSSP, or similar shared savings models, the following framework captures the core financial logic. The APM Shared Savings Calculator implements this model with organization-specific data inputs.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917"/>
        <w:gridCol w:w="3968"/>
        <w:gridCol w:w="3968"/>
        <w:gridCol w:w="3968"/>
      </w:tblGrid>
      <w:tr>
        <w:trPr>
          <w:tblHeader w:val="on"/>
          <w:cantSplit/>
        </w:trPr>
        <w:tc>
          <w:tcPr>
            <w:shd w:val="clear" w:color="auto" w:fill="1B3A6B"/>
            <w:tcW w:w="1258" w:type="dxa"/>
          </w:tcPr>
          <w:p>
            <w:pPr>
              <w:pStyle w:val="Compact"/>
              <w:jc w:val="left"/>
            </w:pPr>
            <w:r>
              <w:rPr>
                <w:b/>
                <w:color w:val="FFFFFF"/>
                <w:sz w:val="16"/>
              </w:rPr>
              <w:t xml:space="preserve">Step</w:t>
            </w:r>
          </w:p>
        </w:tc>
        <w:tc>
          <w:tcPr>
            <w:shd w:val="clear" w:color="auto" w:fill="1B3A6B"/>
            <w:tcW w:w="2604" w:type="dxa"/>
          </w:tcPr>
          <w:p>
            <w:pPr>
              <w:pStyle w:val="Compact"/>
              <w:jc w:val="left"/>
            </w:pPr>
            <w:r>
              <w:rPr>
                <w:b/>
                <w:color w:val="FFFFFF"/>
                <w:sz w:val="16"/>
              </w:rPr>
              <w:t xml:space="preserve">Formula / concept</w:t>
            </w:r>
          </w:p>
        </w:tc>
        <w:tc>
          <w:tcPr>
            <w:shd w:val="clear" w:color="auto" w:fill="1B3A6B"/>
            <w:tcW w:w="2604" w:type="dxa"/>
          </w:tcPr>
          <w:p>
            <w:pPr>
              <w:pStyle w:val="Compact"/>
              <w:jc w:val="left"/>
            </w:pPr>
            <w:r>
              <w:rPr>
                <w:b/>
                <w:color w:val="FFFFFF"/>
                <w:sz w:val="16"/>
              </w:rPr>
              <w:t xml:space="preserve">Practical meaning</w:t>
            </w:r>
          </w:p>
        </w:tc>
        <w:tc>
          <w:tcPr>
            <w:shd w:val="clear" w:color="auto" w:fill="1B3A6B"/>
            <w:tcW w:w="2604" w:type="dxa"/>
          </w:tcPr>
          <w:p>
            <w:pPr>
              <w:pStyle w:val="Compact"/>
              <w:jc w:val="left"/>
            </w:pPr>
            <w:r>
              <w:rPr>
                <w:b/>
                <w:color w:val="FFFFFF"/>
                <w:sz w:val="16"/>
              </w:rPr>
              <w:t xml:space="preserve">Vermont application</w:t>
            </w:r>
          </w:p>
        </w:tc>
      </w:tr>
      <w:tr>
        <w:trPr>
          <w:cantSplit/>
        </w:trPr>
        <w:tc>
          <w:tcPr>
            <w:tcW w:w="1258" w:type="dxa"/>
          </w:tcPr>
          <w:p>
            <w:pPr>
              <w:pStyle w:val="Compact"/>
              <w:jc w:val="left"/>
            </w:pPr>
            <w:r>
              <w:rPr>
                <w:sz w:val="16"/>
              </w:rPr>
              <w:t xml:space="preserve">1. Benchmark setting</w:t>
            </w:r>
          </w:p>
        </w:tc>
        <w:tc>
          <w:tcPr>
            <w:tcW w:w="2604" w:type="dxa"/>
          </w:tcPr>
          <w:p>
            <w:pPr>
              <w:pStyle w:val="Compact"/>
              <w:jc w:val="left"/>
            </w:pPr>
            <w:r>
              <w:rPr>
                <w:sz w:val="16"/>
              </w:rPr>
              <w:t xml:space="preserve">Benchmark PMPM × attributed member months = Total benchmark spending</w:t>
            </w:r>
          </w:p>
        </w:tc>
        <w:tc>
          <w:tcPr>
            <w:tcW w:w="2604" w:type="dxa"/>
          </w:tcPr>
          <w:p>
            <w:pPr>
              <w:pStyle w:val="Compact"/>
              <w:jc w:val="left"/>
            </w:pPr>
            <w:r>
              <w:rPr>
                <w:sz w:val="16"/>
              </w:rPr>
              <w:t xml:space="preserve">This is the</w:t>
            </w:r>
            <w:r>
              <w:rPr>
                <w:sz w:val="16"/>
              </w:rPr>
              <w:t xml:space="preserve"> </w:t>
            </w:r>
            <w:r>
              <w:rPr>
                <w:sz w:val="16"/>
              </w:rPr>
              <w:t xml:space="preserve">‘budget’</w:t>
            </w:r>
            <w:r>
              <w:rPr>
                <w:sz w:val="16"/>
              </w:rPr>
              <w:t xml:space="preserve"> </w:t>
            </w:r>
            <w:r>
              <w:rPr>
                <w:sz w:val="16"/>
              </w:rPr>
              <w:t xml:space="preserve">the organization is measured against. Every dollar of actual spending below this number is potential shared savings.</w:t>
            </w:r>
          </w:p>
        </w:tc>
        <w:tc>
          <w:tcPr>
            <w:tcW w:w="2604" w:type="dxa"/>
          </w:tcPr>
          <w:p>
            <w:pPr>
              <w:pStyle w:val="Compact"/>
              <w:jc w:val="left"/>
            </w:pPr>
            <w:r>
              <w:rPr>
                <w:sz w:val="16"/>
              </w:rPr>
              <w:t xml:space="preserve">AHEAD hospital global budget = prospective annual revenue set at beginning of year. Vermont hospital knows its</w:t>
            </w:r>
            <w:r>
              <w:rPr>
                <w:sz w:val="16"/>
              </w:rPr>
              <w:t xml:space="preserve"> </w:t>
            </w:r>
            <w:r>
              <w:rPr>
                <w:sz w:val="16"/>
              </w:rPr>
              <w:t xml:space="preserve">‘benchmark’</w:t>
            </w:r>
            <w:r>
              <w:rPr>
                <w:sz w:val="16"/>
              </w:rPr>
              <w:t xml:space="preserve"> </w:t>
            </w:r>
            <w:r>
              <w:rPr>
                <w:sz w:val="16"/>
              </w:rPr>
              <w:t xml:space="preserve">before the year begins.</w:t>
            </w:r>
          </w:p>
        </w:tc>
      </w:tr>
      <w:tr>
        <w:trPr>
          <w:cantSplit/>
        </w:trPr>
        <w:tc>
          <w:tcPr>
            <w:tcW w:w="1258" w:type="dxa"/>
          </w:tcPr>
          <w:p>
            <w:pPr>
              <w:pStyle w:val="Compact"/>
              <w:jc w:val="left"/>
            </w:pPr>
            <w:r>
              <w:rPr>
                <w:sz w:val="16"/>
              </w:rPr>
              <w:t xml:space="preserve">2. Performance measurement</w:t>
            </w:r>
          </w:p>
        </w:tc>
        <w:tc>
          <w:tcPr>
            <w:tcW w:w="2604" w:type="dxa"/>
          </w:tcPr>
          <w:p>
            <w:pPr>
              <w:pStyle w:val="Compact"/>
              <w:jc w:val="left"/>
            </w:pPr>
            <w:r>
              <w:rPr>
                <w:sz w:val="16"/>
              </w:rPr>
              <w:t xml:space="preserve">Actual total cost of care for attributed population</w:t>
            </w:r>
          </w:p>
        </w:tc>
        <w:tc>
          <w:tcPr>
            <w:tcW w:w="2604" w:type="dxa"/>
          </w:tcPr>
          <w:p>
            <w:pPr>
              <w:pStyle w:val="Compact"/>
              <w:jc w:val="left"/>
            </w:pPr>
            <w:r>
              <w:rPr>
                <w:sz w:val="16"/>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6"/>
              </w:rPr>
              <w:t xml:space="preserve">AHEAD tracks total cost of care for Medicare FFS beneficiaries attributed to Vermont hospitals across all payer settings.</w:t>
            </w:r>
          </w:p>
        </w:tc>
      </w:tr>
      <w:tr>
        <w:trPr>
          <w:cantSplit/>
        </w:trPr>
        <w:tc>
          <w:tcPr>
            <w:tcW w:w="1258" w:type="dxa"/>
          </w:tcPr>
          <w:p>
            <w:pPr>
              <w:pStyle w:val="Compact"/>
              <w:jc w:val="left"/>
            </w:pPr>
            <w:r>
              <w:rPr>
                <w:sz w:val="16"/>
              </w:rPr>
              <w:t xml:space="preserve">3. Savings calculation</w:t>
            </w:r>
          </w:p>
        </w:tc>
        <w:tc>
          <w:tcPr>
            <w:tcW w:w="2604" w:type="dxa"/>
          </w:tcPr>
          <w:p>
            <w:pPr>
              <w:pStyle w:val="Compact"/>
              <w:jc w:val="left"/>
            </w:pPr>
            <w:r>
              <w:rPr>
                <w:sz w:val="16"/>
              </w:rPr>
              <w:t xml:space="preserve">Benchmark - Actual TCOC = Gross savings (or loss)</w:t>
            </w:r>
          </w:p>
        </w:tc>
        <w:tc>
          <w:tcPr>
            <w:tcW w:w="2604" w:type="dxa"/>
          </w:tcPr>
          <w:p>
            <w:pPr>
              <w:pStyle w:val="Compact"/>
              <w:jc w:val="left"/>
            </w:pPr>
            <w:r>
              <w:rPr>
                <w:sz w:val="16"/>
              </w:rPr>
              <w:t xml:space="preserve">If actual spending is below benchmark, gross savings exist. If above, gross loss.</w:t>
            </w:r>
          </w:p>
        </w:tc>
        <w:tc>
          <w:tcPr>
            <w:tcW w:w="2604" w:type="dxa"/>
          </w:tcPr>
          <w:p>
            <w:pPr>
              <w:pStyle w:val="Compact"/>
              <w:jc w:val="left"/>
            </w:pPr>
            <w:r>
              <w:rPr>
                <w:sz w:val="16"/>
              </w:rPr>
              <w:t xml:space="preserve">Under global budget, the hospital receives its fixed prospective payment regardless — so the</w:t>
            </w:r>
            <w:r>
              <w:rPr>
                <w:sz w:val="16"/>
              </w:rPr>
              <w:t xml:space="preserve"> </w:t>
            </w:r>
            <w:r>
              <w:rPr>
                <w:sz w:val="16"/>
              </w:rPr>
              <w:t xml:space="preserve">‘savings’</w:t>
            </w:r>
            <w:r>
              <w:rPr>
                <w:sz w:val="16"/>
              </w:rPr>
              <w:t xml:space="preserve"> </w:t>
            </w:r>
            <w:r>
              <w:rPr>
                <w:sz w:val="16"/>
              </w:rPr>
              <w:t xml:space="preserve">is the margin between efficient population health management and the fixed budget.</w:t>
            </w:r>
          </w:p>
        </w:tc>
      </w:tr>
      <w:tr>
        <w:trPr>
          <w:cantSplit/>
        </w:trPr>
        <w:tc>
          <w:tcPr>
            <w:tcW w:w="1258" w:type="dxa"/>
          </w:tcPr>
          <w:p>
            <w:pPr>
              <w:pStyle w:val="Compact"/>
              <w:jc w:val="left"/>
            </w:pPr>
            <w:r>
              <w:rPr>
                <w:sz w:val="16"/>
              </w:rPr>
              <w:t xml:space="preserve">4. Minimum savings rate (MSR)</w:t>
            </w:r>
          </w:p>
        </w:tc>
        <w:tc>
          <w:tcPr>
            <w:tcW w:w="2604" w:type="dxa"/>
          </w:tcPr>
          <w:p>
            <w:pPr>
              <w:pStyle w:val="Compact"/>
              <w:jc w:val="left"/>
            </w:pPr>
            <w:r>
              <w:rPr>
                <w:sz w:val="16"/>
              </w:rPr>
              <w:t xml:space="preserve">In most shared savings models, savings must exceed a minimum threshold (typically 2-3.5%) before the organization shares in them</w:t>
            </w:r>
          </w:p>
        </w:tc>
        <w:tc>
          <w:tcPr>
            <w:tcW w:w="2604" w:type="dxa"/>
          </w:tcPr>
          <w:p>
            <w:pPr>
              <w:pStyle w:val="Compact"/>
              <w:jc w:val="left"/>
            </w:pPr>
            <w:r>
              <w:rPr>
                <w:sz w:val="16"/>
              </w:rPr>
              <w:t xml:space="preserve">Protects against natural year-to-year cost variation triggering shared savings or losses that don’t reflect genuine performance changes.</w:t>
            </w:r>
          </w:p>
        </w:tc>
        <w:tc>
          <w:tcPr>
            <w:tcW w:w="2604" w:type="dxa"/>
          </w:tcPr>
          <w:p>
            <w:pPr>
              <w:pStyle w:val="Compact"/>
              <w:jc w:val="left"/>
            </w:pPr>
            <w:r>
              <w:rPr>
                <w:sz w:val="16"/>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6"/>
              </w:rPr>
              <w:t xml:space="preserve">5. Shared savings calculation</w:t>
            </w:r>
          </w:p>
        </w:tc>
        <w:tc>
          <w:tcPr>
            <w:tcW w:w="2604" w:type="dxa"/>
          </w:tcPr>
          <w:p>
            <w:pPr>
              <w:pStyle w:val="Compact"/>
              <w:jc w:val="left"/>
            </w:pPr>
            <w:r>
              <w:rPr>
                <w:sz w:val="16"/>
              </w:rPr>
              <w:t xml:space="preserve">Gross savings × sharing rate = Organization’s shared savings payment (or loss obligation)</w:t>
            </w:r>
          </w:p>
        </w:tc>
        <w:tc>
          <w:tcPr>
            <w:tcW w:w="2604" w:type="dxa"/>
          </w:tcPr>
          <w:p>
            <w:pPr>
              <w:pStyle w:val="Compact"/>
              <w:jc w:val="left"/>
            </w:pPr>
            <w:r>
              <w:rPr>
                <w:sz w:val="16"/>
              </w:rPr>
              <w:t xml:space="preserve">Sharing rates vary by model and risk track — typically 50-75% for one-sided models; may reach 80% for full-risk models.</w:t>
            </w:r>
          </w:p>
        </w:tc>
        <w:tc>
          <w:tcPr>
            <w:tcW w:w="2604" w:type="dxa"/>
          </w:tcPr>
          <w:p>
            <w:pPr>
              <w:pStyle w:val="Compact"/>
              <w:jc w:val="left"/>
            </w:pPr>
            <w:r>
              <w:rPr>
                <w:sz w:val="16"/>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cantSplit/>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pPr>
      <w:r>
        <w:rPr>
          <w:color w:val="161B22"/>
        </w:rPr>
        <w:t xml:space="preserve">7.3  </w:t>
      </w:r>
      <w:bookmarkStart w:id="1206" w:name="_Toc1205"/>
      <w:r>
        <w:rPr>
          <w:b/>
          <w:bCs/>
          <w:color w:val="161B22"/>
        </w:rPr>
        <w:t xml:space="preserve">Economics Pillar Implementation Matrix</w:t>
      </w:r>
      <w:bookmarkEnd w:id="1206"/>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2"/>
        <w:gridCol w:w="1146"/>
        <w:gridCol w:w="847"/>
        <w:gridCol w:w="1545"/>
        <w:gridCol w:w="2990"/>
      </w:tblGrid>
      <w:tr>
        <w:trPr>
          <w:tblHeader w:val="on"/>
          <w:cantSplit/>
        </w:trPr>
        <w:tc>
          <w:tcPr>
            <w:shd w:val="clear" w:color="auto" w:fill="1B3A6B"/>
            <w:tcW w:w="2542" w:type="dxa"/>
          </w:tcPr>
          <w:p>
            <w:pPr>
              <w:pStyle w:val="Compact"/>
              <w:jc w:val="left"/>
            </w:pPr>
            <w:r>
              <w:rPr>
                <w:b/>
                <w:color w:val="FFFFFF"/>
                <w:sz w:val="18"/>
              </w:rPr>
              <w:t xml:space="preserve">Investment</w:t>
            </w:r>
          </w:p>
        </w:tc>
        <w:tc>
          <w:tcPr>
            <w:shd w:val="clear" w:color="auto" w:fill="1B3A6B"/>
            <w:tcW w:w="1146" w:type="dxa"/>
          </w:tcPr>
          <w:p>
            <w:pPr>
              <w:pStyle w:val="Compact"/>
              <w:jc w:val="left"/>
            </w:pPr>
            <w:r>
              <w:rPr>
                <w:b/>
                <w:color w:val="FFFFFF"/>
                <w:sz w:val="18"/>
              </w:rPr>
              <w:t xml:space="preserve">Estimated cost</w:t>
            </w:r>
          </w:p>
        </w:tc>
        <w:tc>
          <w:tcPr>
            <w:shd w:val="clear" w:color="auto" w:fill="1B3A6B"/>
            <w:tcW w:w="847" w:type="dxa"/>
          </w:tcPr>
          <w:p>
            <w:pPr>
              <w:pStyle w:val="Compact"/>
              <w:jc w:val="left"/>
            </w:pPr>
            <w:r>
              <w:rPr>
                <w:b/>
                <w:color w:val="FFFFFF"/>
                <w:sz w:val="18"/>
              </w:rPr>
              <w:t xml:space="preserve">Timeline to value</w:t>
            </w:r>
          </w:p>
        </w:tc>
        <w:tc>
          <w:tcPr>
            <w:shd w:val="clear" w:color="auto" w:fill="1B3A6B"/>
            <w:tcW w:w="1545" w:type="dxa"/>
          </w:tcPr>
          <w:p>
            <w:pPr>
              <w:pStyle w:val="Compact"/>
              <w:jc w:val="left"/>
            </w:pPr>
            <w:r>
              <w:rPr>
                <w:b/>
                <w:color w:val="FFFFFF"/>
                <w:sz w:val="18"/>
              </w:rPr>
              <w:t xml:space="preserve">ROI crossover</w:t>
            </w:r>
          </w:p>
        </w:tc>
        <w:tc>
          <w:tcPr>
            <w:shd w:val="clear" w:color="auto" w:fill="1B3A6B"/>
            <w:tcW w:w="2990" w:type="dxa"/>
          </w:tcPr>
          <w:p>
            <w:pPr>
              <w:pStyle w:val="Compact"/>
              <w:jc w:val="left"/>
            </w:pPr>
            <w:r>
              <w:rPr>
                <w:b/>
                <w:color w:val="FFFFFF"/>
                <w:sz w:val="18"/>
              </w:rPr>
              <w:t xml:space="preserve">Vermont benchmark</w:t>
            </w:r>
          </w:p>
        </w:tc>
      </w:tr>
      <w:tr>
        <w:trPr>
          <w:cantSplit/>
        </w:trPr>
        <w:tc>
          <w:tcPr>
            <w:tcW w:w="2542" w:type="dxa"/>
          </w:tcPr>
          <w:p>
            <w:pPr>
              <w:pStyle w:val="Compact"/>
              <w:jc w:val="left"/>
            </w:pPr>
            <w:r>
              <w:rPr>
                <w:sz w:val="18"/>
              </w:rPr>
              <w:t xml:space="preserve">HCC gap analysis and closure program</w:t>
            </w:r>
          </w:p>
        </w:tc>
        <w:tc>
          <w:tcPr>
            <w:tcW w:w="1146" w:type="dxa"/>
          </w:tcPr>
          <w:p>
            <w:pPr>
              <w:pStyle w:val="Compact"/>
              <w:jc w:val="left"/>
            </w:pPr>
            <w:r>
              <w:rPr>
                <w:sz w:val="18"/>
              </w:rPr>
              <w:t xml:space="preserve">$25K-$100K annually</w:t>
            </w:r>
          </w:p>
        </w:tc>
        <w:tc>
          <w:tcPr>
            <w:tcW w:w="847" w:type="dxa"/>
          </w:tcPr>
          <w:p>
            <w:pPr>
              <w:pStyle w:val="Compact"/>
              <w:jc w:val="left"/>
            </w:pPr>
            <w:r>
              <w:rPr>
                <w:sz w:val="18"/>
              </w:rPr>
              <w:t xml:space="preserve">3-6 months setup</w:t>
            </w:r>
          </w:p>
        </w:tc>
        <w:tc>
          <w:tcPr>
            <w:tcW w:w="1545" w:type="dxa"/>
          </w:tcPr>
          <w:p>
            <w:pPr>
              <w:pStyle w:val="Compact"/>
              <w:jc w:val="left"/>
            </w:pPr>
            <w:r>
              <w:rPr>
                <w:sz w:val="18"/>
              </w:rPr>
              <w:t xml:space="preserve">Year 1: 3-8% RAF improvement</w:t>
            </w:r>
          </w:p>
        </w:tc>
        <w:tc>
          <w:tcPr>
            <w:tcW w:w="2990" w:type="dxa"/>
          </w:tcPr>
          <w:p>
            <w:pPr>
              <w:pStyle w:val="Compact"/>
              <w:jc w:val="left"/>
            </w:pPr>
            <w:r>
              <w:rPr>
                <w:sz w:val="18"/>
              </w:rPr>
              <w:t xml:space="preserve">Vermont CAHs: avg 12% HCC gap (2025 RHRC assessment)</w:t>
            </w:r>
          </w:p>
        </w:tc>
      </w:tr>
      <w:tr>
        <w:trPr>
          <w:cantSplit/>
        </w:trPr>
        <w:tc>
          <w:tcPr>
            <w:tcW w:w="2542" w:type="dxa"/>
          </w:tcPr>
          <w:p>
            <w:pPr>
              <w:pStyle w:val="Compact"/>
              <w:jc w:val="left"/>
            </w:pPr>
            <w:r>
              <w:rPr>
                <w:sz w:val="18"/>
              </w:rPr>
              <w:t xml:space="preserve">APM shared savings model financial preparation</w:t>
            </w:r>
          </w:p>
        </w:tc>
        <w:tc>
          <w:tcPr>
            <w:tcW w:w="1146" w:type="dxa"/>
          </w:tcPr>
          <w:p>
            <w:pPr>
              <w:pStyle w:val="Compact"/>
              <w:jc w:val="left"/>
            </w:pPr>
            <w:r>
              <w:rPr>
                <w:sz w:val="18"/>
              </w:rPr>
              <w:t xml:space="preserve">$75K-$200K per org</w:t>
            </w:r>
          </w:p>
        </w:tc>
        <w:tc>
          <w:tcPr>
            <w:tcW w:w="847" w:type="dxa"/>
          </w:tcPr>
          <w:p>
            <w:pPr>
              <w:pStyle w:val="Compact"/>
              <w:jc w:val="left"/>
            </w:pPr>
            <w:r>
              <w:rPr>
                <w:sz w:val="18"/>
              </w:rPr>
              <w:t xml:space="preserve">6-9 months</w:t>
            </w:r>
          </w:p>
        </w:tc>
        <w:tc>
          <w:tcPr>
            <w:tcW w:w="1545" w:type="dxa"/>
          </w:tcPr>
          <w:p>
            <w:pPr>
              <w:pStyle w:val="Compact"/>
              <w:jc w:val="left"/>
            </w:pPr>
            <w:r>
              <w:rPr>
                <w:sz w:val="18"/>
              </w:rPr>
              <w:t xml:space="preserve">12-24 months</w:t>
            </w:r>
          </w:p>
        </w:tc>
        <w:tc>
          <w:tcPr>
            <w:tcW w:w="2990" w:type="dxa"/>
          </w:tcPr>
          <w:p>
            <w:pPr>
              <w:pStyle w:val="Compact"/>
              <w:jc w:val="left"/>
            </w:pPr>
            <w:r>
              <w:rPr>
                <w:sz w:val="18"/>
              </w:rPr>
              <w:t xml:space="preserve">VHCURES attribution; AHEAD benchmark methodology setup</w:t>
            </w:r>
          </w:p>
        </w:tc>
      </w:tr>
      <w:tr>
        <w:trPr>
          <w:cantSplit/>
        </w:trPr>
        <w:tc>
          <w:tcPr>
            <w:tcW w:w="2542" w:type="dxa"/>
          </w:tcPr>
          <w:p>
            <w:pPr>
              <w:pStyle w:val="Compact"/>
              <w:jc w:val="left"/>
            </w:pPr>
            <w:r>
              <w:rPr>
                <w:sz w:val="18"/>
              </w:rPr>
              <w:t xml:space="preserve">Global budget financial modeling and stress testing</w:t>
            </w:r>
          </w:p>
        </w:tc>
        <w:tc>
          <w:tcPr>
            <w:tcW w:w="1146" w:type="dxa"/>
          </w:tcPr>
          <w:p>
            <w:pPr>
              <w:pStyle w:val="Compact"/>
              <w:jc w:val="left"/>
            </w:pPr>
            <w:r>
              <w:rPr>
                <w:sz w:val="18"/>
              </w:rPr>
              <w:t xml:space="preserve">$50K-$150K per hospital</w:t>
            </w:r>
          </w:p>
        </w:tc>
        <w:tc>
          <w:tcPr>
            <w:tcW w:w="847" w:type="dxa"/>
          </w:tcPr>
          <w:p>
            <w:pPr>
              <w:pStyle w:val="Compact"/>
              <w:jc w:val="left"/>
            </w:pPr>
            <w:r>
              <w:rPr>
                <w:sz w:val="18"/>
              </w:rPr>
              <w:t xml:space="preserve">3-6 months</w:t>
            </w:r>
          </w:p>
        </w:tc>
        <w:tc>
          <w:tcPr>
            <w:tcW w:w="1545" w:type="dxa"/>
          </w:tcPr>
          <w:p>
            <w:pPr>
              <w:pStyle w:val="Compact"/>
              <w:jc w:val="left"/>
            </w:pPr>
            <w:r>
              <w:rPr>
                <w:sz w:val="18"/>
              </w:rPr>
              <w:t xml:space="preserve">Pre-launch risk reduction</w:t>
            </w:r>
          </w:p>
        </w:tc>
        <w:tc>
          <w:tcPr>
            <w:tcW w:w="2990" w:type="dxa"/>
          </w:tcPr>
          <w:p>
            <w:pPr>
              <w:pStyle w:val="Compact"/>
              <w:jc w:val="left"/>
            </w:pPr>
            <w:r>
              <w:rPr>
                <w:sz w:val="18"/>
              </w:rPr>
              <w:t xml:space="preserve">HTR Hospital Financial Stress Test: all 14 Vermont hospitals modeled</w:t>
            </w:r>
          </w:p>
        </w:tc>
      </w:tr>
      <w:tr>
        <w:trPr>
          <w:cantSplit/>
        </w:trPr>
        <w:tc>
          <w:tcPr>
            <w:tcW w:w="2542" w:type="dxa"/>
          </w:tcPr>
          <w:p>
            <w:pPr>
              <w:pStyle w:val="Compact"/>
              <w:jc w:val="left"/>
            </w:pPr>
            <w:r>
              <w:rPr>
                <w:sz w:val="18"/>
              </w:rPr>
              <w:t xml:space="preserve">VBC readiness assessment (30-dimension framework)</w:t>
            </w:r>
          </w:p>
        </w:tc>
        <w:tc>
          <w:tcPr>
            <w:tcW w:w="1146" w:type="dxa"/>
          </w:tcPr>
          <w:p>
            <w:pPr>
              <w:pStyle w:val="Compact"/>
              <w:jc w:val="left"/>
            </w:pPr>
            <w:r>
              <w:rPr>
                <w:sz w:val="18"/>
              </w:rPr>
              <w:t xml:space="preserve">$30K-$75K per org</w:t>
            </w:r>
          </w:p>
        </w:tc>
        <w:tc>
          <w:tcPr>
            <w:tcW w:w="847" w:type="dxa"/>
          </w:tcPr>
          <w:p>
            <w:pPr>
              <w:pStyle w:val="Compact"/>
              <w:jc w:val="left"/>
            </w:pPr>
            <w:r>
              <w:rPr>
                <w:sz w:val="18"/>
              </w:rPr>
              <w:t xml:space="preserve">60-90 days</w:t>
            </w:r>
          </w:p>
        </w:tc>
        <w:tc>
          <w:tcPr>
            <w:tcW w:w="1545" w:type="dxa"/>
          </w:tcPr>
          <w:p>
            <w:pPr>
              <w:pStyle w:val="Compact"/>
              <w:jc w:val="left"/>
            </w:pPr>
            <w:r>
              <w:rPr>
                <w:sz w:val="18"/>
              </w:rPr>
              <w:t xml:space="preserve">Immediate: prioritization value</w:t>
            </w:r>
          </w:p>
        </w:tc>
        <w:tc>
          <w:tcPr>
            <w:tcW w:w="2990" w:type="dxa"/>
          </w:tcPr>
          <w:p>
            <w:pPr>
              <w:pStyle w:val="Compact"/>
              <w:jc w:val="left"/>
            </w:pPr>
            <w:r>
              <w:rPr>
                <w:sz w:val="18"/>
              </w:rPr>
              <w:t xml:space="preserve">HTR VBC Readiness Assessment; AHEAD preparation baseline</w:t>
            </w:r>
          </w:p>
        </w:tc>
      </w:tr>
      <w:tr>
        <w:trPr>
          <w:cantSplit/>
        </w:trPr>
        <w:tc>
          <w:tcPr>
            <w:tcW w:w="2542" w:type="dxa"/>
          </w:tcPr>
          <w:p>
            <w:pPr>
              <w:pStyle w:val="Compact"/>
              <w:jc w:val="left"/>
            </w:pPr>
            <w:r>
              <w:rPr>
                <w:sz w:val="18"/>
              </w:rPr>
              <w:t xml:space="preserve">Commercial payer VBC contract negotiation</w:t>
            </w:r>
          </w:p>
        </w:tc>
        <w:tc>
          <w:tcPr>
            <w:tcW w:w="1146" w:type="dxa"/>
          </w:tcPr>
          <w:p>
            <w:pPr>
              <w:pStyle w:val="Compact"/>
              <w:jc w:val="left"/>
            </w:pPr>
            <w:r>
              <w:rPr>
                <w:sz w:val="18"/>
              </w:rPr>
              <w:t xml:space="preserve">$75K-$200K per contract</w:t>
            </w:r>
          </w:p>
        </w:tc>
        <w:tc>
          <w:tcPr>
            <w:tcW w:w="847" w:type="dxa"/>
          </w:tcPr>
          <w:p>
            <w:pPr>
              <w:pStyle w:val="Compact"/>
              <w:jc w:val="left"/>
            </w:pPr>
            <w:r>
              <w:rPr>
                <w:sz w:val="18"/>
              </w:rPr>
              <w:t xml:space="preserve">6-12 months</w:t>
            </w:r>
          </w:p>
        </w:tc>
        <w:tc>
          <w:tcPr>
            <w:tcW w:w="1545" w:type="dxa"/>
          </w:tcPr>
          <w:p>
            <w:pPr>
              <w:pStyle w:val="Compact"/>
              <w:jc w:val="left"/>
            </w:pPr>
            <w:r>
              <w:rPr>
                <w:sz w:val="18"/>
              </w:rPr>
              <w:t xml:space="preserve">18-36 months</w:t>
            </w:r>
          </w:p>
        </w:tc>
        <w:tc>
          <w:tcPr>
            <w:tcW w:w="2990" w:type="dxa"/>
          </w:tcPr>
          <w:p>
            <w:pPr>
              <w:pStyle w:val="Compact"/>
              <w:jc w:val="left"/>
            </w:pPr>
            <w:r>
              <w:rPr>
                <w:sz w:val="18"/>
              </w:rPr>
              <w:t xml:space="preserve">Vermont Blue Cross VBC arrangements; MVP Health Care negotiations</w:t>
            </w:r>
          </w:p>
        </w:tc>
      </w:tr>
      <w:tr>
        <w:trPr>
          <w:cantSplit/>
        </w:trPr>
        <w:tc>
          <w:tcPr>
            <w:tcW w:w="2542" w:type="dxa"/>
          </w:tcPr>
          <w:p>
            <w:pPr>
              <w:pStyle w:val="Compact"/>
              <w:jc w:val="left"/>
            </w:pPr>
            <w:r>
              <w:rPr>
                <w:sz w:val="18"/>
              </w:rPr>
              <w:t xml:space="preserve">Reference-based pricing methodology (state level)</w:t>
            </w:r>
          </w:p>
        </w:tc>
        <w:tc>
          <w:tcPr>
            <w:tcW w:w="1146" w:type="dxa"/>
          </w:tcPr>
          <w:p>
            <w:pPr>
              <w:pStyle w:val="Compact"/>
              <w:jc w:val="left"/>
            </w:pPr>
            <w:r>
              <w:rPr>
                <w:sz w:val="18"/>
              </w:rPr>
              <w:t xml:space="preserve">$500K-$2M state cost</w:t>
            </w:r>
          </w:p>
        </w:tc>
        <w:tc>
          <w:tcPr>
            <w:tcW w:w="847" w:type="dxa"/>
          </w:tcPr>
          <w:p>
            <w:pPr>
              <w:pStyle w:val="Compact"/>
              <w:jc w:val="left"/>
            </w:pPr>
            <w:r>
              <w:rPr>
                <w:sz w:val="18"/>
              </w:rPr>
              <w:t xml:space="preserve">18-24 months</w:t>
            </w:r>
          </w:p>
        </w:tc>
        <w:tc>
          <w:tcPr>
            <w:tcW w:w="1545" w:type="dxa"/>
          </w:tcPr>
          <w:p>
            <w:pPr>
              <w:pStyle w:val="Compact"/>
              <w:jc w:val="left"/>
            </w:pPr>
            <w:r>
              <w:rPr>
                <w:sz w:val="18"/>
              </w:rPr>
              <w:t xml:space="preserve">FY2027: systemwide savings</w:t>
            </w:r>
          </w:p>
        </w:tc>
        <w:tc>
          <w:tcPr>
            <w:tcW w:w="299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cantSplit/>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cantSplit/>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cantSplit/>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cantSplit/>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pPr>
      <w:r>
        <w:rPr>
          <w:color w:val="161B22"/>
        </w:rPr>
        <w:t xml:space="preserve">7.6.1  </w:t>
      </w:r>
      <w:bookmarkStart w:id="1213" w:name="_Toc1212"/>
      <w:r>
        <w:rPr>
          <w:b/>
          <w:bCs/>
          <w:color w:val="161B22"/>
        </w:rPr>
        <w:t xml:space="preserve">The Global Budget Financial Management Model</w:t>
      </w:r>
      <w:bookmarkEnd w:id="1213"/>
    </w:p>
    <w:p>
      <w:pPr>
        <w:pStyle w:val="FirstParagraph"/>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autofit"/>
      </w:tblPr>
      <w:tblGrid>
        <w:gridCol w:w="4338"/>
        <w:gridCol w:w="4733"/>
      </w:tblGrid>
      <w:tr>
        <w:trPr>
          <w:tblHeader w:val="on"/>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3"/>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3"/>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3"/>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3"/>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pPr>
      <w:r>
        <w:rPr>
          <w:color w:val="161B22"/>
        </w:rPr>
        <w:t xml:space="preserve">7.7.1  </w:t>
      </w:r>
      <w:bookmarkStart w:id="1216" w:name="_Toc1215"/>
      <w:r>
        <w:rPr>
          <w:b/>
          <w:bCs/>
          <w:color w:val="161B22"/>
        </w:rPr>
        <w:t xml:space="preserve">The Transformation ROI Framework</w:t>
      </w:r>
      <w:bookmarkEnd w:id="1216"/>
    </w:p>
    <w:p>
      <w:pPr>
        <w:pStyle w:val="FirstParagraph"/>
      </w:pPr>
      <w:r>
        <w:t xml:space="preserve">The following framework structures the financial case for transformation investments in a VBC environment. It is the analytical backbone of HTR Advisory engagements that involve transformation investment decisions.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909"/>
        <w:gridCol w:w="3638"/>
        <w:gridCol w:w="3638"/>
        <w:gridCol w:w="3638"/>
      </w:tblGrid>
      <w:tr>
        <w:trPr>
          <w:tblHeader w:val="on"/>
          <w:cantSplit/>
        </w:trPr>
        <w:tc>
          <w:tcPr>
            <w:shd w:val="clear" w:color="auto" w:fill="1B3A6B"/>
            <w:tcW w:w="1909" w:type="dxa"/>
          </w:tcPr>
          <w:p>
            <w:pPr>
              <w:pStyle w:val="Compact"/>
              <w:jc w:val="left"/>
            </w:pPr>
            <w:r>
              <w:rPr>
                <w:b/>
                <w:color w:val="FFFFFF"/>
                <w:sz w:val="16"/>
              </w:rPr>
              <w:t xml:space="preserve">Investment type</w:t>
            </w:r>
          </w:p>
        </w:tc>
        <w:tc>
          <w:tcPr>
            <w:shd w:val="clear" w:color="auto" w:fill="1B3A6B"/>
            <w:tcW w:w="2387" w:type="dxa"/>
          </w:tcPr>
          <w:p>
            <w:pPr>
              <w:pStyle w:val="Compact"/>
              <w:jc w:val="left"/>
            </w:pPr>
            <w:r>
              <w:rPr>
                <w:b/>
                <w:color w:val="FFFFFF"/>
                <w:sz w:val="16"/>
              </w:rPr>
              <w:t xml:space="preserve">Revenue/savings mechanism</w:t>
            </w:r>
          </w:p>
        </w:tc>
        <w:tc>
          <w:tcPr>
            <w:shd w:val="clear" w:color="auto" w:fill="1B3A6B"/>
            <w:tcW w:w="2387" w:type="dxa"/>
          </w:tcPr>
          <w:p>
            <w:pPr>
              <w:pStyle w:val="Compact"/>
              <w:jc w:val="left"/>
            </w:pPr>
            <w:r>
              <w:rPr>
                <w:b/>
                <w:color w:val="FFFFFF"/>
                <w:sz w:val="16"/>
              </w:rPr>
              <w:t xml:space="preserve">Calculation approach</w:t>
            </w:r>
          </w:p>
        </w:tc>
        <w:tc>
          <w:tcPr>
            <w:shd w:val="clear" w:color="auto" w:fill="1B3A6B"/>
            <w:tcW w:w="2387" w:type="dxa"/>
          </w:tcPr>
          <w:p>
            <w:pPr>
              <w:pStyle w:val="Compact"/>
              <w:jc w:val="left"/>
            </w:pPr>
            <w:r>
              <w:rPr>
                <w:b/>
                <w:color w:val="FFFFFF"/>
                <w:sz w:val="16"/>
              </w:rPr>
              <w:t xml:space="preserve">Vermont example</w:t>
            </w:r>
          </w:p>
        </w:tc>
      </w:tr>
      <w:tr>
        <w:trPr>
          <w:cantSplit/>
        </w:trPr>
        <w:tc>
          <w:tcPr>
            <w:tcW w:w="1909" w:type="dxa"/>
          </w:tcPr>
          <w:p>
            <w:pPr>
              <w:pStyle w:val="Compact"/>
              <w:jc w:val="left"/>
            </w:pPr>
            <w:r>
              <w:rPr>
                <w:sz w:val="16"/>
              </w:rPr>
              <w:t xml:space="preserve">Care management program</w:t>
            </w:r>
          </w:p>
        </w:tc>
        <w:tc>
          <w:tcPr>
            <w:tcW w:w="2387" w:type="dxa"/>
          </w:tcPr>
          <w:p>
            <w:pPr>
              <w:pStyle w:val="Compact"/>
              <w:jc w:val="left"/>
            </w:pPr>
            <w:r>
              <w:rPr>
                <w:sz w:val="16"/>
              </w:rPr>
              <w:t xml:space="preserve">Prevents hospitalizations and ED visits that, under VBC, are costs without offsetting revenue</w:t>
            </w:r>
          </w:p>
        </w:tc>
        <w:tc>
          <w:tcPr>
            <w:tcW w:w="2387" w:type="dxa"/>
          </w:tcPr>
          <w:p>
            <w:pPr>
              <w:pStyle w:val="Compact"/>
              <w:jc w:val="left"/>
            </w:pPr>
            <w:r>
              <w:rPr>
                <w:sz w:val="16"/>
              </w:rPr>
              <w:t xml:space="preserve">(Prevented events) × (average cost per event) - (program operating cost) = Net savings. Divide by program cost for ROI.</w:t>
            </w:r>
          </w:p>
        </w:tc>
        <w:tc>
          <w:tcPr>
            <w:tcW w:w="2387" w:type="dxa"/>
          </w:tcPr>
          <w:p>
            <w:pPr>
              <w:pStyle w:val="Compact"/>
              <w:jc w:val="left"/>
            </w:pPr>
            <w:r>
              <w:rPr>
                <w:sz w:val="16"/>
              </w:rPr>
              <w:t xml:space="preserve">Vermont: 32.3% of ED visits potentially avoidable. CHT program preventing 500 avoidable ED visits/year at $1,800 each = $900K savings. If CHT costs $300K/year, ROI = 200%.</w:t>
            </w:r>
          </w:p>
        </w:tc>
      </w:tr>
      <w:tr>
        <w:trPr>
          <w:cantSplit/>
        </w:trPr>
        <w:tc>
          <w:tcPr>
            <w:tcW w:w="1909" w:type="dxa"/>
          </w:tcPr>
          <w:p>
            <w:pPr>
              <w:pStyle w:val="Compact"/>
              <w:jc w:val="left"/>
            </w:pPr>
            <w:r>
              <w:rPr>
                <w:sz w:val="16"/>
              </w:rPr>
              <w:t xml:space="preserve">Behavioral health integration (CoCM)</w:t>
            </w:r>
          </w:p>
        </w:tc>
        <w:tc>
          <w:tcPr>
            <w:tcW w:w="2387" w:type="dxa"/>
          </w:tcPr>
          <w:p>
            <w:pPr>
              <w:pStyle w:val="Compact"/>
              <w:jc w:val="left"/>
            </w:pPr>
            <w:r>
              <w:rPr>
                <w:sz w:val="16"/>
              </w:rPr>
              <w:t xml:space="preserve">Reduces downstream high-cost utilization — hospitalizations, ED visits for MH crisis — for patients receiving earlier MH intervention</w:t>
            </w:r>
          </w:p>
        </w:tc>
        <w:tc>
          <w:tcPr>
            <w:tcW w:w="2387" w:type="dxa"/>
          </w:tcPr>
          <w:p>
            <w:pPr>
              <w:pStyle w:val="Compact"/>
              <w:jc w:val="left"/>
            </w:pPr>
            <w:r>
              <w:rPr>
                <w:sz w:val="16"/>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6"/>
              </w:rPr>
              <w:t xml:space="preserve">Vermont Blueprint MHI pilot: 80% of administrative entities increased CHT staffing. Every MH-related hospitalization prevented at $15,000 average saves 50x the cost of a CoCM BHCM monthly salary cost.</w:t>
            </w:r>
          </w:p>
        </w:tc>
      </w:tr>
      <w:tr>
        <w:trPr>
          <w:cantSplit/>
        </w:trPr>
        <w:tc>
          <w:tcPr>
            <w:tcW w:w="1909" w:type="dxa"/>
          </w:tcPr>
          <w:p>
            <w:pPr>
              <w:pStyle w:val="Compact"/>
              <w:jc w:val="left"/>
            </w:pPr>
            <w:r>
              <w:rPr>
                <w:sz w:val="16"/>
              </w:rPr>
              <w:t xml:space="preserve">SDOH program investment</w:t>
            </w:r>
          </w:p>
        </w:tc>
        <w:tc>
          <w:tcPr>
            <w:tcW w:w="2387" w:type="dxa"/>
          </w:tcPr>
          <w:p>
            <w:pPr>
              <w:pStyle w:val="Compact"/>
              <w:jc w:val="left"/>
            </w:pPr>
            <w:r>
              <w:rPr>
                <w:sz w:val="16"/>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6"/>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6"/>
              </w:rPr>
              <w:t xml:space="preserve">Blueprint HRSN screening + CHT navigation: SDOH intervention for the 9% of Vermonters who are food insecure, if it reduces avoidable hospitalizations by even 10%, produces system savings exceeding program cost at scale.</w:t>
            </w:r>
          </w:p>
        </w:tc>
      </w:tr>
      <w:tr>
        <w:trPr>
          <w:cantSplit/>
        </w:trPr>
        <w:tc>
          <w:tcPr>
            <w:tcW w:w="1909" w:type="dxa"/>
          </w:tcPr>
          <w:p>
            <w:pPr>
              <w:pStyle w:val="Compact"/>
              <w:jc w:val="left"/>
            </w:pPr>
            <w:r>
              <w:rPr>
                <w:sz w:val="16"/>
              </w:rPr>
              <w:t xml:space="preserve">Primary care investment (PCMH enhanced payments)</w:t>
            </w:r>
          </w:p>
        </w:tc>
        <w:tc>
          <w:tcPr>
            <w:tcW w:w="2387" w:type="dxa"/>
          </w:tcPr>
          <w:p>
            <w:pPr>
              <w:pStyle w:val="Compact"/>
              <w:jc w:val="left"/>
            </w:pPr>
            <w:r>
              <w:rPr>
                <w:sz w:val="16"/>
              </w:rPr>
              <w:t xml:space="preserve">Reduces hospitalizations and specialty care through better chronic disease management and early intervention</w:t>
            </w:r>
          </w:p>
        </w:tc>
        <w:tc>
          <w:tcPr>
            <w:tcW w:w="2387" w:type="dxa"/>
          </w:tcPr>
          <w:p>
            <w:pPr>
              <w:pStyle w:val="Compact"/>
              <w:jc w:val="left"/>
            </w:pPr>
            <w:r>
              <w:rPr>
                <w:sz w:val="16"/>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6"/>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6"/>
              </w:rPr>
              <w:t xml:space="preserve">Telehealth for rural access</w:t>
            </w:r>
          </w:p>
        </w:tc>
        <w:tc>
          <w:tcPr>
            <w:tcW w:w="2387" w:type="dxa"/>
          </w:tcPr>
          <w:p>
            <w:pPr>
              <w:pStyle w:val="Compact"/>
              <w:jc w:val="left"/>
            </w:pPr>
            <w:r>
              <w:rPr>
                <w:sz w:val="16"/>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6"/>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6"/>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pPr>
      <w:r>
        <w:rPr>
          <w:color w:val="161B22"/>
        </w:rPr>
        <w:t xml:space="preserve">7.9  </w:t>
      </w:r>
      <w:bookmarkStart w:id="1218" w:name="_Toc1217"/>
      <w:r>
        <w:rPr>
          <w:b/>
          <w:bCs/>
          <w:color w:val="161B22"/>
        </w:rPr>
        <w:t xml:space="preserve">Work This Chapter on the Platform</w:t>
      </w:r>
      <w:bookmarkEnd w:id="1218"/>
    </w:p>
    <w:p>
      <w:pPr>
        <w:pStyle w:val="FirstParagraph"/>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Model shared savings/loss under any APM contract (benchmark PMPM, sharing rate, MSR, stop-loss)</w:t>
            </w:r>
          </w:p>
        </w:tc>
        <w:tc>
          <w:tcPr>
            <w:tcW w:w="3024"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4"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cantSplit/>
        </w:trPr>
        <w:tc>
          <w:tcPr>
            <w:tcW w:w="3024" w:type="dxa"/>
          </w:tcPr>
          <w:p>
            <w:pPr>
              <w:pStyle w:val="Compact"/>
              <w:jc w:val="left"/>
            </w:pPr>
            <w:r>
              <w:rPr>
                <w:sz w:val="18"/>
              </w:rPr>
              <w:t xml:space="preserve">Score an organization’s value-based-care readiness across six domains</w:t>
            </w:r>
          </w:p>
        </w:tc>
        <w:tc>
          <w:tcPr>
            <w:tcW w:w="3024"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4" w:type="dxa"/>
          </w:tcPr>
          <w:p>
            <w:pPr>
              <w:pStyle w:val="Compact"/>
              <w:jc w:val="left"/>
            </w:pPr>
            <w:r>
              <w:rPr>
                <w:sz w:val="18"/>
              </w:rPr>
              <w:t xml:space="preserve">Which domain is the binding constraint before assuming downside risk.</w:t>
            </w:r>
          </w:p>
        </w:tc>
      </w:tr>
      <w:tr>
        <w:trPr>
          <w:cantSplit/>
        </w:trPr>
        <w:tc>
          <w:tcPr>
            <w:tcW w:w="3024" w:type="dxa"/>
          </w:tcPr>
          <w:p>
            <w:pPr>
              <w:pStyle w:val="Compact"/>
              <w:jc w:val="left"/>
            </w:pPr>
            <w:r>
              <w:rPr>
                <w:sz w:val="18"/>
              </w:rPr>
              <w:t xml:space="preserve">Run a cost-effectiveness analysis on a proposed intervention</w:t>
            </w:r>
          </w:p>
        </w:tc>
        <w:tc>
          <w:tcPr>
            <w:tcW w:w="3024"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4" w:type="dxa"/>
          </w:tcPr>
          <w:p>
            <w:pPr>
              <w:pStyle w:val="Compact"/>
              <w:jc w:val="left"/>
            </w:pPr>
            <w:r>
              <w:rPr>
                <w:sz w:val="18"/>
              </w:rPr>
              <w:t xml:space="preserve">Whether the ROI case survives contact with the numbers.</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pBdr>
          <w:top w:val="single" w:sz="4" w:space="8" w:color="B8B8B8"/>
        </w:pBdr>
        <w:spacing w:before="160" w:after="120"/>
      </w:pPr>
      <w:r>
        <w:rPr>
          <w:rFonts w:ascii="Calibri" w:hAnsi="Calibri"/>
          <w:i/>
          <w:color w:val="00000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pPr>
      <w:r>
        <w:rPr>
          <w:color w:val="161B22"/>
        </w:rPr>
        <w:t xml:space="preserve">8.2.1  </w:t>
      </w:r>
      <w:bookmarkStart w:id="1224" w:name="_Toc1223"/>
      <w:r>
        <w:rPr>
          <w:b/>
          <w:bCs/>
          <w:color w:val="161B22"/>
        </w:rPr>
        <w:t xml:space="preserve">The Blueprint Architecture</w:t>
      </w:r>
      <w:bookmarkEnd w:id="1224"/>
    </w:p>
    <w:p>
      <w:pPr>
        <w:pStyle w:val="FirstParagraph"/>
      </w:pPr>
      <w:r>
        <w:t xml:space="preserve">The Blueprint operates through three integrated components that together constitute a population health management system at the primary care level:</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Component</w:t>
            </w:r>
          </w:p>
        </w:tc>
        <w:tc>
          <w:tcPr>
            <w:shd w:val="clear" w:color="auto" w:fill="1B3A6B"/>
            <w:tcW w:w="2520" w:type="dxa"/>
          </w:tcPr>
          <w:p>
            <w:pPr>
              <w:pStyle w:val="Compact"/>
              <w:jc w:val="left"/>
            </w:pPr>
            <w:r>
              <w:rPr>
                <w:b/>
                <w:color w:val="FFFFFF"/>
                <w:sz w:val="16"/>
              </w:rPr>
              <w:t xml:space="preserve">What it is</w:t>
            </w:r>
          </w:p>
        </w:tc>
        <w:tc>
          <w:tcPr>
            <w:shd w:val="clear" w:color="auto" w:fill="1B3A6B"/>
            <w:tcW w:w="2520" w:type="dxa"/>
          </w:tcPr>
          <w:p>
            <w:pPr>
              <w:pStyle w:val="Compact"/>
              <w:jc w:val="left"/>
            </w:pPr>
            <w:r>
              <w:rPr>
                <w:b/>
                <w:color w:val="FFFFFF"/>
                <w:sz w:val="16"/>
              </w:rPr>
              <w:t xml:space="preserve">How it is funded</w:t>
            </w:r>
          </w:p>
        </w:tc>
        <w:tc>
          <w:tcPr>
            <w:shd w:val="clear" w:color="auto" w:fill="1B3A6B"/>
            <w:tcW w:w="2520" w:type="dxa"/>
          </w:tcPr>
          <w:p>
            <w:pPr>
              <w:pStyle w:val="Compact"/>
              <w:jc w:val="left"/>
            </w:pPr>
            <w:r>
              <w:rPr>
                <w:b/>
                <w:color w:val="FFFFFF"/>
                <w:sz w:val="16"/>
              </w:rPr>
              <w:t xml:space="preserve">What it does</w:t>
            </w:r>
          </w:p>
        </w:tc>
      </w:tr>
      <w:tr>
        <w:trPr>
          <w:cantSplit/>
        </w:trPr>
        <w:tc>
          <w:tcPr>
            <w:tcW w:w="1512" w:type="dxa"/>
          </w:tcPr>
          <w:p>
            <w:pPr>
              <w:pStyle w:val="Compact"/>
              <w:jc w:val="left"/>
            </w:pPr>
            <w:r>
              <w:rPr>
                <w:sz w:val="16"/>
              </w:rPr>
              <w:t xml:space="preserve">Patient-Centered Medical Home (PCMH)</w:t>
            </w:r>
          </w:p>
        </w:tc>
        <w:tc>
          <w:tcPr>
            <w:tcW w:w="2520" w:type="dxa"/>
          </w:tcPr>
          <w:p>
            <w:pPr>
              <w:pStyle w:val="Compact"/>
              <w:jc w:val="left"/>
            </w:pPr>
            <w:r>
              <w:rPr>
                <w:sz w:val="16"/>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6"/>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6"/>
              </w:rPr>
              <w:t xml:space="preserve">Transforms primary care practices from reactive, visit-based care to proactive, population-based care; coordinates care across providers; manages chronic conditions; screens for behavioral health and SDOH needs</w:t>
            </w:r>
          </w:p>
        </w:tc>
      </w:tr>
      <w:tr>
        <w:trPr>
          <w:cantSplit/>
        </w:trPr>
        <w:tc>
          <w:tcPr>
            <w:tcW w:w="1512" w:type="dxa"/>
          </w:tcPr>
          <w:p>
            <w:pPr>
              <w:pStyle w:val="Compact"/>
              <w:jc w:val="left"/>
            </w:pPr>
            <w:r>
              <w:rPr>
                <w:sz w:val="16"/>
              </w:rPr>
              <w:t xml:space="preserve">Community Health Team (CHT)</w:t>
            </w:r>
          </w:p>
        </w:tc>
        <w:tc>
          <w:tcPr>
            <w:tcW w:w="2520" w:type="dxa"/>
          </w:tcPr>
          <w:p>
            <w:pPr>
              <w:pStyle w:val="Compact"/>
              <w:jc w:val="left"/>
            </w:pPr>
            <w:r>
              <w:rPr>
                <w:sz w:val="16"/>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6"/>
              </w:rPr>
              <w:t xml:space="preserve">Blueprint program funding through DVHA; supplemented by OneCare (now transitioning), Medicaid, and grant funding</w:t>
            </w:r>
          </w:p>
        </w:tc>
        <w:tc>
          <w:tcPr>
            <w:tcW w:w="2520" w:type="dxa"/>
          </w:tcPr>
          <w:p>
            <w:pPr>
              <w:pStyle w:val="Compact"/>
              <w:jc w:val="left"/>
            </w:pPr>
            <w:r>
              <w:rPr>
                <w:sz w:val="16"/>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6"/>
              </w:rPr>
              <w:t xml:space="preserve">Health Information Technology</w:t>
            </w:r>
          </w:p>
        </w:tc>
        <w:tc>
          <w:tcPr>
            <w:tcW w:w="2520" w:type="dxa"/>
          </w:tcPr>
          <w:p>
            <w:pPr>
              <w:pStyle w:val="Compact"/>
              <w:jc w:val="left"/>
            </w:pPr>
            <w:r>
              <w:rPr>
                <w:sz w:val="16"/>
              </w:rPr>
              <w:t xml:space="preserve">VITL-based health information exchange linking practices to the statewide clinical data registry and VHCURES all-payer claims database</w:t>
            </w:r>
          </w:p>
        </w:tc>
        <w:tc>
          <w:tcPr>
            <w:tcW w:w="2520" w:type="dxa"/>
          </w:tcPr>
          <w:p>
            <w:pPr>
              <w:pStyle w:val="Compact"/>
              <w:jc w:val="left"/>
            </w:pPr>
            <w:r>
              <w:rPr>
                <w:sz w:val="16"/>
              </w:rPr>
              <w:t xml:space="preserve">VITL funding; Blueprint program funding for data analytics support</w:t>
            </w:r>
          </w:p>
        </w:tc>
        <w:tc>
          <w:tcPr>
            <w:tcW w:w="2520" w:type="dxa"/>
          </w:tcPr>
          <w:p>
            <w:pPr>
              <w:pStyle w:val="Compact"/>
              <w:jc w:val="left"/>
            </w:pPr>
            <w:r>
              <w:rPr>
                <w:sz w:val="16"/>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cantSplit/>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p>
      <w:pPr>
        <w:spacing w:after="120"/>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cantSplit/>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cantSplit/>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autofit"/>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cantSplit/>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cantSplit/>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cantSplit/>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Domain</w:t>
            </w:r>
          </w:p>
        </w:tc>
        <w:tc>
          <w:tcPr>
            <w:shd w:val="clear" w:color="auto" w:fill="1B3A6B"/>
            <w:tcW w:w="2520" w:type="dxa"/>
          </w:tcPr>
          <w:p>
            <w:pPr>
              <w:pStyle w:val="Compact"/>
              <w:jc w:val="left"/>
            </w:pPr>
            <w:r>
              <w:rPr>
                <w:b/>
                <w:color w:val="FFFFFF"/>
                <w:sz w:val="16"/>
              </w:rPr>
              <w:t xml:space="preserve">Priority measures</w:t>
            </w:r>
          </w:p>
        </w:tc>
        <w:tc>
          <w:tcPr>
            <w:shd w:val="clear" w:color="auto" w:fill="1B3A6B"/>
            <w:tcW w:w="2520" w:type="dxa"/>
          </w:tcPr>
          <w:p>
            <w:pPr>
              <w:pStyle w:val="Compact"/>
              <w:jc w:val="left"/>
            </w:pPr>
            <w:r>
              <w:rPr>
                <w:b/>
                <w:color w:val="FFFFFF"/>
                <w:sz w:val="16"/>
              </w:rPr>
              <w:t xml:space="preserve">Why this measure</w:t>
            </w:r>
          </w:p>
        </w:tc>
        <w:tc>
          <w:tcPr>
            <w:shd w:val="clear" w:color="auto" w:fill="1B3A6B"/>
            <w:tcW w:w="2520" w:type="dxa"/>
          </w:tcPr>
          <w:p>
            <w:pPr>
              <w:pStyle w:val="Compact"/>
              <w:jc w:val="left"/>
            </w:pPr>
            <w:r>
              <w:rPr>
                <w:b/>
                <w:color w:val="FFFFFF"/>
                <w:sz w:val="16"/>
              </w:rPr>
              <w:t xml:space="preserve">Current VT status</w:t>
            </w:r>
          </w:p>
        </w:tc>
      </w:tr>
      <w:tr>
        <w:trPr>
          <w:cantSplit/>
        </w:trPr>
        <w:tc>
          <w:tcPr>
            <w:tcW w:w="1512" w:type="dxa"/>
          </w:tcPr>
          <w:p>
            <w:pPr>
              <w:pStyle w:val="Compact"/>
              <w:jc w:val="left"/>
            </w:pPr>
            <w:r>
              <w:rPr>
                <w:sz w:val="16"/>
              </w:rPr>
              <w:t xml:space="preserve">Preventive and chronic care</w:t>
            </w:r>
          </w:p>
        </w:tc>
        <w:tc>
          <w:tcPr>
            <w:tcW w:w="2520" w:type="dxa"/>
          </w:tcPr>
          <w:p>
            <w:pPr>
              <w:pStyle w:val="Compact"/>
              <w:jc w:val="left"/>
            </w:pPr>
            <w:r>
              <w:rPr>
                <w:sz w:val="16"/>
              </w:rPr>
              <w:t xml:space="preserve">Hypertension control rate; diabetes HbA1c management; cervical cancer screening; colorectal cancer screening; childhood immunization</w:t>
            </w:r>
          </w:p>
        </w:tc>
        <w:tc>
          <w:tcPr>
            <w:tcW w:w="2520" w:type="dxa"/>
          </w:tcPr>
          <w:p>
            <w:pPr>
              <w:pStyle w:val="Compact"/>
              <w:jc w:val="left"/>
            </w:pPr>
            <w:r>
              <w:rPr>
                <w:sz w:val="16"/>
              </w:rPr>
              <w:t xml:space="preserve">Chronic disease management is the highest-volume primary care activity; these measures predict long-term utilization and cost</w:t>
            </w:r>
          </w:p>
        </w:tc>
        <w:tc>
          <w:tcPr>
            <w:tcW w:w="2520" w:type="dxa"/>
          </w:tcPr>
          <w:p>
            <w:pPr>
              <w:pStyle w:val="Compact"/>
              <w:jc w:val="left"/>
            </w:pPr>
            <w:r>
              <w:rPr>
                <w:sz w:val="16"/>
              </w:rPr>
              <w:t xml:space="preserve">Hypertension 77% controlled; diabetes 22% not controlled. Both reflect Blueprint PCMH performance; non-Blueprint practices likely worse</w:t>
            </w:r>
          </w:p>
        </w:tc>
      </w:tr>
      <w:tr>
        <w:trPr>
          <w:cantSplit/>
        </w:trPr>
        <w:tc>
          <w:tcPr>
            <w:tcW w:w="1512" w:type="dxa"/>
          </w:tcPr>
          <w:p>
            <w:pPr>
              <w:pStyle w:val="Compact"/>
              <w:jc w:val="left"/>
            </w:pPr>
            <w:r>
              <w:rPr>
                <w:sz w:val="16"/>
              </w:rPr>
              <w:t xml:space="preserve">Behavioral health access and quality</w:t>
            </w:r>
          </w:p>
        </w:tc>
        <w:tc>
          <w:tcPr>
            <w:tcW w:w="2520" w:type="dxa"/>
          </w:tcPr>
          <w:p>
            <w:pPr>
              <w:pStyle w:val="Compact"/>
              <w:jc w:val="left"/>
            </w:pPr>
            <w:r>
              <w:rPr>
                <w:sz w:val="16"/>
              </w:rPr>
              <w:t xml:space="preserve">30-day follow-up after MH ED visit; 30-day follow-up after SUD ED visit; depression screening rate; SUD treatment initiation and engagement</w:t>
            </w:r>
          </w:p>
        </w:tc>
        <w:tc>
          <w:tcPr>
            <w:tcW w:w="2520" w:type="dxa"/>
          </w:tcPr>
          <w:p>
            <w:pPr>
              <w:pStyle w:val="Compact"/>
              <w:jc w:val="left"/>
            </w:pPr>
            <w:r>
              <w:rPr>
                <w:sz w:val="16"/>
              </w:rPr>
              <w:t xml:space="preserve">ED visits for MH/SUD are the clearest evidence of access failure; follow-up rates measure whether crisis intervention connects to ongoing care</w:t>
            </w:r>
          </w:p>
        </w:tc>
        <w:tc>
          <w:tcPr>
            <w:tcW w:w="2520" w:type="dxa"/>
          </w:tcPr>
          <w:p>
            <w:pPr>
              <w:pStyle w:val="Compact"/>
              <w:jc w:val="left"/>
            </w:pPr>
            <w:r>
              <w:rPr>
                <w:sz w:val="16"/>
              </w:rPr>
              <w:t xml:space="preserve">76% 30-day follow-up after MH ED visit; 68% after SUD ED visit — both indicate coordination gaps</w:t>
            </w:r>
          </w:p>
        </w:tc>
      </w:tr>
      <w:tr>
        <w:trPr>
          <w:cantSplit/>
        </w:trPr>
        <w:tc>
          <w:tcPr>
            <w:tcW w:w="1512" w:type="dxa"/>
          </w:tcPr>
          <w:p>
            <w:pPr>
              <w:pStyle w:val="Compact"/>
              <w:jc w:val="left"/>
            </w:pPr>
            <w:r>
              <w:rPr>
                <w:sz w:val="16"/>
              </w:rPr>
              <w:t xml:space="preserve">Primary care access</w:t>
            </w:r>
          </w:p>
        </w:tc>
        <w:tc>
          <w:tcPr>
            <w:tcW w:w="2520" w:type="dxa"/>
          </w:tcPr>
          <w:p>
            <w:pPr>
              <w:pStyle w:val="Compact"/>
              <w:jc w:val="left"/>
            </w:pPr>
            <w:r>
              <w:rPr>
                <w:sz w:val="16"/>
              </w:rPr>
              <w:t xml:space="preserve">% practices accepting new Medicaid patients; wait time for new patient appointment; % population with attributed primary care provider</w:t>
            </w:r>
          </w:p>
        </w:tc>
        <w:tc>
          <w:tcPr>
            <w:tcW w:w="2520" w:type="dxa"/>
          </w:tcPr>
          <w:p>
            <w:pPr>
              <w:pStyle w:val="Compact"/>
              <w:jc w:val="left"/>
            </w:pPr>
            <w:r>
              <w:rPr>
                <w:sz w:val="16"/>
              </w:rPr>
              <w:t xml:space="preserve">Access to primary care is the front door to the system; Medicaid acceptance is the equity indicator</w:t>
            </w:r>
          </w:p>
        </w:tc>
        <w:tc>
          <w:tcPr>
            <w:tcW w:w="2520" w:type="dxa"/>
          </w:tcPr>
          <w:p>
            <w:pPr>
              <w:pStyle w:val="Compact"/>
              <w:jc w:val="left"/>
            </w:pPr>
            <w:r>
              <w:rPr>
                <w:sz w:val="16"/>
              </w:rPr>
              <w:t xml:space="preserve">59% of primary care practices accepting new Medicaid patients — significant equity gap; 91% of Vermonters have a personal health provider</w:t>
            </w:r>
          </w:p>
        </w:tc>
      </w:tr>
      <w:tr>
        <w:trPr>
          <w:cantSplit/>
        </w:trPr>
        <w:tc>
          <w:tcPr>
            <w:tcW w:w="1512" w:type="dxa"/>
          </w:tcPr>
          <w:p>
            <w:pPr>
              <w:pStyle w:val="Compact"/>
              <w:jc w:val="left"/>
            </w:pPr>
            <w:r>
              <w:rPr>
                <w:sz w:val="16"/>
              </w:rPr>
              <w:t xml:space="preserve">Hospital quality and efficiency</w:t>
            </w:r>
          </w:p>
        </w:tc>
        <w:tc>
          <w:tcPr>
            <w:tcW w:w="2520" w:type="dxa"/>
          </w:tcPr>
          <w:p>
            <w:pPr>
              <w:pStyle w:val="Compact"/>
              <w:jc w:val="left"/>
            </w:pPr>
            <w:r>
              <w:rPr>
                <w:sz w:val="16"/>
              </w:rPr>
              <w:t xml:space="preserve">30-day all-cause readmission rate; potentially avoidable ED visit rate; operating profit per adjusted discharge; admin cost per adjusted discharge</w:t>
            </w:r>
          </w:p>
        </w:tc>
        <w:tc>
          <w:tcPr>
            <w:tcW w:w="2520" w:type="dxa"/>
          </w:tcPr>
          <w:p>
            <w:pPr>
              <w:pStyle w:val="Compact"/>
              <w:jc w:val="left"/>
            </w:pPr>
            <w:r>
              <w:rPr>
                <w:sz w:val="16"/>
              </w:rPr>
              <w:t xml:space="preserve">Hospital metrics measure both clinical quality and financial sustainability</w:t>
            </w:r>
          </w:p>
        </w:tc>
        <w:tc>
          <w:tcPr>
            <w:tcW w:w="2520" w:type="dxa"/>
          </w:tcPr>
          <w:p>
            <w:pPr>
              <w:pStyle w:val="Compact"/>
              <w:jc w:val="left"/>
            </w:pPr>
            <w:r>
              <w:rPr>
                <w:sz w:val="16"/>
              </w:rPr>
              <w:t xml:space="preserve">Readmission: 14.8% (within range). Avoidable ED: 32.3% (major opportunity). Admin cost: 91% above benchmark</w:t>
            </w:r>
          </w:p>
        </w:tc>
      </w:tr>
      <w:tr>
        <w:trPr>
          <w:cantSplit/>
        </w:trPr>
        <w:tc>
          <w:tcPr>
            <w:tcW w:w="1512" w:type="dxa"/>
          </w:tcPr>
          <w:p>
            <w:pPr>
              <w:pStyle w:val="Compact"/>
              <w:jc w:val="left"/>
            </w:pPr>
            <w:r>
              <w:rPr>
                <w:sz w:val="16"/>
              </w:rPr>
              <w:t xml:space="preserve">Equity and SDOH</w:t>
            </w:r>
          </w:p>
        </w:tc>
        <w:tc>
          <w:tcPr>
            <w:tcW w:w="2520" w:type="dxa"/>
          </w:tcPr>
          <w:p>
            <w:pPr>
              <w:pStyle w:val="Compact"/>
              <w:jc w:val="left"/>
            </w:pPr>
            <w:r>
              <w:rPr>
                <w:sz w:val="16"/>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6"/>
              </w:rPr>
              <w:t xml:space="preserve">Equity measures are required by Act 68 and Act 167; geographic variation within Vermont is large and not adequately measured</w:t>
            </w:r>
          </w:p>
        </w:tc>
        <w:tc>
          <w:tcPr>
            <w:tcW w:w="2520" w:type="dxa"/>
          </w:tcPr>
          <w:p>
            <w:pPr>
              <w:pStyle w:val="Compact"/>
              <w:jc w:val="left"/>
            </w:pPr>
            <w:r>
              <w:rPr>
                <w:sz w:val="16"/>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017"/>
        <w:gridCol w:w="4210"/>
        <w:gridCol w:w="2385"/>
        <w:gridCol w:w="4210"/>
      </w:tblGrid>
      <w:tr>
        <w:trPr>
          <w:tblHeader w:val="on"/>
          <w:cantSplit/>
        </w:trPr>
        <w:tc>
          <w:tcPr>
            <w:shd w:val="clear" w:color="auto" w:fill="1B3A6B"/>
            <w:tcW w:w="1980" w:type="dxa"/>
          </w:tcPr>
          <w:p>
            <w:pPr>
              <w:pStyle w:val="Compact"/>
              <w:jc w:val="left"/>
            </w:pPr>
            <w:r>
              <w:rPr>
                <w:b/>
                <w:color w:val="FFFFFF"/>
                <w:sz w:val="16"/>
              </w:rPr>
              <w:t xml:space="preserve">Commitment</w:t>
            </w:r>
          </w:p>
        </w:tc>
        <w:tc>
          <w:tcPr>
            <w:shd w:val="clear" w:color="auto" w:fill="1B3A6B"/>
            <w:tcW w:w="2763" w:type="dxa"/>
          </w:tcPr>
          <w:p>
            <w:pPr>
              <w:pStyle w:val="Compact"/>
              <w:jc w:val="left"/>
            </w:pPr>
            <w:r>
              <w:rPr>
                <w:b/>
                <w:color w:val="FFFFFF"/>
                <w:sz w:val="16"/>
              </w:rPr>
              <w:t xml:space="preserve">What it requires</w:t>
            </w:r>
          </w:p>
        </w:tc>
        <w:tc>
          <w:tcPr>
            <w:shd w:val="clear" w:color="auto" w:fill="1B3A6B"/>
            <w:tcW w:w="1565" w:type="dxa"/>
          </w:tcPr>
          <w:p>
            <w:pPr>
              <w:pStyle w:val="Compact"/>
              <w:jc w:val="left"/>
            </w:pPr>
            <w:r>
              <w:rPr>
                <w:b/>
                <w:color w:val="FFFFFF"/>
                <w:sz w:val="16"/>
              </w:rPr>
              <w:t xml:space="preserve">Timeline</w:t>
            </w:r>
          </w:p>
        </w:tc>
        <w:tc>
          <w:tcPr>
            <w:shd w:val="clear" w:color="auto" w:fill="1B3A6B"/>
            <w:tcW w:w="2763" w:type="dxa"/>
          </w:tcPr>
          <w:p>
            <w:pPr>
              <w:pStyle w:val="Compact"/>
              <w:jc w:val="left"/>
            </w:pPr>
            <w:r>
              <w:rPr>
                <w:b/>
                <w:color w:val="FFFFFF"/>
                <w:sz w:val="16"/>
              </w:rPr>
              <w:t xml:space="preserve">Primary vehicle</w:t>
            </w:r>
          </w:p>
        </w:tc>
      </w:tr>
      <w:tr>
        <w:trPr>
          <w:cantSplit/>
        </w:trPr>
        <w:tc>
          <w:tcPr>
            <w:tcW w:w="1980" w:type="dxa"/>
          </w:tcPr>
          <w:p>
            <w:pPr>
              <w:pStyle w:val="Compact"/>
              <w:jc w:val="left"/>
            </w:pPr>
            <w:r>
              <w:rPr>
                <w:sz w:val="16"/>
              </w:rPr>
              <w:t xml:space="preserve">Universal Blueprint PCMH coverage</w:t>
            </w:r>
          </w:p>
        </w:tc>
        <w:tc>
          <w:tcPr>
            <w:tcW w:w="2763" w:type="dxa"/>
          </w:tcPr>
          <w:p>
            <w:pPr>
              <w:pStyle w:val="Compact"/>
              <w:jc w:val="left"/>
            </w:pPr>
            <w:r>
              <w:rPr>
                <w:sz w:val="16"/>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Blueprint expansion; AHEAD PC primary care recruitment; RHT workforce investment</w:t>
            </w:r>
          </w:p>
        </w:tc>
      </w:tr>
      <w:tr>
        <w:trPr>
          <w:cantSplit/>
        </w:trPr>
        <w:tc>
          <w:tcPr>
            <w:tcW w:w="1980" w:type="dxa"/>
          </w:tcPr>
          <w:p>
            <w:pPr>
              <w:pStyle w:val="Compact"/>
              <w:jc w:val="left"/>
            </w:pPr>
            <w:r>
              <w:rPr>
                <w:sz w:val="16"/>
              </w:rPr>
              <w:t xml:space="preserve">Behavioral health integration at every PCMH</w:t>
            </w:r>
          </w:p>
        </w:tc>
        <w:tc>
          <w:tcPr>
            <w:tcW w:w="2763" w:type="dxa"/>
          </w:tcPr>
          <w:p>
            <w:pPr>
              <w:pStyle w:val="Compact"/>
              <w:jc w:val="left"/>
            </w:pPr>
            <w:r>
              <w:rPr>
                <w:sz w:val="16"/>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MHI permanent funding through AHEAD EAST Fund; CCBHC partnerships; BHCM workforce training through RHT Program</w:t>
            </w:r>
          </w:p>
        </w:tc>
      </w:tr>
      <w:tr>
        <w:trPr>
          <w:cantSplit/>
        </w:trPr>
        <w:tc>
          <w:tcPr>
            <w:tcW w:w="1980" w:type="dxa"/>
          </w:tcPr>
          <w:p>
            <w:pPr>
              <w:pStyle w:val="Compact"/>
              <w:jc w:val="left"/>
            </w:pPr>
            <w:r>
              <w:rPr>
                <w:sz w:val="16"/>
              </w:rPr>
              <w:t xml:space="preserve">CCBHC network covering all HSAs</w:t>
            </w:r>
          </w:p>
        </w:tc>
        <w:tc>
          <w:tcPr>
            <w:tcW w:w="2763" w:type="dxa"/>
          </w:tcPr>
          <w:p>
            <w:pPr>
              <w:pStyle w:val="Compact"/>
              <w:jc w:val="left"/>
            </w:pPr>
            <w:r>
              <w:rPr>
                <w:sz w:val="16"/>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6"/>
              </w:rPr>
              <w:t xml:space="preserve">2026 (5 new CCBHCs) through 2028</w:t>
            </w:r>
          </w:p>
        </w:tc>
        <w:tc>
          <w:tcPr>
            <w:tcW w:w="2763" w:type="dxa"/>
          </w:tcPr>
          <w:p>
            <w:pPr>
              <w:pStyle w:val="Compact"/>
              <w:jc w:val="left"/>
            </w:pPr>
            <w:r>
              <w:rPr>
                <w:sz w:val="16"/>
              </w:rPr>
              <w:t xml:space="preserve">CCBHC Demonstration State enhanced Medicaid; RHT Program funding; Act 68 grants</w:t>
            </w:r>
          </w:p>
        </w:tc>
      </w:tr>
      <w:tr>
        <w:trPr>
          <w:cantSplit/>
        </w:trPr>
        <w:tc>
          <w:tcPr>
            <w:tcW w:w="1980" w:type="dxa"/>
          </w:tcPr>
          <w:p>
            <w:pPr>
              <w:pStyle w:val="Compact"/>
              <w:jc w:val="left"/>
            </w:pPr>
            <w:r>
              <w:rPr>
                <w:sz w:val="16"/>
              </w:rPr>
              <w:t xml:space="preserve">PACE program development</w:t>
            </w:r>
          </w:p>
        </w:tc>
        <w:tc>
          <w:tcPr>
            <w:tcW w:w="2763" w:type="dxa"/>
          </w:tcPr>
          <w:p>
            <w:pPr>
              <w:pStyle w:val="Compact"/>
              <w:jc w:val="left"/>
            </w:pPr>
            <w:r>
              <w:rPr>
                <w:sz w:val="16"/>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6"/>
              </w:rPr>
              <w:t xml:space="preserve">2026-2028 (feasibility and launch)</w:t>
            </w:r>
          </w:p>
        </w:tc>
        <w:tc>
          <w:tcPr>
            <w:tcW w:w="2763" w:type="dxa"/>
          </w:tcPr>
          <w:p>
            <w:pPr>
              <w:pStyle w:val="Compact"/>
              <w:jc w:val="left"/>
            </w:pPr>
            <w:r>
              <w:rPr>
                <w:sz w:val="16"/>
              </w:rPr>
              <w:t xml:space="preserve">AHEAD EAST Fund; RHT long-term care infrastructure investment; Medicaid PACE program rules</w:t>
            </w:r>
          </w:p>
        </w:tc>
      </w:tr>
      <w:tr>
        <w:trPr>
          <w:cantSplit/>
        </w:trPr>
        <w:tc>
          <w:tcPr>
            <w:tcW w:w="1980" w:type="dxa"/>
          </w:tcPr>
          <w:p>
            <w:pPr>
              <w:pStyle w:val="Compact"/>
              <w:jc w:val="left"/>
            </w:pPr>
            <w:r>
              <w:rPr>
                <w:sz w:val="16"/>
              </w:rPr>
              <w:t xml:space="preserve">Dementia care infrastructure</w:t>
            </w:r>
          </w:p>
        </w:tc>
        <w:tc>
          <w:tcPr>
            <w:tcW w:w="2763" w:type="dxa"/>
          </w:tcPr>
          <w:p>
            <w:pPr>
              <w:pStyle w:val="Compact"/>
              <w:jc w:val="left"/>
            </w:pPr>
            <w:r>
              <w:rPr>
                <w:sz w:val="16"/>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6"/>
              </w:rPr>
              <w:t xml:space="preserve">2026-2030</w:t>
            </w:r>
          </w:p>
        </w:tc>
        <w:tc>
          <w:tcPr>
            <w:tcW w:w="2763" w:type="dxa"/>
          </w:tcPr>
          <w:p>
            <w:pPr>
              <w:pStyle w:val="Compact"/>
              <w:jc w:val="left"/>
            </w:pPr>
            <w:r>
              <w:rPr>
                <w:sz w:val="16"/>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8.8  </w:t>
      </w:r>
      <w:bookmarkStart w:id="1240" w:name="_Toc1239"/>
      <w:r>
        <w:rPr>
          <w:b/>
          <w:bCs/>
          <w:color w:val="161B22"/>
        </w:rPr>
        <w:t xml:space="preserve">Work This Chapter on the Platform</w:t>
      </w:r>
      <w:bookmarkEnd w:id="1240"/>
    </w:p>
    <w:p>
      <w:pPr>
        <w:pStyle w:val="FirstParagraph"/>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Stratify a clinical panel by risk tier and match staffing intensity</w:t>
            </w:r>
          </w:p>
        </w:tc>
        <w:tc>
          <w:tcPr>
            <w:tcW w:w="3024"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4" w:type="dxa"/>
          </w:tcPr>
          <w:p>
            <w:pPr>
              <w:pStyle w:val="Compact"/>
              <w:jc w:val="left"/>
            </w:pPr>
            <w:r>
              <w:rPr>
                <w:sz w:val="18"/>
              </w:rPr>
              <w:t xml:space="preserve">How panel design changes when staffing follows risk rather than volume.</w:t>
            </w:r>
          </w:p>
        </w:tc>
      </w:tr>
      <w:tr>
        <w:trPr>
          <w:cantSplit/>
        </w:trPr>
        <w:tc>
          <w:tcPr>
            <w:tcW w:w="3024" w:type="dxa"/>
          </w:tcPr>
          <w:p>
            <w:pPr>
              <w:pStyle w:val="Compact"/>
              <w:jc w:val="left"/>
            </w:pPr>
            <w:r>
              <w:rPr>
                <w:sz w:val="18"/>
              </w:rPr>
              <w:t xml:space="preserve">Model HEDIS measure performance against NCQA benchmarks</w:t>
            </w:r>
          </w:p>
        </w:tc>
        <w:tc>
          <w:tcPr>
            <w:tcW w:w="3024"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4" w:type="dxa"/>
          </w:tcPr>
          <w:p>
            <w:pPr>
              <w:pStyle w:val="Compact"/>
              <w:jc w:val="left"/>
            </w:pPr>
            <w:r>
              <w:rPr>
                <w:sz w:val="18"/>
              </w:rPr>
              <w:t xml:space="preserve">Which measures move population outcomes vs. which only move scores.</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Introduced or Expanded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pBdr>
          <w:top w:val="single" w:sz="4" w:space="8" w:color="B8B8B8"/>
        </w:pBdr>
        <w:spacing w:before="160" w:after="120"/>
      </w:pPr>
      <w:r>
        <w:rPr>
          <w:rFonts w:ascii="Calibri" w:hAnsi="Calibri"/>
          <w:i/>
          <w:color w:val="00000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autofit"/>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cantSplit/>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cantSplit/>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cantSplit/>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cantSplit/>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autofit"/>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cantSplit/>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cantSplit/>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cantSplit/>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cantSplit/>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388"/>
        <w:gridCol w:w="4388"/>
        <w:gridCol w:w="658"/>
        <w:gridCol w:w="4388"/>
      </w:tblGrid>
      <w:tr>
        <w:trPr>
          <w:tblHeader w:val="on"/>
          <w:cantSplit/>
        </w:trPr>
        <w:tc>
          <w:tcPr>
            <w:shd w:val="clear" w:color="auto" w:fill="1B3A6B"/>
            <w:tcW w:w="2880" w:type="dxa"/>
          </w:tcPr>
          <w:p>
            <w:pPr>
              <w:pStyle w:val="Compact"/>
              <w:jc w:val="left"/>
            </w:pPr>
            <w:r>
              <w:rPr>
                <w:b/>
                <w:color w:val="FFFFFF"/>
                <w:sz w:val="16"/>
              </w:rPr>
              <w:t xml:space="preserve">Commitment</w:t>
            </w:r>
          </w:p>
        </w:tc>
        <w:tc>
          <w:tcPr>
            <w:shd w:val="clear" w:color="auto" w:fill="1B3A6B"/>
            <w:tcW w:w="2880" w:type="dxa"/>
          </w:tcPr>
          <w:p>
            <w:pPr>
              <w:pStyle w:val="Compact"/>
              <w:jc w:val="left"/>
            </w:pPr>
            <w:r>
              <w:rPr>
                <w:b/>
                <w:color w:val="FFFFFF"/>
                <w:sz w:val="16"/>
              </w:rPr>
              <w:t xml:space="preserve">Operational Requirement</w:t>
            </w:r>
          </w:p>
        </w:tc>
        <w:tc>
          <w:tcPr>
            <w:shd w:val="clear" w:color="auto" w:fill="1B3A6B"/>
            <w:tcW w:w="432" w:type="dxa"/>
          </w:tcPr>
          <w:p>
            <w:pPr>
              <w:pStyle w:val="Compact"/>
              <w:jc w:val="left"/>
            </w:pPr>
            <w:r>
              <w:rPr>
                <w:b/>
                <w:color w:val="FFFFFF"/>
                <w:sz w:val="16"/>
              </w:rPr>
              <w:t xml:space="preserve">Timeline</w:t>
            </w:r>
          </w:p>
        </w:tc>
        <w:tc>
          <w:tcPr>
            <w:shd w:val="clear" w:color="auto" w:fill="1B3A6B"/>
            <w:tcW w:w="2880" w:type="dxa"/>
          </w:tcPr>
          <w:p>
            <w:pPr>
              <w:pStyle w:val="Compact"/>
              <w:jc w:val="left"/>
            </w:pPr>
            <w:r>
              <w:rPr>
                <w:b/>
                <w:color w:val="FFFFFF"/>
                <w:sz w:val="16"/>
              </w:rPr>
              <w:t xml:space="preserve">Primary Vehicle</w:t>
            </w:r>
          </w:p>
        </w:tc>
      </w:tr>
      <w:tr>
        <w:trPr>
          <w:cantSplit/>
        </w:trPr>
        <w:tc>
          <w:tcPr>
            <w:tcW w:w="2880" w:type="dxa"/>
          </w:tcPr>
          <w:p>
            <w:pPr>
              <w:pStyle w:val="Compact"/>
              <w:jc w:val="left"/>
            </w:pPr>
            <w:r>
              <w:rPr>
                <w:sz w:val="16"/>
              </w:rPr>
              <w:t xml:space="preserve">PCMH transformation support for all Vermont primary care practices</w:t>
            </w:r>
          </w:p>
        </w:tc>
        <w:tc>
          <w:tcPr>
            <w:tcW w:w="2880" w:type="dxa"/>
          </w:tcPr>
          <w:p>
            <w:pPr>
              <w:pStyle w:val="Compact"/>
              <w:jc w:val="left"/>
            </w:pPr>
            <w:r>
              <w:rPr>
                <w:sz w:val="16"/>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Blueprint program; DVHA; AHEAD implementation team</w:t>
            </w:r>
          </w:p>
        </w:tc>
      </w:tr>
      <w:tr>
        <w:trPr>
          <w:cantSplit/>
        </w:trPr>
        <w:tc>
          <w:tcPr>
            <w:tcW w:w="2880" w:type="dxa"/>
          </w:tcPr>
          <w:p>
            <w:pPr>
              <w:pStyle w:val="Compact"/>
              <w:jc w:val="left"/>
            </w:pPr>
            <w:r>
              <w:rPr>
                <w:sz w:val="16"/>
              </w:rPr>
              <w:t xml:space="preserve">CoCM deployment at every PCMH practice</w:t>
            </w:r>
          </w:p>
        </w:tc>
        <w:tc>
          <w:tcPr>
            <w:tcW w:w="2880" w:type="dxa"/>
          </w:tcPr>
          <w:p>
            <w:pPr>
              <w:pStyle w:val="Compact"/>
              <w:jc w:val="left"/>
            </w:pPr>
            <w:r>
              <w:rPr>
                <w:sz w:val="16"/>
              </w:rPr>
              <w:t xml:space="preserve">BHCM workforce training funded; telepsychiatry consultation network established; CoCM billing infrastructure in place at all Blueprint practices</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MHI permanent funding through AHEAD EAST Fund; RHT Program; CCBHC partnerships</w:t>
            </w:r>
          </w:p>
        </w:tc>
      </w:tr>
      <w:tr>
        <w:trPr>
          <w:cantSplit/>
        </w:trPr>
        <w:tc>
          <w:tcPr>
            <w:tcW w:w="2880" w:type="dxa"/>
          </w:tcPr>
          <w:p>
            <w:pPr>
              <w:pStyle w:val="Compact"/>
              <w:jc w:val="left"/>
            </w:pPr>
            <w:r>
              <w:rPr>
                <w:sz w:val="16"/>
              </w:rPr>
              <w:t xml:space="preserve">Structured data capture standards across all Vermont primary care</w:t>
            </w:r>
          </w:p>
        </w:tc>
        <w:tc>
          <w:tcPr>
            <w:tcW w:w="2880" w:type="dxa"/>
          </w:tcPr>
          <w:p>
            <w:pPr>
              <w:pStyle w:val="Compact"/>
              <w:jc w:val="left"/>
            </w:pPr>
            <w:r>
              <w:rPr>
                <w:sz w:val="16"/>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data infrastructure; GMCB analytics vendor; VITL</w:t>
            </w:r>
          </w:p>
        </w:tc>
      </w:tr>
      <w:tr>
        <w:trPr>
          <w:cantSplit/>
        </w:trPr>
        <w:tc>
          <w:tcPr>
            <w:tcW w:w="2880" w:type="dxa"/>
          </w:tcPr>
          <w:p>
            <w:pPr>
              <w:pStyle w:val="Compact"/>
              <w:jc w:val="left"/>
            </w:pPr>
            <w:r>
              <w:rPr>
                <w:sz w:val="16"/>
              </w:rPr>
              <w:t xml:space="preserve">Care transition protocols at all Vermont hospitals for Blueprint-attributed patients</w:t>
            </w:r>
          </w:p>
        </w:tc>
        <w:tc>
          <w:tcPr>
            <w:tcW w:w="2880" w:type="dxa"/>
          </w:tcPr>
          <w:p>
            <w:pPr>
              <w:pStyle w:val="Compact"/>
              <w:jc w:val="left"/>
            </w:pPr>
            <w:r>
              <w:rPr>
                <w:sz w:val="16"/>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CHT model; VITL infrastructure; DVHA quality targets</w:t>
            </w:r>
          </w:p>
        </w:tc>
      </w:tr>
      <w:tr>
        <w:trPr>
          <w:cantSplit/>
        </w:trPr>
        <w:tc>
          <w:tcPr>
            <w:tcW w:w="2880" w:type="dxa"/>
          </w:tcPr>
          <w:p>
            <w:pPr>
              <w:pStyle w:val="Compact"/>
              <w:jc w:val="left"/>
            </w:pPr>
            <w:r>
              <w:rPr>
                <w:sz w:val="16"/>
              </w:rPr>
              <w:t xml:space="preserve">Clinical leader engagement in AHEAD governance and Statewide Strategic Plan development</w:t>
            </w:r>
          </w:p>
        </w:tc>
        <w:tc>
          <w:tcPr>
            <w:tcW w:w="2880" w:type="dxa"/>
          </w:tcPr>
          <w:p>
            <w:pPr>
              <w:pStyle w:val="Compact"/>
              <w:jc w:val="left"/>
            </w:pPr>
            <w:r>
              <w:rPr>
                <w:sz w:val="16"/>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9.9  </w:t>
      </w:r>
      <w:bookmarkStart w:id="1262" w:name="_Toc1261"/>
      <w:r>
        <w:rPr>
          <w:b/>
          <w:bCs/>
          <w:color w:val="161B22"/>
        </w:rPr>
        <w:t xml:space="preserve">Clinical Pillar Implementation Matrix</w:t>
      </w:r>
      <w:bookmarkEnd w:id="1262"/>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791"/>
        <w:gridCol w:w="1488"/>
        <w:gridCol w:w="790"/>
        <w:gridCol w:w="1209"/>
        <w:gridCol w:w="2791"/>
      </w:tblGrid>
      <w:tr>
        <w:trPr>
          <w:tblHeader w:val="on"/>
          <w:cantSplit/>
        </w:trPr>
        <w:tc>
          <w:tcPr>
            <w:shd w:val="clear" w:color="auto" w:fill="1B3A6B"/>
            <w:tcW w:w="2791" w:type="dxa"/>
          </w:tcPr>
          <w:p>
            <w:pPr>
              <w:pStyle w:val="Compact"/>
              <w:jc w:val="left"/>
            </w:pPr>
            <w:r>
              <w:rPr>
                <w:b/>
                <w:color w:val="FFFFFF"/>
                <w:sz w:val="18"/>
              </w:rPr>
              <w:t xml:space="preserve">Investment</w:t>
            </w:r>
          </w:p>
        </w:tc>
        <w:tc>
          <w:tcPr>
            <w:shd w:val="clear" w:color="auto" w:fill="1B3A6B"/>
            <w:tcW w:w="1488" w:type="dxa"/>
          </w:tcPr>
          <w:p>
            <w:pPr>
              <w:pStyle w:val="Compact"/>
              <w:jc w:val="left"/>
            </w:pPr>
            <w:r>
              <w:rPr>
                <w:b/>
                <w:color w:val="FFFFFF"/>
                <w:sz w:val="18"/>
              </w:rPr>
              <w:t xml:space="preserve">Estimated cost</w:t>
            </w:r>
          </w:p>
        </w:tc>
        <w:tc>
          <w:tcPr>
            <w:shd w:val="clear" w:color="auto" w:fill="1B3A6B"/>
            <w:tcW w:w="790" w:type="dxa"/>
          </w:tcPr>
          <w:p>
            <w:pPr>
              <w:pStyle w:val="Compact"/>
              <w:jc w:val="left"/>
            </w:pPr>
            <w:r>
              <w:rPr>
                <w:b/>
                <w:color w:val="FFFFFF"/>
                <w:sz w:val="18"/>
              </w:rPr>
              <w:t xml:space="preserve">Timeline to value</w:t>
            </w:r>
          </w:p>
        </w:tc>
        <w:tc>
          <w:tcPr>
            <w:shd w:val="clear" w:color="auto" w:fill="1B3A6B"/>
            <w:tcW w:w="1209" w:type="dxa"/>
          </w:tcPr>
          <w:p>
            <w:pPr>
              <w:pStyle w:val="Compact"/>
              <w:jc w:val="left"/>
            </w:pPr>
            <w:r>
              <w:rPr>
                <w:b/>
                <w:color w:val="FFFFFF"/>
                <w:sz w:val="18"/>
              </w:rPr>
              <w:t xml:space="preserve">ROI crossover</w:t>
            </w:r>
          </w:p>
        </w:tc>
        <w:tc>
          <w:tcPr>
            <w:shd w:val="clear" w:color="auto" w:fill="1B3A6B"/>
            <w:tcW w:w="2791" w:type="dxa"/>
          </w:tcPr>
          <w:p>
            <w:pPr>
              <w:pStyle w:val="Compact"/>
              <w:jc w:val="left"/>
            </w:pPr>
            <w:r>
              <w:rPr>
                <w:b/>
                <w:color w:val="FFFFFF"/>
                <w:sz w:val="18"/>
              </w:rPr>
              <w:t xml:space="preserve">Vermont benchmark</w:t>
            </w:r>
          </w:p>
        </w:tc>
      </w:tr>
      <w:tr>
        <w:trPr>
          <w:cantSplit/>
        </w:trPr>
        <w:tc>
          <w:tcPr>
            <w:tcW w:w="2791" w:type="dxa"/>
          </w:tcPr>
          <w:p>
            <w:pPr>
              <w:pStyle w:val="Compact"/>
              <w:jc w:val="left"/>
            </w:pPr>
            <w:r>
              <w:rPr>
                <w:sz w:val="18"/>
              </w:rPr>
              <w:t xml:space="preserve">Blueprint PCMH transformation (NCQA recognition)</w:t>
            </w:r>
          </w:p>
        </w:tc>
        <w:tc>
          <w:tcPr>
            <w:tcW w:w="1488" w:type="dxa"/>
          </w:tcPr>
          <w:p>
            <w:pPr>
              <w:pStyle w:val="Compact"/>
              <w:jc w:val="left"/>
            </w:pPr>
            <w:r>
              <w:rPr>
                <w:sz w:val="18"/>
              </w:rPr>
              <w:t xml:space="preserve">$25K-$75K per practice</w:t>
            </w:r>
          </w:p>
        </w:tc>
        <w:tc>
          <w:tcPr>
            <w:tcW w:w="790" w:type="dxa"/>
          </w:tcPr>
          <w:p>
            <w:pPr>
              <w:pStyle w:val="Compact"/>
              <w:jc w:val="left"/>
            </w:pPr>
            <w:r>
              <w:rPr>
                <w:sz w:val="18"/>
              </w:rPr>
              <w:t xml:space="preserve">12-18 months</w:t>
            </w:r>
          </w:p>
        </w:tc>
        <w:tc>
          <w:tcPr>
            <w:tcW w:w="1209" w:type="dxa"/>
          </w:tcPr>
          <w:p>
            <w:pPr>
              <w:pStyle w:val="Compact"/>
              <w:jc w:val="left"/>
            </w:pPr>
            <w:r>
              <w:rPr>
                <w:sz w:val="18"/>
              </w:rPr>
              <w:t xml:space="preserve">18-24 months</w:t>
            </w:r>
          </w:p>
        </w:tc>
        <w:tc>
          <w:tcPr>
            <w:tcW w:w="2791" w:type="dxa"/>
          </w:tcPr>
          <w:p>
            <w:pPr>
              <w:pStyle w:val="Compact"/>
              <w:jc w:val="left"/>
            </w:pPr>
            <w:r>
              <w:rPr>
                <w:sz w:val="18"/>
              </w:rPr>
              <w:t xml:space="preserve">5.8:1 ROI documented; $5.8M reduced expenditure per $1M PCMH investment</w:t>
            </w:r>
          </w:p>
        </w:tc>
      </w:tr>
      <w:tr>
        <w:trPr>
          <w:cantSplit/>
        </w:trPr>
        <w:tc>
          <w:tcPr>
            <w:tcW w:w="2791" w:type="dxa"/>
          </w:tcPr>
          <w:p>
            <w:pPr>
              <w:pStyle w:val="Compact"/>
              <w:jc w:val="left"/>
            </w:pPr>
            <w:r>
              <w:rPr>
                <w:sz w:val="18"/>
              </w:rPr>
              <w:t xml:space="preserve">CoCM deployment (BHCM + telepsychiatry)</w:t>
            </w:r>
          </w:p>
        </w:tc>
        <w:tc>
          <w:tcPr>
            <w:tcW w:w="1488" w:type="dxa"/>
          </w:tcPr>
          <w:p>
            <w:pPr>
              <w:pStyle w:val="Compact"/>
              <w:jc w:val="left"/>
            </w:pPr>
            <w:r>
              <w:rPr>
                <w:sz w:val="18"/>
              </w:rPr>
              <w:t xml:space="preserve">$80K-$150K annually per practice</w:t>
            </w:r>
          </w:p>
        </w:tc>
        <w:tc>
          <w:tcPr>
            <w:tcW w:w="790" w:type="dxa"/>
          </w:tcPr>
          <w:p>
            <w:pPr>
              <w:pStyle w:val="Compact"/>
              <w:jc w:val="left"/>
            </w:pPr>
            <w:r>
              <w:rPr>
                <w:sz w:val="18"/>
              </w:rPr>
              <w:t xml:space="preserve">3-6 months setup</w:t>
            </w:r>
          </w:p>
        </w:tc>
        <w:tc>
          <w:tcPr>
            <w:tcW w:w="1209" w:type="dxa"/>
          </w:tcPr>
          <w:p>
            <w:pPr>
              <w:pStyle w:val="Compact"/>
              <w:jc w:val="left"/>
            </w:pPr>
            <w:r>
              <w:rPr>
                <w:sz w:val="18"/>
              </w:rPr>
              <w:t xml:space="preserve">12-18 months</w:t>
            </w:r>
          </w:p>
        </w:tc>
        <w:tc>
          <w:tcPr>
            <w:tcW w:w="2791" w:type="dxa"/>
          </w:tcPr>
          <w:p>
            <w:pPr>
              <w:pStyle w:val="Compact"/>
              <w:jc w:val="left"/>
            </w:pPr>
            <w:r>
              <w:rPr>
                <w:sz w:val="18"/>
              </w:rPr>
              <w:t xml:space="preserve">Vermont MHI pilot: PHQ-9 improvement; CHT staff as natural BHCM pool</w:t>
            </w:r>
          </w:p>
        </w:tc>
      </w:tr>
      <w:tr>
        <w:trPr>
          <w:cantSplit/>
        </w:trPr>
        <w:tc>
          <w:tcPr>
            <w:tcW w:w="2791" w:type="dxa"/>
          </w:tcPr>
          <w:p>
            <w:pPr>
              <w:pStyle w:val="Compact"/>
              <w:jc w:val="left"/>
            </w:pPr>
            <w:r>
              <w:rPr>
                <w:sz w:val="18"/>
              </w:rPr>
              <w:t xml:space="preserve">CCBHC certification</w:t>
            </w:r>
          </w:p>
        </w:tc>
        <w:tc>
          <w:tcPr>
            <w:tcW w:w="1488" w:type="dxa"/>
          </w:tcPr>
          <w:p>
            <w:pPr>
              <w:pStyle w:val="Compact"/>
              <w:jc w:val="left"/>
            </w:pPr>
            <w:r>
              <w:rPr>
                <w:sz w:val="18"/>
              </w:rPr>
              <w:t xml:space="preserve">$500K-$2M annually per entity</w:t>
            </w:r>
          </w:p>
        </w:tc>
        <w:tc>
          <w:tcPr>
            <w:tcW w:w="790" w:type="dxa"/>
          </w:tcPr>
          <w:p>
            <w:pPr>
              <w:pStyle w:val="Compact"/>
              <w:jc w:val="left"/>
            </w:pPr>
            <w:r>
              <w:rPr>
                <w:sz w:val="18"/>
              </w:rPr>
              <w:t xml:space="preserve">18-36 months</w:t>
            </w:r>
          </w:p>
        </w:tc>
        <w:tc>
          <w:tcPr>
            <w:tcW w:w="1209" w:type="dxa"/>
          </w:tcPr>
          <w:p>
            <w:pPr>
              <w:pStyle w:val="Compact"/>
              <w:jc w:val="left"/>
            </w:pPr>
            <w:r>
              <w:rPr>
                <w:sz w:val="18"/>
              </w:rPr>
              <w:t xml:space="preserve">24-48 months</w:t>
            </w:r>
          </w:p>
        </w:tc>
        <w:tc>
          <w:tcPr>
            <w:tcW w:w="2791" w:type="dxa"/>
          </w:tcPr>
          <w:p>
            <w:pPr>
              <w:pStyle w:val="Compact"/>
              <w:jc w:val="left"/>
            </w:pPr>
            <w:r>
              <w:rPr>
                <w:sz w:val="18"/>
              </w:rPr>
              <w:t xml:space="preserve">Vermont: 5 planned CCBHCs; enhanced Medicaid FMAP funding for 8 years</w:t>
            </w:r>
          </w:p>
        </w:tc>
      </w:tr>
      <w:tr>
        <w:trPr>
          <w:cantSplit/>
        </w:trPr>
        <w:tc>
          <w:tcPr>
            <w:tcW w:w="2791" w:type="dxa"/>
          </w:tcPr>
          <w:p>
            <w:pPr>
              <w:pStyle w:val="Compact"/>
              <w:jc w:val="left"/>
            </w:pPr>
            <w:r>
              <w:rPr>
                <w:sz w:val="18"/>
              </w:rPr>
              <w:t xml:space="preserve">Panel risk stratification and care management</w:t>
            </w:r>
          </w:p>
        </w:tc>
        <w:tc>
          <w:tcPr>
            <w:tcW w:w="1488" w:type="dxa"/>
          </w:tcPr>
          <w:p>
            <w:pPr>
              <w:pStyle w:val="Compact"/>
              <w:jc w:val="left"/>
            </w:pPr>
            <w:r>
              <w:rPr>
                <w:sz w:val="18"/>
              </w:rPr>
              <w:t xml:space="preserve">$40K-$100K annually</w:t>
            </w:r>
          </w:p>
        </w:tc>
        <w:tc>
          <w:tcPr>
            <w:tcW w:w="790" w:type="dxa"/>
          </w:tcPr>
          <w:p>
            <w:pPr>
              <w:pStyle w:val="Compact"/>
              <w:jc w:val="left"/>
            </w:pPr>
            <w:r>
              <w:rPr>
                <w:sz w:val="18"/>
              </w:rPr>
              <w:t xml:space="preserve">3-6 months</w:t>
            </w:r>
          </w:p>
        </w:tc>
        <w:tc>
          <w:tcPr>
            <w:tcW w:w="1209" w:type="dxa"/>
          </w:tcPr>
          <w:p>
            <w:pPr>
              <w:pStyle w:val="Compact"/>
              <w:jc w:val="left"/>
            </w:pPr>
            <w:r>
              <w:rPr>
                <w:sz w:val="18"/>
              </w:rPr>
              <w:t xml:space="preserve">12 months</w:t>
            </w:r>
          </w:p>
        </w:tc>
        <w:tc>
          <w:tcPr>
            <w:tcW w:w="2791" w:type="dxa"/>
          </w:tcPr>
          <w:p>
            <w:pPr>
              <w:pStyle w:val="Compact"/>
              <w:jc w:val="left"/>
            </w:pPr>
            <w:r>
              <w:rPr>
                <w:sz w:val="18"/>
              </w:rPr>
              <w:t xml:space="preserve">Blueprint: Tier 1 (3-5% of panel) = 30-40% of total cost of care</w:t>
            </w:r>
          </w:p>
        </w:tc>
      </w:tr>
      <w:tr>
        <w:trPr>
          <w:cantSplit/>
        </w:trPr>
        <w:tc>
          <w:tcPr>
            <w:tcW w:w="2791" w:type="dxa"/>
          </w:tcPr>
          <w:p>
            <w:pPr>
              <w:pStyle w:val="Compact"/>
              <w:jc w:val="left"/>
            </w:pPr>
            <w:r>
              <w:rPr>
                <w:sz w:val="18"/>
              </w:rPr>
              <w:t xml:space="preserve">Care transition protocol (CHT + VITL admission notification)</w:t>
            </w:r>
          </w:p>
        </w:tc>
        <w:tc>
          <w:tcPr>
            <w:tcW w:w="1488" w:type="dxa"/>
          </w:tcPr>
          <w:p>
            <w:pPr>
              <w:pStyle w:val="Compact"/>
              <w:jc w:val="left"/>
            </w:pPr>
            <w:r>
              <w:rPr>
                <w:sz w:val="18"/>
              </w:rPr>
              <w:t xml:space="preserve">$20K-$50K setup</w:t>
            </w:r>
          </w:p>
        </w:tc>
        <w:tc>
          <w:tcPr>
            <w:tcW w:w="790" w:type="dxa"/>
          </w:tcPr>
          <w:p>
            <w:pPr>
              <w:pStyle w:val="Compact"/>
              <w:jc w:val="left"/>
            </w:pPr>
            <w:r>
              <w:rPr>
                <w:sz w:val="18"/>
              </w:rPr>
              <w:t xml:space="preserve">3 months</w:t>
            </w:r>
          </w:p>
        </w:tc>
        <w:tc>
          <w:tcPr>
            <w:tcW w:w="1209" w:type="dxa"/>
          </w:tcPr>
          <w:p>
            <w:pPr>
              <w:pStyle w:val="Compact"/>
              <w:jc w:val="left"/>
            </w:pPr>
            <w:r>
              <w:rPr>
                <w:sz w:val="18"/>
              </w:rPr>
              <w:t xml:space="preserve">6-12 months</w:t>
            </w:r>
          </w:p>
        </w:tc>
        <w:tc>
          <w:tcPr>
            <w:tcW w:w="2791" w:type="dxa"/>
          </w:tcPr>
          <w:p>
            <w:pPr>
              <w:pStyle w:val="Compact"/>
              <w:jc w:val="left"/>
            </w:pPr>
            <w:r>
              <w:rPr>
                <w:sz w:val="18"/>
              </w:rPr>
              <w:t xml:space="preserve">Vermont: 14.8% 30-day readmission; 76% BH follow-up rate — improvement target</w:t>
            </w:r>
          </w:p>
        </w:tc>
      </w:tr>
      <w:tr>
        <w:trPr>
          <w:cantSplit/>
        </w:trPr>
        <w:tc>
          <w:tcPr>
            <w:tcW w:w="2791" w:type="dxa"/>
          </w:tcPr>
          <w:p>
            <w:pPr>
              <w:pStyle w:val="Compact"/>
              <w:jc w:val="left"/>
            </w:pPr>
            <w:r>
              <w:rPr>
                <w:sz w:val="18"/>
              </w:rPr>
              <w:t xml:space="preserve">HCC documentation improvement at clinical level</w:t>
            </w:r>
          </w:p>
        </w:tc>
        <w:tc>
          <w:tcPr>
            <w:tcW w:w="1488" w:type="dxa"/>
          </w:tcPr>
          <w:p>
            <w:pPr>
              <w:pStyle w:val="Compact"/>
              <w:jc w:val="left"/>
            </w:pPr>
            <w:r>
              <w:rPr>
                <w:sz w:val="18"/>
              </w:rPr>
              <w:t xml:space="preserve">$10K-$30K training</w:t>
            </w:r>
          </w:p>
        </w:tc>
        <w:tc>
          <w:tcPr>
            <w:tcW w:w="790" w:type="dxa"/>
          </w:tcPr>
          <w:p>
            <w:pPr>
              <w:pStyle w:val="Compact"/>
              <w:jc w:val="left"/>
            </w:pPr>
            <w:r>
              <w:rPr>
                <w:sz w:val="18"/>
              </w:rPr>
              <w:t xml:space="preserve">1-2 months</w:t>
            </w:r>
          </w:p>
        </w:tc>
        <w:tc>
          <w:tcPr>
            <w:tcW w:w="1209" w:type="dxa"/>
          </w:tcPr>
          <w:p>
            <w:pPr>
              <w:pStyle w:val="Compact"/>
              <w:jc w:val="left"/>
            </w:pPr>
            <w:r>
              <w:rPr>
                <w:sz w:val="18"/>
              </w:rPr>
              <w:t xml:space="preserve">Immediate: Year 1 RAF gain</w:t>
            </w:r>
          </w:p>
        </w:tc>
        <w:tc>
          <w:tcPr>
            <w:tcW w:w="2791" w:type="dxa"/>
          </w:tcPr>
          <w:p>
            <w:pPr>
              <w:pStyle w:val="Compact"/>
              <w:jc w:val="left"/>
            </w:pPr>
            <w:r>
              <w:rPr>
                <w:sz w:val="18"/>
              </w:rPr>
              <w:t xml:space="preserve">CKD staging, DM complications, morbid obesity — most common VT gaps</w:t>
            </w:r>
          </w:p>
        </w:tc>
      </w:tr>
    </w:tbl>
    <w:p>
      <w:pPr>
        <w:pStyle w:val="Heading2"/>
        <w:pBdr>
          <w:top w:val="single" w:sz="6" w:space="10" w:color="C9D2DF"/>
        </w:pBdr>
      </w:pPr>
      <w:r>
        <w:rPr>
          <w:color w:val="161B22"/>
        </w:rPr>
        <w:t xml:space="preserve">9.10  </w:t>
      </w:r>
      <w:bookmarkStart w:id="1263" w:name="_Toc1262"/>
      <w:r>
        <w:rPr>
          <w:b/>
          <w:bCs/>
          <w:color w:val="161B22"/>
        </w:rPr>
        <w:t xml:space="preserve">Work This Chapter on the Platform</w:t>
      </w:r>
      <w:bookmarkEnd w:id="1263"/>
    </w:p>
    <w:p>
      <w:pPr>
        <w:pStyle w:val="FirstParagraph"/>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Optimize HEDIS, Star Ratings, and MIPS performance with payment-adjustment estimates</w:t>
            </w:r>
          </w:p>
        </w:tc>
        <w:tc>
          <w:tcPr>
            <w:tcW w:w="3024"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4" w:type="dxa"/>
          </w:tcPr>
          <w:p>
            <w:pPr>
              <w:pStyle w:val="Compact"/>
              <w:jc w:val="left"/>
            </w:pPr>
            <w:r>
              <w:rPr>
                <w:sz w:val="18"/>
              </w:rPr>
              <w:t xml:space="preserve">The payment consequence of each quality decision under value-based contracts.</w:t>
            </w:r>
          </w:p>
        </w:tc>
      </w:tr>
      <w:tr>
        <w:trPr>
          <w:cantSplit/>
        </w:trPr>
        <w:tc>
          <w:tcPr>
            <w:tcW w:w="3024" w:type="dxa"/>
          </w:tcPr>
          <w:p>
            <w:pPr>
              <w:pStyle w:val="Compact"/>
              <w:jc w:val="left"/>
            </w:pPr>
            <w:r>
              <w:rPr>
                <w:sz w:val="18"/>
              </w:rPr>
              <w:t xml:space="preserve">Separate high-value from low-value care across services</w:t>
            </w:r>
          </w:p>
        </w:tc>
        <w:tc>
          <w:tcPr>
            <w:tcW w:w="3024"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4" w:type="dxa"/>
          </w:tcPr>
          <w:p>
            <w:pPr>
              <w:pStyle w:val="Compact"/>
              <w:jc w:val="left"/>
            </w:pPr>
            <w:r>
              <w:rPr>
                <w:sz w:val="18"/>
              </w:rPr>
              <w:t xml:space="preserve">Where reducing volume improves both margin and outcomes.</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Introduced or Expanded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Bdr>
          <w:top w:val="single" w:sz="4" w:space="8" w:color="B8B8B8"/>
        </w:pBdr>
        <w:spacing w:before="160" w:after="120"/>
      </w:pPr>
      <w:r>
        <w:rPr>
          <w:rFonts w:ascii="Calibri" w:hAnsi="Calibri"/>
          <w:b/>
          <w:bCs/>
          <w:i w:val="0"/>
          <w:color w:val="2E74B5"/>
          <w:sz w:val="20"/>
        </w:rPr>
        <w:t>Sources</w:t>
      </w:r>
    </w:p>
    <w:p>
      <w:pPr>
        <w:pStyle w:val="FirstParagraph"/>
        <w:spacing w:before="160" w:after="120"/>
      </w:pPr>
      <w:r>
        <w:rPr>
          <w:rFonts w:ascii="Calibri" w:hAnsi="Calibri"/>
          <w:color w:val="000000"/>
          <w:sz w:val="18"/>
        </w:rPr>
        <w:t xml:space="preserve">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pPr>
      <w:r>
        <w:rPr>
          <w:color w:val="161B22"/>
        </w:rPr>
        <w:t xml:space="preserve">10.2.1  </w:t>
      </w:r>
      <w:bookmarkStart w:id="1269" w:name="_Toc1268"/>
      <w:r>
        <w:rPr>
          <w:b/>
          <w:bCs/>
          <w:color w:val="161B22"/>
        </w:rPr>
        <w:t xml:space="preserve">Geographic Equity: The Rural-Urban Divide</w:t>
      </w:r>
      <w:bookmarkEnd w:id="1269"/>
    </w:p>
    <w:p>
      <w:pPr>
        <w:pStyle w:val="FirstParagraph"/>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cantSplit/>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pPr>
      <w:r>
        <w:rPr>
          <w:color w:val="161B22"/>
        </w:rPr>
        <w:t xml:space="preserve">10.2.3  </w:t>
      </w:r>
      <w:bookmarkStart w:id="1271" w:name="_Toc1270"/>
      <w:r>
        <w:rPr>
          <w:b/>
          <w:bCs/>
          <w:color w:val="161B22"/>
        </w:rPr>
        <w:t xml:space="preserve">The SDOH Burden</w:t>
      </w:r>
      <w:bookmarkEnd w:id="1271"/>
    </w:p>
    <w:p>
      <w:pPr>
        <w:pStyle w:val="FirstParagraph"/>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autofit"/>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cantSplit/>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cantSplit/>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cantSplit/>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p/>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p/>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p/>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p>
      <w:pPr>
        <w:spacing w:after="120"/>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pPr>
      <w:r>
        <w:t xml:space="preserve">Act 167 and Act 68 equity requirements: Both acts explicitly include reducing health inequities among their statutory goals and required outcome measures.</w:t>
      </w:r>
    </w:p>
    <w:p>
      <w:pPr>
        <w:pStyle w:val="Heading3"/>
      </w:pPr>
      <w:r>
        <w:rPr>
          <w:color w:val="161B22"/>
        </w:rPr>
        <w:t xml:space="preserve">10.6.2  </w:t>
      </w:r>
      <w:bookmarkStart w:id="1281" w:name="_Toc1280"/>
      <w:r>
        <w:rPr>
          <w:b/>
          <w:bCs/>
          <w:color w:val="161B22"/>
        </w:rPr>
        <w:t xml:space="preserve">What Must Be Built</w:t>
      </w:r>
      <w:bookmarkEnd w:id="1281"/>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Gap</w:t>
            </w:r>
          </w:p>
        </w:tc>
        <w:tc>
          <w:tcPr>
            <w:shd w:val="clear" w:color="auto" w:fill="1B3A6B"/>
            <w:tcW w:w="2440" w:type="dxa"/>
          </w:tcPr>
          <w:p>
            <w:pPr>
              <w:pStyle w:val="Compact"/>
              <w:jc w:val="left"/>
            </w:pPr>
            <w:r>
              <w:rPr>
                <w:b/>
                <w:color w:val="FFFFFF"/>
                <w:sz w:val="16"/>
              </w:rPr>
              <w:t xml:space="preserve">What is missing</w:t>
            </w:r>
          </w:p>
        </w:tc>
        <w:tc>
          <w:tcPr>
            <w:shd w:val="clear" w:color="auto" w:fill="1B3A6B"/>
            <w:tcW w:w="2440" w:type="dxa"/>
          </w:tcPr>
          <w:p>
            <w:pPr>
              <w:pStyle w:val="Compact"/>
              <w:jc w:val="left"/>
            </w:pPr>
            <w:r>
              <w:rPr>
                <w:b/>
                <w:color w:val="FFFFFF"/>
                <w:sz w:val="16"/>
              </w:rPr>
              <w:t xml:space="preserve">Required investment</w:t>
            </w:r>
          </w:p>
        </w:tc>
        <w:tc>
          <w:tcPr>
            <w:shd w:val="clear" w:color="auto" w:fill="1B3A6B"/>
            <w:tcW w:w="2440" w:type="dxa"/>
          </w:tcPr>
          <w:p>
            <w:pPr>
              <w:pStyle w:val="Compact"/>
              <w:jc w:val="left"/>
            </w:pPr>
            <w:r>
              <w:rPr>
                <w:b/>
                <w:color w:val="FFFFFF"/>
                <w:sz w:val="16"/>
              </w:rPr>
              <w:t xml:space="preserve">Timeline</w:t>
            </w:r>
          </w:p>
        </w:tc>
      </w:tr>
      <w:tr>
        <w:trPr>
          <w:cantSplit/>
        </w:trPr>
        <w:tc>
          <w:tcPr>
            <w:tcW w:w="1749" w:type="dxa"/>
          </w:tcPr>
          <w:p>
            <w:pPr>
              <w:pStyle w:val="Compact"/>
              <w:jc w:val="left"/>
            </w:pPr>
            <w:r>
              <w:rPr>
                <w:sz w:val="16"/>
              </w:rPr>
              <w:t xml:space="preserve">County-level equity data infrastructure</w:t>
            </w:r>
          </w:p>
        </w:tc>
        <w:tc>
          <w:tcPr>
            <w:tcW w:w="2440" w:type="dxa"/>
          </w:tcPr>
          <w:p>
            <w:pPr>
              <w:pStyle w:val="Compact"/>
              <w:jc w:val="left"/>
            </w:pPr>
            <w:r>
              <w:rPr>
                <w:sz w:val="16"/>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jc w:val="left"/>
            </w:pPr>
            <w:r>
              <w:rPr>
                <w:sz w:val="16"/>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jc w:val="left"/>
            </w:pPr>
            <w:r>
              <w:rPr>
                <w:sz w:val="16"/>
              </w:rPr>
              <w:t xml:space="preserve">2026-2027 (analytics vendor procurement enables this)</w:t>
            </w:r>
          </w:p>
        </w:tc>
      </w:tr>
      <w:tr>
        <w:trPr>
          <w:cantSplit/>
        </w:trPr>
        <w:tc>
          <w:tcPr>
            <w:tcW w:w="1749" w:type="dxa"/>
          </w:tcPr>
          <w:p>
            <w:pPr>
              <w:pStyle w:val="Compact"/>
              <w:jc w:val="left"/>
            </w:pPr>
            <w:r>
              <w:rPr>
                <w:sz w:val="16"/>
              </w:rPr>
              <w:t xml:space="preserve">Culturally competent workforce</w:t>
            </w:r>
          </w:p>
        </w:tc>
        <w:tc>
          <w:tcPr>
            <w:tcW w:w="2440" w:type="dxa"/>
          </w:tcPr>
          <w:p>
            <w:pPr>
              <w:pStyle w:val="Compact"/>
              <w:jc w:val="left"/>
            </w:pPr>
            <w:r>
              <w:rPr>
                <w:sz w:val="16"/>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jc w:val="left"/>
            </w:pPr>
            <w:r>
              <w:rPr>
                <w:sz w:val="16"/>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jc w:val="left"/>
            </w:pPr>
            <w:r>
              <w:rPr>
                <w:sz w:val="16"/>
              </w:rPr>
              <w:t xml:space="preserve">Ongoing; RHT workforce investments provide vehicle</w:t>
            </w:r>
          </w:p>
        </w:tc>
      </w:tr>
      <w:tr>
        <w:trPr>
          <w:cantSplit/>
        </w:trPr>
        <w:tc>
          <w:tcPr>
            <w:tcW w:w="1749" w:type="dxa"/>
          </w:tcPr>
          <w:p>
            <w:pPr>
              <w:pStyle w:val="Compact"/>
              <w:jc w:val="left"/>
            </w:pPr>
            <w:r>
              <w:rPr>
                <w:sz w:val="16"/>
              </w:rPr>
              <w:t xml:space="preserve">GLP-1 Medicaid coverage decision</w:t>
            </w:r>
          </w:p>
        </w:tc>
        <w:tc>
          <w:tcPr>
            <w:tcW w:w="2440" w:type="dxa"/>
          </w:tcPr>
          <w:p>
            <w:pPr>
              <w:pStyle w:val="Compact"/>
              <w:jc w:val="left"/>
            </w:pPr>
            <w:r>
              <w:rPr>
                <w:sz w:val="16"/>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jc w:val="left"/>
            </w:pPr>
            <w:r>
              <w:rPr>
                <w:sz w:val="16"/>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jc w:val="left"/>
            </w:pPr>
            <w:r>
              <w:rPr>
                <w:sz w:val="16"/>
              </w:rPr>
              <w:t xml:space="preserve">Decision needed by January 2026 (BALANCE opt-in deadline); coverage effective May 2026 if Vermont participates</w:t>
            </w:r>
          </w:p>
        </w:tc>
      </w:tr>
      <w:tr>
        <w:trPr>
          <w:cantSplit/>
        </w:trPr>
        <w:tc>
          <w:tcPr>
            <w:tcW w:w="1749" w:type="dxa"/>
          </w:tcPr>
          <w:p>
            <w:pPr>
              <w:pStyle w:val="Compact"/>
              <w:jc w:val="left"/>
            </w:pPr>
            <w:r>
              <w:rPr>
                <w:sz w:val="16"/>
              </w:rPr>
              <w:t xml:space="preserve">Northeast Kingdom service resilience</w:t>
            </w:r>
          </w:p>
        </w:tc>
        <w:tc>
          <w:tcPr>
            <w:tcW w:w="2440" w:type="dxa"/>
          </w:tcPr>
          <w:p>
            <w:pPr>
              <w:pStyle w:val="Compact"/>
              <w:jc w:val="left"/>
            </w:pPr>
            <w:r>
              <w:rPr>
                <w:sz w:val="16"/>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jc w:val="left"/>
            </w:pPr>
            <w:r>
              <w:rPr>
                <w:sz w:val="16"/>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jc w:val="left"/>
            </w:pPr>
            <w:r>
              <w:rPr>
                <w:sz w:val="16"/>
              </w:rPr>
              <w:t xml:space="preserve">2026 (CCBHC designation); 2027-2028 (EMS regionalization; telehealth); hospital transition decisions by 2028 Strategic Plan</w:t>
            </w:r>
          </w:p>
        </w:tc>
      </w:tr>
      <w:tr>
        <w:trPr>
          <w:cantSplit/>
        </w:trPr>
        <w:tc>
          <w:tcPr>
            <w:tcW w:w="1749" w:type="dxa"/>
          </w:tcPr>
          <w:p>
            <w:pPr>
              <w:pStyle w:val="Compact"/>
              <w:jc w:val="left"/>
            </w:pPr>
            <w:r>
              <w:rPr>
                <w:sz w:val="16"/>
              </w:rPr>
              <w:t xml:space="preserve">Trust-building with underserved communities</w:t>
            </w:r>
          </w:p>
        </w:tc>
        <w:tc>
          <w:tcPr>
            <w:tcW w:w="2440" w:type="dxa"/>
          </w:tcPr>
          <w:p>
            <w:pPr>
              <w:pStyle w:val="Compact"/>
              <w:jc w:val="left"/>
            </w:pPr>
            <w:r>
              <w:rPr>
                <w:sz w:val="16"/>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jc w:val="left"/>
            </w:pPr>
            <w:r>
              <w:rPr>
                <w:sz w:val="16"/>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jc w:val="left"/>
            </w:pPr>
            <w:r>
              <w:rPr>
                <w:sz w:val="16"/>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autofit"/>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cantSplit/>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cantSplit/>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cantSplit/>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cantSplit/>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autofit"/>
      </w:tblPr>
      <w:tblGrid>
        <w:gridCol w:w="1979"/>
        <w:gridCol w:w="2226"/>
        <w:gridCol w:w="2474"/>
        <w:gridCol w:w="2391"/>
      </w:tblGrid>
      <w:tr>
        <w:trPr>
          <w:tblHeader w:val="on"/>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pPr>
      <w:r>
        <w:rPr>
          <w:color w:val="161B22"/>
        </w:rPr>
        <w:t xml:space="preserve">10.9  </w:t>
      </w:r>
      <w:bookmarkStart w:id="1284" w:name="_Toc1283"/>
      <w:r>
        <w:rPr>
          <w:b/>
          <w:bCs/>
          <w:color w:val="161B22"/>
        </w:rPr>
        <w:t xml:space="preserve">Work This Chapter on the Platform</w:t>
      </w:r>
      <w:bookmarkEnd w:id="1284"/>
    </w:p>
    <w:p>
      <w:pPr>
        <w:pStyle w:val="FirstParagraph"/>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Compute the HEROI composite across access, quality, outcome, SDOH burden, and trust</w:t>
            </w:r>
          </w:p>
        </w:tc>
        <w:tc>
          <w:tcPr>
            <w:tcW w:w="3024"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4" w:type="dxa"/>
          </w:tcPr>
          <w:p>
            <w:pPr>
              <w:pStyle w:val="Compact"/>
              <w:jc w:val="left"/>
            </w:pPr>
            <w:r>
              <w:rPr>
                <w:sz w:val="18"/>
              </w:rPr>
              <w:t xml:space="preserve">Whether an intervention closes the gap or just raises the average while the gap persists.</w:t>
            </w:r>
          </w:p>
        </w:tc>
      </w:tr>
      <w:tr>
        <w:trPr>
          <w:cantSplit/>
        </w:trPr>
        <w:tc>
          <w:tcPr>
            <w:tcW w:w="3024" w:type="dxa"/>
          </w:tcPr>
          <w:p>
            <w:pPr>
              <w:pStyle w:val="Compact"/>
              <w:jc w:val="left"/>
            </w:pPr>
            <w:r>
              <w:rPr>
                <w:sz w:val="18"/>
              </w:rPr>
              <w:t xml:space="preserve">Model disease progression and intervention ROI for a defined cohort</w:t>
            </w:r>
          </w:p>
        </w:tc>
        <w:tc>
          <w:tcPr>
            <w:tcW w:w="3024"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4"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pPr>
      <w:r>
        <w:rPr>
          <w:color w:val="161B22"/>
        </w:rPr>
        <w:t xml:space="preserve">10.13.1  </w:t>
      </w:r>
      <w:bookmarkStart w:id="1289" w:name="_Toc1288"/>
      <w:r>
        <w:rPr>
          <w:b/>
          <w:bCs/>
          <w:color w:val="161B22"/>
        </w:rPr>
        <w:t xml:space="preserve">The NCQA HEDIS Stratification Framework</w:t>
      </w:r>
      <w:bookmarkEnd w:id="1289"/>
    </w:p>
    <w:p>
      <w:pPr>
        <w:pStyle w:val="FirstParagraph"/>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86"/>
        <w:gridCol w:w="3912"/>
        <w:gridCol w:w="3912"/>
        <w:gridCol w:w="3912"/>
      </w:tblGrid>
      <w:tr>
        <w:trPr>
          <w:tblHeader w:val="on"/>
          <w:cantSplit/>
        </w:trPr>
        <w:tc>
          <w:tcPr>
            <w:shd w:val="clear" w:color="auto" w:fill="1B3A6B"/>
            <w:tcW w:w="1369" w:type="dxa"/>
          </w:tcPr>
          <w:p>
            <w:pPr>
              <w:pStyle w:val="Compact"/>
              <w:jc w:val="left"/>
            </w:pPr>
            <w:r>
              <w:rPr>
                <w:b/>
                <w:color w:val="FFFFFF"/>
                <w:sz w:val="16"/>
              </w:rPr>
              <w:t xml:space="preserve">HEDIS domain</w:t>
            </w:r>
          </w:p>
        </w:tc>
        <w:tc>
          <w:tcPr>
            <w:shd w:val="clear" w:color="auto" w:fill="1B3A6B"/>
            <w:tcW w:w="2567" w:type="dxa"/>
          </w:tcPr>
          <w:p>
            <w:pPr>
              <w:pStyle w:val="Compact"/>
              <w:jc w:val="left"/>
            </w:pPr>
            <w:r>
              <w:rPr>
                <w:b/>
                <w:color w:val="FFFFFF"/>
                <w:sz w:val="16"/>
              </w:rPr>
              <w:t xml:space="preserve">Key measures</w:t>
            </w:r>
          </w:p>
        </w:tc>
        <w:tc>
          <w:tcPr>
            <w:shd w:val="clear" w:color="auto" w:fill="1B3A6B"/>
            <w:tcW w:w="2567" w:type="dxa"/>
          </w:tcPr>
          <w:p>
            <w:pPr>
              <w:pStyle w:val="Compact"/>
              <w:jc w:val="left"/>
            </w:pPr>
            <w:r>
              <w:rPr>
                <w:b/>
                <w:color w:val="FFFFFF"/>
                <w:sz w:val="16"/>
              </w:rPr>
              <w:t xml:space="preserve">Vermont equity stratification priority</w:t>
            </w:r>
          </w:p>
        </w:tc>
        <w:tc>
          <w:tcPr>
            <w:shd w:val="clear" w:color="auto" w:fill="1B3A6B"/>
            <w:tcW w:w="2567" w:type="dxa"/>
          </w:tcPr>
          <w:p>
            <w:pPr>
              <w:pStyle w:val="Compact"/>
              <w:jc w:val="left"/>
            </w:pPr>
            <w:r>
              <w:rPr>
                <w:b/>
                <w:color w:val="FFFFFF"/>
                <w:sz w:val="16"/>
              </w:rPr>
              <w:t xml:space="preserve">Current Vermont data source</w:t>
            </w:r>
          </w:p>
        </w:tc>
      </w:tr>
      <w:tr>
        <w:trPr>
          <w:cantSplit/>
        </w:trPr>
        <w:tc>
          <w:tcPr>
            <w:tcW w:w="1369" w:type="dxa"/>
          </w:tcPr>
          <w:p>
            <w:pPr>
              <w:pStyle w:val="Compact"/>
              <w:jc w:val="left"/>
            </w:pPr>
            <w:r>
              <w:rPr>
                <w:sz w:val="16"/>
              </w:rPr>
              <w:t xml:space="preserve">Access and preventive care</w:t>
            </w:r>
          </w:p>
        </w:tc>
        <w:tc>
          <w:tcPr>
            <w:tcW w:w="2567" w:type="dxa"/>
          </w:tcPr>
          <w:p>
            <w:pPr>
              <w:pStyle w:val="Compact"/>
              <w:jc w:val="left"/>
            </w:pPr>
            <w:r>
              <w:rPr>
                <w:sz w:val="16"/>
              </w:rPr>
              <w:t xml:space="preserve">Adult BMI assessment; tobacco use screening and cessation; colorectal cancer screening; breast cancer screening; cervical cancer screening</w:t>
            </w:r>
          </w:p>
        </w:tc>
        <w:tc>
          <w:tcPr>
            <w:tcW w:w="2567" w:type="dxa"/>
          </w:tcPr>
          <w:p>
            <w:pPr>
              <w:pStyle w:val="Compact"/>
              <w:jc w:val="left"/>
            </w:pPr>
            <w:r>
              <w:rPr>
                <w:sz w:val="16"/>
              </w:rPr>
              <w:t xml:space="preserve">Geographic (Northeast Kingdom vs. Burlington); income (Medicaid vs. commercial); race/ethnicity (BIPOC vs. white Vermont adults)</w:t>
            </w:r>
          </w:p>
        </w:tc>
        <w:tc>
          <w:tcPr>
            <w:tcW w:w="2567" w:type="dxa"/>
          </w:tcPr>
          <w:p>
            <w:pPr>
              <w:pStyle w:val="Compact"/>
              <w:jc w:val="left"/>
            </w:pPr>
            <w:r>
              <w:rPr>
                <w:sz w:val="16"/>
              </w:rPr>
              <w:t xml:space="preserve">VHCURES claims; Blueprint clinical registry for PCMH-attributed patients</w:t>
            </w:r>
          </w:p>
        </w:tc>
      </w:tr>
      <w:tr>
        <w:trPr>
          <w:cantSplit/>
        </w:trPr>
        <w:tc>
          <w:tcPr>
            <w:tcW w:w="1369" w:type="dxa"/>
          </w:tcPr>
          <w:p>
            <w:pPr>
              <w:pStyle w:val="Compact"/>
              <w:jc w:val="left"/>
            </w:pPr>
            <w:r>
              <w:rPr>
                <w:sz w:val="16"/>
              </w:rPr>
              <w:t xml:space="preserve">Chronic disease management</w:t>
            </w:r>
          </w:p>
        </w:tc>
        <w:tc>
          <w:tcPr>
            <w:tcW w:w="2567" w:type="dxa"/>
          </w:tcPr>
          <w:p>
            <w:pPr>
              <w:pStyle w:val="Compact"/>
              <w:jc w:val="left"/>
            </w:pPr>
            <w:r>
              <w:rPr>
                <w:sz w:val="16"/>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6"/>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6"/>
              </w:rPr>
              <w:t xml:space="preserve">Blueprint clinical registry (for PCMH-attributed patients); VHCURES pharmacy claims for medication adherence</w:t>
            </w:r>
          </w:p>
        </w:tc>
      </w:tr>
      <w:tr>
        <w:trPr>
          <w:cantSplit/>
        </w:trPr>
        <w:tc>
          <w:tcPr>
            <w:tcW w:w="1369" w:type="dxa"/>
          </w:tcPr>
          <w:p>
            <w:pPr>
              <w:pStyle w:val="Compact"/>
              <w:jc w:val="left"/>
            </w:pPr>
            <w:r>
              <w:rPr>
                <w:sz w:val="16"/>
              </w:rPr>
              <w:t xml:space="preserve">Behavioral health</w:t>
            </w:r>
          </w:p>
        </w:tc>
        <w:tc>
          <w:tcPr>
            <w:tcW w:w="2567" w:type="dxa"/>
          </w:tcPr>
          <w:p>
            <w:pPr>
              <w:pStyle w:val="Compact"/>
              <w:jc w:val="left"/>
            </w:pPr>
            <w:r>
              <w:rPr>
                <w:sz w:val="16"/>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6"/>
              </w:rPr>
              <w:t xml:space="preserve">Geographic (Rutland and Windham counties have statistically higher MH crisis rates); age (15-44); LGBTQ+ Vermonters (documented higher MH burden)</w:t>
            </w:r>
          </w:p>
        </w:tc>
        <w:tc>
          <w:tcPr>
            <w:tcW w:w="2567" w:type="dxa"/>
          </w:tcPr>
          <w:p>
            <w:pPr>
              <w:pStyle w:val="Compact"/>
              <w:jc w:val="left"/>
            </w:pPr>
            <w:r>
              <w:rPr>
                <w:sz w:val="16"/>
              </w:rPr>
              <w:t xml:space="preserve">VHCURES; VDH ED surveillance data; Blueprint follow-up tracking</w:t>
            </w:r>
          </w:p>
        </w:tc>
      </w:tr>
      <w:tr>
        <w:trPr>
          <w:cantSplit/>
        </w:trPr>
        <w:tc>
          <w:tcPr>
            <w:tcW w:w="1369" w:type="dxa"/>
          </w:tcPr>
          <w:p>
            <w:pPr>
              <w:pStyle w:val="Compact"/>
              <w:jc w:val="left"/>
            </w:pPr>
            <w:r>
              <w:rPr>
                <w:sz w:val="16"/>
              </w:rPr>
              <w:t xml:space="preserve">Maternal and reproductive health</w:t>
            </w:r>
          </w:p>
        </w:tc>
        <w:tc>
          <w:tcPr>
            <w:tcW w:w="2567" w:type="dxa"/>
          </w:tcPr>
          <w:p>
            <w:pPr>
              <w:pStyle w:val="Compact"/>
              <w:jc w:val="left"/>
            </w:pPr>
            <w:r>
              <w:rPr>
                <w:sz w:val="16"/>
              </w:rPr>
              <w:t xml:space="preserve">Prenatal and postpartum care; well-child visits; adolescent well-care; prenatal depression screening</w:t>
            </w:r>
          </w:p>
        </w:tc>
        <w:tc>
          <w:tcPr>
            <w:tcW w:w="2567" w:type="dxa"/>
          </w:tcPr>
          <w:p>
            <w:pPr>
              <w:pStyle w:val="Compact"/>
              <w:jc w:val="left"/>
            </w:pPr>
            <w:r>
              <w:rPr>
                <w:sz w:val="16"/>
              </w:rPr>
              <w:t xml:space="preserve">Income; race/ethnicity (BIPOC maternal outcomes nationally and in Vermont below white outcomes); geographic (rural access barriers to OB care)</w:t>
            </w:r>
          </w:p>
        </w:tc>
        <w:tc>
          <w:tcPr>
            <w:tcW w:w="2567" w:type="dxa"/>
          </w:tcPr>
          <w:p>
            <w:pPr>
              <w:pStyle w:val="Compact"/>
              <w:jc w:val="left"/>
            </w:pPr>
            <w:r>
              <w:rPr>
                <w:sz w:val="16"/>
              </w:rPr>
              <w:t xml:space="preserve">VHCURES; Blueprint Women’s Health Initiative data</w:t>
            </w:r>
          </w:p>
        </w:tc>
      </w:tr>
      <w:tr>
        <w:trPr>
          <w:cantSplit/>
        </w:trPr>
        <w:tc>
          <w:tcPr>
            <w:tcW w:w="1369" w:type="dxa"/>
          </w:tcPr>
          <w:p>
            <w:pPr>
              <w:pStyle w:val="Compact"/>
              <w:jc w:val="left"/>
            </w:pPr>
            <w:r>
              <w:rPr>
                <w:sz w:val="16"/>
              </w:rPr>
              <w:t xml:space="preserve">Care coordination</w:t>
            </w:r>
          </w:p>
        </w:tc>
        <w:tc>
          <w:tcPr>
            <w:tcW w:w="2567" w:type="dxa"/>
          </w:tcPr>
          <w:p>
            <w:pPr>
              <w:pStyle w:val="Compact"/>
              <w:jc w:val="left"/>
            </w:pPr>
            <w:r>
              <w:rPr>
                <w:sz w:val="16"/>
              </w:rPr>
              <w:t xml:space="preserve">30-day readmission rate; transitions of care; medication reconciliation post-discharge</w:t>
            </w:r>
          </w:p>
        </w:tc>
        <w:tc>
          <w:tcPr>
            <w:tcW w:w="2567" w:type="dxa"/>
          </w:tcPr>
          <w:p>
            <w:pPr>
              <w:pStyle w:val="Compact"/>
              <w:jc w:val="left"/>
            </w:pPr>
            <w:r>
              <w:rPr>
                <w:sz w:val="16"/>
              </w:rPr>
              <w:t xml:space="preserve">Income (Medicaid patients have higher readmission rates nationally); geographic (distance from discharge follow-up resources)</w:t>
            </w:r>
          </w:p>
        </w:tc>
        <w:tc>
          <w:tcPr>
            <w:tcW w:w="2567" w:type="dxa"/>
          </w:tcPr>
          <w:p>
            <w:pPr>
              <w:pStyle w:val="Compact"/>
              <w:jc w:val="left"/>
            </w:pPr>
            <w:r>
              <w:rPr>
                <w:sz w:val="16"/>
              </w:rPr>
              <w:t xml:space="preserve">VHCURES; GMCB hospital discharge data (VUHDDS)</w:t>
            </w:r>
          </w:p>
        </w:tc>
      </w:tr>
    </w:tbl>
    <w:p>
      <w:pPr>
        <w:pStyle w:val="Caption"/>
      </w:pPr>
      <w:r>
        <w:rPr>
          <w:i/>
          <w:iCs/>
        </w:rPr>
        <w:t xml:space="preserve">Table 10.1 — HEDIS domains and Vermont equity stratification measures. Source: NCQA; Vermont Blueprint.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10.14  </w:t>
      </w:r>
      <w:bookmarkStart w:id="1290" w:name="_Toc1289"/>
      <w:r>
        <w:rPr>
          <w:b/>
          <w:bCs/>
          <w:color w:val="161B22"/>
        </w:rPr>
        <w:t xml:space="preserve">Equity Pillar Implementation Matrix</w:t>
      </w:r>
      <w:bookmarkEnd w:id="1290"/>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474"/>
        <w:gridCol w:w="1212"/>
        <w:gridCol w:w="824"/>
        <w:gridCol w:w="1649"/>
        <w:gridCol w:w="2910"/>
      </w:tblGrid>
      <w:tr>
        <w:trPr>
          <w:tblHeader w:val="on"/>
          <w:cantSplit/>
        </w:trPr>
        <w:tc>
          <w:tcPr>
            <w:shd w:val="clear" w:color="auto" w:fill="1B3A6B"/>
            <w:tcW w:w="2474" w:type="dxa"/>
          </w:tcPr>
          <w:p>
            <w:pPr>
              <w:pStyle w:val="Compact"/>
              <w:jc w:val="left"/>
            </w:pPr>
            <w:r>
              <w:rPr>
                <w:b/>
                <w:color w:val="FFFFFF"/>
                <w:sz w:val="18"/>
              </w:rPr>
              <w:t xml:space="preserve">Investment</w:t>
            </w:r>
          </w:p>
        </w:tc>
        <w:tc>
          <w:tcPr>
            <w:shd w:val="clear" w:color="auto" w:fill="1B3A6B"/>
            <w:tcW w:w="1212" w:type="dxa"/>
          </w:tcPr>
          <w:p>
            <w:pPr>
              <w:pStyle w:val="Compact"/>
              <w:jc w:val="left"/>
            </w:pPr>
            <w:r>
              <w:rPr>
                <w:b/>
                <w:color w:val="FFFFFF"/>
                <w:sz w:val="18"/>
              </w:rPr>
              <w:t xml:space="preserve">Estimated cost</w:t>
            </w:r>
          </w:p>
        </w:tc>
        <w:tc>
          <w:tcPr>
            <w:shd w:val="clear" w:color="auto" w:fill="1B3A6B"/>
            <w:tcW w:w="824" w:type="dxa"/>
          </w:tcPr>
          <w:p>
            <w:pPr>
              <w:pStyle w:val="Compact"/>
              <w:jc w:val="left"/>
            </w:pPr>
            <w:r>
              <w:rPr>
                <w:b/>
                <w:color w:val="FFFFFF"/>
                <w:sz w:val="18"/>
              </w:rPr>
              <w:t xml:space="preserve">Timeline to value</w:t>
            </w:r>
          </w:p>
        </w:tc>
        <w:tc>
          <w:tcPr>
            <w:shd w:val="clear" w:color="auto" w:fill="1B3A6B"/>
            <w:tcW w:w="1649" w:type="dxa"/>
          </w:tcPr>
          <w:p>
            <w:pPr>
              <w:pStyle w:val="Compact"/>
              <w:jc w:val="left"/>
            </w:pPr>
            <w:r>
              <w:rPr>
                <w:b/>
                <w:color w:val="FFFFFF"/>
                <w:sz w:val="18"/>
              </w:rPr>
              <w:t xml:space="preserve">ROI crossover</w:t>
            </w:r>
          </w:p>
        </w:tc>
        <w:tc>
          <w:tcPr>
            <w:shd w:val="clear" w:color="auto" w:fill="1B3A6B"/>
            <w:tcW w:w="2910" w:type="dxa"/>
          </w:tcPr>
          <w:p>
            <w:pPr>
              <w:pStyle w:val="Compact"/>
              <w:jc w:val="left"/>
            </w:pPr>
            <w:r>
              <w:rPr>
                <w:b/>
                <w:color w:val="FFFFFF"/>
                <w:sz w:val="18"/>
              </w:rPr>
              <w:t xml:space="preserve">Vermont benchmark</w:t>
            </w:r>
          </w:p>
        </w:tc>
      </w:tr>
      <w:tr>
        <w:trPr>
          <w:cantSplit/>
        </w:trPr>
        <w:tc>
          <w:tcPr>
            <w:tcW w:w="2474" w:type="dxa"/>
          </w:tcPr>
          <w:p>
            <w:pPr>
              <w:pStyle w:val="Compact"/>
              <w:jc w:val="left"/>
            </w:pPr>
            <w:r>
              <w:rPr>
                <w:sz w:val="18"/>
              </w:rPr>
              <w:t xml:space="preserve">HEROI scoring and equity measurement infrastructure</w:t>
            </w:r>
          </w:p>
        </w:tc>
        <w:tc>
          <w:tcPr>
            <w:tcW w:w="1212" w:type="dxa"/>
          </w:tcPr>
          <w:p>
            <w:pPr>
              <w:pStyle w:val="Compact"/>
              <w:jc w:val="left"/>
            </w:pPr>
            <w:r>
              <w:rPr>
                <w:sz w:val="18"/>
              </w:rPr>
              <w:t xml:space="preserve">$30K-$80K setup; $20K/yr</w:t>
            </w:r>
          </w:p>
        </w:tc>
        <w:tc>
          <w:tcPr>
            <w:tcW w:w="824" w:type="dxa"/>
          </w:tcPr>
          <w:p>
            <w:pPr>
              <w:pStyle w:val="Compact"/>
              <w:jc w:val="left"/>
            </w:pPr>
            <w:r>
              <w:rPr>
                <w:sz w:val="18"/>
              </w:rPr>
              <w:t xml:space="preserve">3-6 months</w:t>
            </w:r>
          </w:p>
        </w:tc>
        <w:tc>
          <w:tcPr>
            <w:tcW w:w="1649" w:type="dxa"/>
          </w:tcPr>
          <w:p>
            <w:pPr>
              <w:pStyle w:val="Compact"/>
              <w:jc w:val="left"/>
            </w:pPr>
            <w:r>
              <w:rPr>
                <w:sz w:val="18"/>
              </w:rPr>
              <w:t xml:space="preserve">12 months (risk avoidance)</w:t>
            </w:r>
          </w:p>
        </w:tc>
        <w:tc>
          <w:tcPr>
            <w:tcW w:w="2910" w:type="dxa"/>
          </w:tcPr>
          <w:p>
            <w:pPr>
              <w:pStyle w:val="Compact"/>
              <w:jc w:val="left"/>
            </w:pPr>
            <w:r>
              <w:rPr>
                <w:sz w:val="18"/>
              </w:rPr>
              <w:t xml:space="preserve">Vermont HEROI: 14 HSA-level equity scores; GMCB reporting requirement</w:t>
            </w:r>
          </w:p>
        </w:tc>
      </w:tr>
      <w:tr>
        <w:trPr>
          <w:cantSplit/>
        </w:trPr>
        <w:tc>
          <w:tcPr>
            <w:tcW w:w="2474" w:type="dxa"/>
          </w:tcPr>
          <w:p>
            <w:pPr>
              <w:pStyle w:val="Compact"/>
              <w:jc w:val="left"/>
            </w:pPr>
            <w:r>
              <w:rPr>
                <w:sz w:val="18"/>
              </w:rPr>
              <w:t xml:space="preserve">HRSN universal screening at Blueprint practices</w:t>
            </w:r>
          </w:p>
        </w:tc>
        <w:tc>
          <w:tcPr>
            <w:tcW w:w="1212" w:type="dxa"/>
          </w:tcPr>
          <w:p>
            <w:pPr>
              <w:pStyle w:val="Compact"/>
              <w:jc w:val="left"/>
            </w:pPr>
            <w:r>
              <w:rPr>
                <w:sz w:val="18"/>
              </w:rPr>
              <w:t xml:space="preserve">$10K-$30K per practice/yr</w:t>
            </w:r>
          </w:p>
        </w:tc>
        <w:tc>
          <w:tcPr>
            <w:tcW w:w="824" w:type="dxa"/>
          </w:tcPr>
          <w:p>
            <w:pPr>
              <w:pStyle w:val="Compact"/>
              <w:jc w:val="left"/>
            </w:pPr>
            <w:r>
              <w:rPr>
                <w:sz w:val="18"/>
              </w:rPr>
              <w:t xml:space="preserve">1-3 months</w:t>
            </w:r>
          </w:p>
        </w:tc>
        <w:tc>
          <w:tcPr>
            <w:tcW w:w="1649" w:type="dxa"/>
          </w:tcPr>
          <w:p>
            <w:pPr>
              <w:pStyle w:val="Compact"/>
              <w:jc w:val="left"/>
            </w:pPr>
            <w:r>
              <w:rPr>
                <w:sz w:val="18"/>
              </w:rPr>
              <w:t xml:space="preserve">6-12 months</w:t>
            </w:r>
          </w:p>
        </w:tc>
        <w:tc>
          <w:tcPr>
            <w:tcW w:w="2910" w:type="dxa"/>
          </w:tcPr>
          <w:p>
            <w:pPr>
              <w:pStyle w:val="Compact"/>
              <w:jc w:val="left"/>
            </w:pPr>
            <w:r>
              <w:rPr>
                <w:sz w:val="18"/>
              </w:rPr>
              <w:t xml:space="preserve">Vermont: 91% statewide access vs 79-81% BIPOC — HRSN closes referral gap</w:t>
            </w:r>
          </w:p>
        </w:tc>
      </w:tr>
      <w:tr>
        <w:trPr>
          <w:cantSplit/>
        </w:trPr>
        <w:tc>
          <w:tcPr>
            <w:tcW w:w="2474" w:type="dxa"/>
          </w:tcPr>
          <w:p>
            <w:pPr>
              <w:pStyle w:val="Compact"/>
              <w:jc w:val="left"/>
            </w:pPr>
            <w:r>
              <w:rPr>
                <w:sz w:val="18"/>
              </w:rPr>
              <w:t xml:space="preserve">Social risk adjustment methodology design</w:t>
            </w:r>
          </w:p>
        </w:tc>
        <w:tc>
          <w:tcPr>
            <w:tcW w:w="1212" w:type="dxa"/>
          </w:tcPr>
          <w:p>
            <w:pPr>
              <w:pStyle w:val="Compact"/>
              <w:jc w:val="left"/>
            </w:pPr>
            <w:r>
              <w:rPr>
                <w:sz w:val="18"/>
              </w:rPr>
              <w:t xml:space="preserve">$100K-$300K state cost</w:t>
            </w:r>
          </w:p>
        </w:tc>
        <w:tc>
          <w:tcPr>
            <w:tcW w:w="824" w:type="dxa"/>
          </w:tcPr>
          <w:p>
            <w:pPr>
              <w:pStyle w:val="Compact"/>
              <w:jc w:val="left"/>
            </w:pPr>
            <w:r>
              <w:rPr>
                <w:sz w:val="18"/>
              </w:rPr>
              <w:t xml:space="preserve">12-18 months</w:t>
            </w:r>
          </w:p>
        </w:tc>
        <w:tc>
          <w:tcPr>
            <w:tcW w:w="1649" w:type="dxa"/>
          </w:tcPr>
          <w:p>
            <w:pPr>
              <w:pStyle w:val="Compact"/>
              <w:jc w:val="left"/>
            </w:pPr>
            <w:r>
              <w:rPr>
                <w:sz w:val="18"/>
              </w:rPr>
              <w:t xml:space="preserve">Prerequisite for fair budgets</w:t>
            </w:r>
          </w:p>
        </w:tc>
        <w:tc>
          <w:tcPr>
            <w:tcW w:w="2910" w:type="dxa"/>
          </w:tcPr>
          <w:p>
            <w:pPr>
              <w:pStyle w:val="Compact"/>
              <w:jc w:val="left"/>
            </w:pPr>
            <w:r>
              <w:rPr>
                <w:sz w:val="18"/>
              </w:rPr>
              <w:t xml:space="preserve">Vermont AHEAD: active SRA design question as of early 2026</w:t>
            </w:r>
          </w:p>
        </w:tc>
      </w:tr>
      <w:tr>
        <w:trPr>
          <w:cantSplit/>
        </w:trPr>
        <w:tc>
          <w:tcPr>
            <w:tcW w:w="2474" w:type="dxa"/>
          </w:tcPr>
          <w:p>
            <w:pPr>
              <w:pStyle w:val="Compact"/>
              <w:jc w:val="left"/>
            </w:pPr>
            <w:r>
              <w:rPr>
                <w:sz w:val="18"/>
              </w:rPr>
              <w:t xml:space="preserve">SDOH data integration (claims + AHS program data)</w:t>
            </w:r>
          </w:p>
        </w:tc>
        <w:tc>
          <w:tcPr>
            <w:tcW w:w="1212" w:type="dxa"/>
          </w:tcPr>
          <w:p>
            <w:pPr>
              <w:pStyle w:val="Compact"/>
              <w:jc w:val="left"/>
            </w:pPr>
            <w:r>
              <w:rPr>
                <w:sz w:val="18"/>
              </w:rPr>
              <w:t xml:space="preserve">$200K-$500K state cost</w:t>
            </w:r>
          </w:p>
        </w:tc>
        <w:tc>
          <w:tcPr>
            <w:tcW w:w="824" w:type="dxa"/>
          </w:tcPr>
          <w:p>
            <w:pPr>
              <w:pStyle w:val="Compact"/>
              <w:jc w:val="left"/>
            </w:pPr>
            <w:r>
              <w:rPr>
                <w:sz w:val="18"/>
              </w:rPr>
              <w:t xml:space="preserve">18-24 months</w:t>
            </w:r>
          </w:p>
        </w:tc>
        <w:tc>
          <w:tcPr>
            <w:tcW w:w="1649" w:type="dxa"/>
          </w:tcPr>
          <w:p>
            <w:pPr>
              <w:pStyle w:val="Compact"/>
              <w:jc w:val="left"/>
            </w:pPr>
            <w:r>
              <w:rPr>
                <w:sz w:val="18"/>
              </w:rPr>
              <w:t xml:space="preserve">24-36 months</w:t>
            </w:r>
          </w:p>
        </w:tc>
        <w:tc>
          <w:tcPr>
            <w:tcW w:w="2910" w:type="dxa"/>
          </w:tcPr>
          <w:p>
            <w:pPr>
              <w:pStyle w:val="Compact"/>
              <w:jc w:val="left"/>
            </w:pPr>
            <w:r>
              <w:rPr>
                <w:sz w:val="18"/>
              </w:rPr>
              <w:t xml:space="preserve">Vermont CIN: housing, food, transportation linkage to VHCURES</w:t>
            </w:r>
          </w:p>
        </w:tc>
      </w:tr>
      <w:tr>
        <w:trPr>
          <w:cantSplit/>
        </w:trPr>
        <w:tc>
          <w:tcPr>
            <w:tcW w:w="2474" w:type="dxa"/>
          </w:tcPr>
          <w:p>
            <w:pPr>
              <w:pStyle w:val="Compact"/>
              <w:jc w:val="left"/>
            </w:pPr>
            <w:r>
              <w:rPr>
                <w:sz w:val="18"/>
              </w:rPr>
              <w:t xml:space="preserve">Health equity impact assessment process</w:t>
            </w:r>
          </w:p>
        </w:tc>
        <w:tc>
          <w:tcPr>
            <w:tcW w:w="1212" w:type="dxa"/>
          </w:tcPr>
          <w:p>
            <w:pPr>
              <w:pStyle w:val="Compact"/>
              <w:jc w:val="left"/>
            </w:pPr>
            <w:r>
              <w:rPr>
                <w:sz w:val="18"/>
              </w:rPr>
              <w:t xml:space="preserve">$25K-$50K one-time</w:t>
            </w:r>
          </w:p>
        </w:tc>
        <w:tc>
          <w:tcPr>
            <w:tcW w:w="824" w:type="dxa"/>
          </w:tcPr>
          <w:p>
            <w:pPr>
              <w:pStyle w:val="Compact"/>
              <w:jc w:val="left"/>
            </w:pPr>
            <w:r>
              <w:rPr>
                <w:sz w:val="18"/>
              </w:rPr>
              <w:t xml:space="preserve">3 months</w:t>
            </w:r>
          </w:p>
        </w:tc>
        <w:tc>
          <w:tcPr>
            <w:tcW w:w="1649" w:type="dxa"/>
          </w:tcPr>
          <w:p>
            <w:pPr>
              <w:pStyle w:val="Compact"/>
              <w:jc w:val="left"/>
            </w:pPr>
            <w:r>
              <w:rPr>
                <w:sz w:val="18"/>
              </w:rPr>
              <w:t xml:space="preserve">Immediate: redesign cost avoidance</w:t>
            </w:r>
          </w:p>
        </w:tc>
        <w:tc>
          <w:tcPr>
            <w:tcW w:w="2910" w:type="dxa"/>
          </w:tcPr>
          <w:p>
            <w:pPr>
              <w:pStyle w:val="Compact"/>
              <w:jc w:val="left"/>
            </w:pPr>
            <w:r>
              <w:rPr>
                <w:sz w:val="18"/>
              </w:rPr>
              <w:t xml:space="preserve">Act 68 HCAC consultation requirement; equity-as-design-constraint</w:t>
            </w:r>
          </w:p>
        </w:tc>
      </w:tr>
      <w:tr>
        <w:trPr>
          <w:cantSplit/>
        </w:trPr>
        <w:tc>
          <w:tcPr>
            <w:tcW w:w="2474" w:type="dxa"/>
          </w:tcPr>
          <w:p>
            <w:pPr>
              <w:pStyle w:val="Compact"/>
              <w:jc w:val="left"/>
            </w:pPr>
            <w:r>
              <w:rPr>
                <w:sz w:val="18"/>
              </w:rPr>
              <w:t xml:space="preserve">Race/ethnicity data quality improvement (VHCURES)</w:t>
            </w:r>
          </w:p>
        </w:tc>
        <w:tc>
          <w:tcPr>
            <w:tcW w:w="1212" w:type="dxa"/>
          </w:tcPr>
          <w:p>
            <w:pPr>
              <w:pStyle w:val="Compact"/>
              <w:jc w:val="left"/>
            </w:pPr>
            <w:r>
              <w:rPr>
                <w:sz w:val="18"/>
              </w:rPr>
              <w:t xml:space="preserve">$20K-$60K annually</w:t>
            </w:r>
          </w:p>
        </w:tc>
        <w:tc>
          <w:tcPr>
            <w:tcW w:w="824" w:type="dxa"/>
          </w:tcPr>
          <w:p>
            <w:pPr>
              <w:pStyle w:val="Compact"/>
              <w:jc w:val="left"/>
            </w:pPr>
            <w:r>
              <w:rPr>
                <w:sz w:val="18"/>
              </w:rPr>
              <w:t xml:space="preserve">6 months</w:t>
            </w:r>
          </w:p>
        </w:tc>
        <w:tc>
          <w:tcPr>
            <w:tcW w:w="1649" w:type="dxa"/>
          </w:tcPr>
          <w:p>
            <w:pPr>
              <w:pStyle w:val="Compact"/>
              <w:jc w:val="left"/>
            </w:pPr>
            <w:r>
              <w:rPr>
                <w:sz w:val="18"/>
              </w:rPr>
              <w:t xml:space="preserve">12 months</w:t>
            </w:r>
          </w:p>
        </w:tc>
        <w:tc>
          <w:tcPr>
            <w:tcW w:w="291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4"/>
        </w:numPr>
        <w:keepLines w:val="true"/>
        <w:keepNext w:val="true"/>
      </w:pPr>
      <w:r>
        <w:t xml:space="preserve">Access Equity (25%) — gap in primary, specialty, and emergency care utilization by subpopulation.</w:t>
      </w:r>
    </w:p>
    <w:p>
      <w:pPr>
        <w:pStyle w:val="Compact"/>
        <w:numPr>
          <w:ilvl w:val="0"/>
          <w:numId w:val="1024"/>
        </w:numPr>
        <w:keepLines w:val="true"/>
        <w:keepNext w:val="true"/>
      </w:pPr>
      <w:r>
        <w:t xml:space="preserve">Quality Equity (25%) — HEDIS performance gap across top 10 chronic disease measures.</w:t>
      </w:r>
    </w:p>
    <w:p>
      <w:pPr>
        <w:pStyle w:val="Compact"/>
        <w:numPr>
          <w:ilvl w:val="0"/>
          <w:numId w:val="1024"/>
        </w:numPr>
        <w:keepLines w:val="true"/>
        <w:keepNext w:val="true"/>
      </w:pPr>
      <w:r>
        <w:t xml:space="preserve">Outcome Equity (25%) — avoidable hospitalizations, ED visits, readmissions by demographic segment.</w:t>
      </w:r>
    </w:p>
    <w:p>
      <w:pPr>
        <w:pStyle w:val="Compact"/>
        <w:numPr>
          <w:ilvl w:val="0"/>
          <w:numId w:val="1024"/>
        </w:numPr>
        <w:keepLines w:val="true"/>
        <w:keepNext w:val="true"/>
      </w:pPr>
      <w:r>
        <w:t xml:space="preserve">SDOH Burden (15%) — HRSN screening completion and community resource referral rates.</w:t>
      </w:r>
    </w:p>
    <w:p>
      <w:pPr>
        <w:pStyle w:val="Compact"/>
        <w:numPr>
          <w:ilvl w:val="0"/>
          <w:numId w:val="1024"/>
        </w:numPr>
        <w:keepLines w:val="true"/>
        <w:keepNext w:val="true"/>
      </w:pPr>
      <w:r>
        <w:t xml:space="preserve">Trust and Engagement (10%) — CAHPS patient experience scores stratified by race and income.</w:t>
      </w:r>
    </w:p>
    <w:p>
      <w:pPr>
        <w:pStyle w:val="Compact"/>
        <w:numPr>
          <w:ilvl w:val="0"/>
          <w:numId w:val="1024"/>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5"/>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5"/>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5"/>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5"/>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5"/>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pPr>
      <w:r>
        <w:rPr>
          <w:color w:val="161B22"/>
        </w:rPr>
        <w:t xml:space="preserve">10.16.2  </w:t>
      </w:r>
      <w:bookmarkStart w:id="1297" w:name="_Toc1296"/>
      <w:r>
        <w:rPr>
          <w:b/>
          <w:bCs/>
          <w:color w:val="161B22"/>
        </w:rPr>
        <w:t xml:space="preserve">The Five-Step Disparity Closure Process</w:t>
      </w:r>
      <w:bookmarkEnd w:id="1297"/>
    </w:p>
    <w:p>
      <w:pPr>
        <w:pStyle w:val="FirstParagraph"/>
      </w:pPr>
      <w:r>
        <w:t xml:space="preserve">The Health Equity Studio implements the following five-step disparity closure process for client organizations: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582"/>
        <w:gridCol w:w="4557"/>
        <w:gridCol w:w="2126"/>
        <w:gridCol w:w="4557"/>
      </w:tblGrid>
      <w:tr>
        <w:trPr>
          <w:tblHeader w:val="on"/>
          <w:cantSplit/>
        </w:trPr>
        <w:tc>
          <w:tcPr>
            <w:shd w:val="clear" w:color="auto" w:fill="1B3A6B"/>
            <w:tcW w:w="1694" w:type="dxa"/>
          </w:tcPr>
          <w:p>
            <w:pPr>
              <w:pStyle w:val="Compact"/>
              <w:jc w:val="left"/>
            </w:pPr>
            <w:r>
              <w:rPr>
                <w:b/>
                <w:color w:val="FFFFFF"/>
                <w:sz w:val="16"/>
              </w:rPr>
              <w:t xml:space="preserve">Step</w:t>
            </w:r>
          </w:p>
        </w:tc>
        <w:tc>
          <w:tcPr>
            <w:shd w:val="clear" w:color="auto" w:fill="1B3A6B"/>
            <w:tcW w:w="2990" w:type="dxa"/>
          </w:tcPr>
          <w:p>
            <w:pPr>
              <w:pStyle w:val="Compact"/>
              <w:jc w:val="left"/>
            </w:pPr>
            <w:r>
              <w:rPr>
                <w:b/>
                <w:color w:val="FFFFFF"/>
                <w:sz w:val="16"/>
              </w:rPr>
              <w:t xml:space="preserve">Action</w:t>
            </w:r>
          </w:p>
        </w:tc>
        <w:tc>
          <w:tcPr>
            <w:shd w:val="clear" w:color="auto" w:fill="1B3A6B"/>
            <w:tcW w:w="1395" w:type="dxa"/>
          </w:tcPr>
          <w:p>
            <w:pPr>
              <w:pStyle w:val="Compact"/>
              <w:jc w:val="left"/>
            </w:pPr>
            <w:r>
              <w:rPr>
                <w:b/>
                <w:color w:val="FFFFFF"/>
                <w:sz w:val="16"/>
              </w:rPr>
              <w:t xml:space="preserve">Time investment</w:t>
            </w:r>
          </w:p>
        </w:tc>
        <w:tc>
          <w:tcPr>
            <w:shd w:val="clear" w:color="auto" w:fill="1B3A6B"/>
            <w:tcW w:w="2990" w:type="dxa"/>
          </w:tcPr>
          <w:p>
            <w:pPr>
              <w:pStyle w:val="Compact"/>
              <w:jc w:val="left"/>
            </w:pPr>
            <w:r>
              <w:rPr>
                <w:b/>
                <w:color w:val="FFFFFF"/>
                <w:sz w:val="16"/>
              </w:rPr>
              <w:t xml:space="preserve">Vermont application</w:t>
            </w:r>
          </w:p>
        </w:tc>
      </w:tr>
      <w:tr>
        <w:trPr>
          <w:cantSplit/>
        </w:trPr>
        <w:tc>
          <w:tcPr>
            <w:tcW w:w="1694" w:type="dxa"/>
          </w:tcPr>
          <w:p>
            <w:pPr>
              <w:pStyle w:val="Compact"/>
              <w:jc w:val="left"/>
            </w:pPr>
            <w:r>
              <w:rPr>
                <w:sz w:val="16"/>
              </w:rPr>
              <w:t xml:space="preserve">1. Baseline stratification</w:t>
            </w:r>
          </w:p>
        </w:tc>
        <w:tc>
          <w:tcPr>
            <w:tcW w:w="2990" w:type="dxa"/>
          </w:tcPr>
          <w:p>
            <w:pPr>
              <w:pStyle w:val="Compact"/>
              <w:jc w:val="left"/>
            </w:pPr>
            <w:r>
              <w:rPr>
                <w:sz w:val="16"/>
              </w:rPr>
              <w:t xml:space="preserve">Calculate current HEROI score and identify the three largest measured disparities across all five equity dimensions</w:t>
            </w:r>
          </w:p>
        </w:tc>
        <w:tc>
          <w:tcPr>
            <w:tcW w:w="1395" w:type="dxa"/>
          </w:tcPr>
          <w:p>
            <w:pPr>
              <w:pStyle w:val="Compact"/>
              <w:jc w:val="left"/>
            </w:pPr>
            <w:r>
              <w:rPr>
                <w:sz w:val="16"/>
              </w:rPr>
              <w:t xml:space="preserve">2-4 weeks with adequate data</w:t>
            </w:r>
          </w:p>
        </w:tc>
        <w:tc>
          <w:tcPr>
            <w:tcW w:w="2990" w:type="dxa"/>
          </w:tcPr>
          <w:p>
            <w:pPr>
              <w:pStyle w:val="Compact"/>
              <w:jc w:val="left"/>
            </w:pPr>
            <w:r>
              <w:rPr>
                <w:sz w:val="16"/>
              </w:rPr>
              <w:t xml:space="preserve">VHCURES stratification analysis; Blueprint equity dashboard; VDH BRFSS county-level analysis for Northeast Kingdom vs. state average gaps</w:t>
            </w:r>
          </w:p>
        </w:tc>
      </w:tr>
      <w:tr>
        <w:trPr>
          <w:cantSplit/>
        </w:trPr>
        <w:tc>
          <w:tcPr>
            <w:tcW w:w="1694" w:type="dxa"/>
          </w:tcPr>
          <w:p>
            <w:pPr>
              <w:pStyle w:val="Compact"/>
              <w:jc w:val="left"/>
            </w:pPr>
            <w:r>
              <w:rPr>
                <w:sz w:val="16"/>
              </w:rPr>
              <w:t xml:space="preserve">2. Root cause attribution</w:t>
            </w:r>
          </w:p>
        </w:tc>
        <w:tc>
          <w:tcPr>
            <w:tcW w:w="2990" w:type="dxa"/>
          </w:tcPr>
          <w:p>
            <w:pPr>
              <w:pStyle w:val="Compact"/>
              <w:jc w:val="left"/>
            </w:pPr>
            <w:r>
              <w:rPr>
                <w:sz w:val="16"/>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6"/>
              </w:rPr>
              <w:t xml:space="preserve">4-6 weeks</w:t>
            </w:r>
          </w:p>
        </w:tc>
        <w:tc>
          <w:tcPr>
            <w:tcW w:w="2990" w:type="dxa"/>
          </w:tcPr>
          <w:p>
            <w:pPr>
              <w:pStyle w:val="Compact"/>
              <w:jc w:val="left"/>
            </w:pPr>
            <w:r>
              <w:rPr>
                <w:sz w:val="16"/>
              </w:rPr>
              <w:t xml:space="preserve">Survey BIPOC patients and Northeast Kingdom residents to supplement claims-based decomposition; conduct focus groups with CHT staff about observed barriers</w:t>
            </w:r>
          </w:p>
        </w:tc>
      </w:tr>
      <w:tr>
        <w:trPr>
          <w:cantSplit/>
        </w:trPr>
        <w:tc>
          <w:tcPr>
            <w:tcW w:w="1694" w:type="dxa"/>
          </w:tcPr>
          <w:p>
            <w:pPr>
              <w:pStyle w:val="Compact"/>
              <w:jc w:val="left"/>
            </w:pPr>
            <w:r>
              <w:rPr>
                <w:sz w:val="16"/>
              </w:rPr>
              <w:t xml:space="preserve">3. Intervention portfolio design</w:t>
            </w:r>
          </w:p>
        </w:tc>
        <w:tc>
          <w:tcPr>
            <w:tcW w:w="2990" w:type="dxa"/>
          </w:tcPr>
          <w:p>
            <w:pPr>
              <w:pStyle w:val="Compact"/>
              <w:jc w:val="left"/>
            </w:pPr>
            <w:r>
              <w:rPr>
                <w:sz w:val="16"/>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6"/>
              </w:rPr>
              <w:t xml:space="preserve">2-4 weeks</w:t>
            </w:r>
          </w:p>
        </w:tc>
        <w:tc>
          <w:tcPr>
            <w:tcW w:w="2990" w:type="dxa"/>
          </w:tcPr>
          <w:p>
            <w:pPr>
              <w:pStyle w:val="Compact"/>
              <w:jc w:val="left"/>
            </w:pPr>
            <w:r>
              <w:rPr>
                <w:sz w:val="16"/>
              </w:rPr>
              <w:t xml:space="preserve">Vermont-specific: CCBHC for trust/access; CHW deployment for social needs; AI governance for clinical variation; BALANCE for coverage; HEART program for LGBTQ+ trust</w:t>
            </w:r>
          </w:p>
        </w:tc>
      </w:tr>
      <w:tr>
        <w:trPr>
          <w:cantSplit/>
        </w:trPr>
        <w:tc>
          <w:tcPr>
            <w:tcW w:w="1694" w:type="dxa"/>
          </w:tcPr>
          <w:p>
            <w:pPr>
              <w:pStyle w:val="Compact"/>
              <w:jc w:val="left"/>
            </w:pPr>
            <w:r>
              <w:rPr>
                <w:sz w:val="16"/>
              </w:rPr>
              <w:t xml:space="preserve">4. Implementation with equity lens</w:t>
            </w:r>
          </w:p>
        </w:tc>
        <w:tc>
          <w:tcPr>
            <w:tcW w:w="2990" w:type="dxa"/>
          </w:tcPr>
          <w:p>
            <w:pPr>
              <w:pStyle w:val="Compact"/>
              <w:jc w:val="left"/>
            </w:pPr>
            <w:r>
              <w:rPr>
                <w:sz w:val="16"/>
              </w:rPr>
              <w:t xml:space="preserve">Execute interventions with explicit equity targets: not</w:t>
            </w:r>
            <w:r>
              <w:rPr>
                <w:sz w:val="16"/>
              </w:rPr>
              <w:t xml:space="preserve"> </w:t>
            </w:r>
            <w:r>
              <w:rPr>
                <w:sz w:val="16"/>
              </w:rPr>
              <w:t xml:space="preserve">‘increase primary care access’</w:t>
            </w:r>
            <w:r>
              <w:rPr>
                <w:sz w:val="16"/>
              </w:rPr>
              <w:t xml:space="preserve"> </w:t>
            </w:r>
            <w:r>
              <w:rPr>
                <w:sz w:val="16"/>
              </w:rPr>
              <w:t xml:space="preserve">but</w:t>
            </w:r>
            <w:r>
              <w:rPr>
                <w:sz w:val="16"/>
              </w:rPr>
              <w:t xml:space="preserve"> </w:t>
            </w:r>
            <w:r>
              <w:rPr>
                <w:sz w:val="16"/>
              </w:rPr>
              <w:t xml:space="preserve">‘increase Northeast Kingdom Medicaid patient primary care visit rate from 72% to 80% within 18 months’</w:t>
            </w:r>
          </w:p>
        </w:tc>
        <w:tc>
          <w:tcPr>
            <w:tcW w:w="1395" w:type="dxa"/>
          </w:tcPr>
          <w:p>
            <w:pPr>
              <w:pStyle w:val="Compact"/>
              <w:jc w:val="left"/>
            </w:pPr>
            <w:r>
              <w:rPr>
                <w:sz w:val="16"/>
              </w:rPr>
              <w:t xml:space="preserve">Ongoing</w:t>
            </w:r>
          </w:p>
        </w:tc>
        <w:tc>
          <w:tcPr>
            <w:tcW w:w="2990" w:type="dxa"/>
          </w:tcPr>
          <w:p>
            <w:pPr>
              <w:pStyle w:val="Compact"/>
              <w:jc w:val="left"/>
            </w:pPr>
            <w:r>
              <w:rPr>
                <w:sz w:val="16"/>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6"/>
              </w:rPr>
              <w:t xml:space="preserve">5. Accountability and iteration</w:t>
            </w:r>
          </w:p>
        </w:tc>
        <w:tc>
          <w:tcPr>
            <w:tcW w:w="2990" w:type="dxa"/>
          </w:tcPr>
          <w:p>
            <w:pPr>
              <w:pStyle w:val="Compact"/>
              <w:jc w:val="left"/>
            </w:pPr>
            <w:r>
              <w:rPr>
                <w:sz w:val="16"/>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6"/>
              </w:rPr>
              <w:t xml:space="preserve">Quarterly reporting cycle</w:t>
            </w:r>
          </w:p>
        </w:tc>
        <w:tc>
          <w:tcPr>
            <w:tcW w:w="2990" w:type="dxa"/>
          </w:tcPr>
          <w:p>
            <w:pPr>
              <w:pStyle w:val="Compact"/>
              <w:jc w:val="left"/>
            </w:pPr>
            <w:r>
              <w:rPr>
                <w:sz w:val="16"/>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6"/>
        </w:numPr>
        <w:keepLines w:val="true"/>
        <w:keepNext w:val="true"/>
      </w:pPr>
      <w:r>
        <w:t xml:space="preserve">Attribution equity: Does the attribution methodology systematically exclude high-SDOH patients who lack a qualifying primary care visit?</w:t>
      </w:r>
    </w:p>
    <w:p>
      <w:pPr>
        <w:pStyle w:val="Compact"/>
        <w:numPr>
          <w:ilvl w:val="0"/>
          <w:numId w:val="1026"/>
        </w:numPr>
        <w:keepLines w:val="true"/>
        <w:keepNext w:val="true"/>
      </w:pPr>
      <w:r>
        <w:t xml:space="preserve">Social risk adjustment: Is the benchmark adjusted for the social risk profile of the attributed population?</w:t>
      </w:r>
    </w:p>
    <w:p>
      <w:pPr>
        <w:pStyle w:val="Compact"/>
        <w:numPr>
          <w:ilvl w:val="0"/>
          <w:numId w:val="1026"/>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6"/>
        </w:numPr>
        <w:keepLines w:val="true"/>
      </w:pPr>
      <w:r>
        <w:t xml:space="preserve">SDOH investment incentives: Does the contract provide financial credit for investments in SDOH programs that reduce long-term utilization?</w:t>
      </w:r>
    </w:p>
    <w:p>
      <w:pPr>
        <w:pStyle w:val="Compact"/>
        <w:numPr>
          <w:ilvl w:val="0"/>
          <w:numId w:val="1026"/>
        </w:numPr>
        <w:keepLines w:val="true"/>
      </w:pPr>
      <w:r>
        <w:t xml:space="preserve">Care management intensity: Are care management resources allocated proportionate to SDOH burden and disparity level, not just clinical risk?</w:t>
      </w:r>
    </w:p>
    <w:p>
      <w:pPr>
        <w:pStyle w:val="Compact"/>
        <w:numPr>
          <w:ilvl w:val="0"/>
          <w:numId w:val="1026"/>
        </w:numPr>
        <w:keepLines w:val="true"/>
      </w:pPr>
      <w:r>
        <w:t xml:space="preserve">Beneficiary protections: Are there protections against provider avoidance of high-complexity, high-SDOH patients?</w:t>
      </w:r>
    </w:p>
    <w:p>
      <w:pPr>
        <w:pStyle w:val="Compact"/>
        <w:numPr>
          <w:ilvl w:val="0"/>
          <w:numId w:val="1026"/>
        </w:numPr>
        <w:keepLines w:val="true"/>
      </w:pPr>
      <w:r>
        <w:t xml:space="preserve">Community benefit requirements: For global budgets, are there explicit requirements for community health investment, including SDOH programs?</w:t>
      </w:r>
    </w:p>
    <w:p>
      <w:pPr>
        <w:pStyle w:val="Compact"/>
        <w:numPr>
          <w:ilvl w:val="0"/>
          <w:numId w:val="1026"/>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autofit"/>
      </w:tblPr>
      <w:tblGrid>
        <w:gridCol w:w="4032"/>
        <w:gridCol w:w="5040"/>
      </w:tblGrid>
      <w:tr>
        <w:trPr>
          <w:tblHeader w:val="on"/>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Introduced or Expanded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pBdr>
          <w:top w:val="single" w:sz="4" w:space="8" w:color="B8B8B8"/>
        </w:pBdr>
        <w:spacing w:before="160" w:after="120"/>
      </w:pPr>
      <w:r>
        <w:rPr>
          <w:rFonts w:ascii="Calibri" w:hAnsi="Calibri"/>
          <w:i/>
          <w:color w:val="00000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pPr>
      <w:r>
        <w:rPr>
          <w:color w:val="161B22"/>
        </w:rPr>
        <w:t xml:space="preserve">11.2.1  </w:t>
      </w:r>
      <w:bookmarkStart w:id="1307" w:name="_Toc1306"/>
      <w:r>
        <w:rPr>
          <w:b/>
          <w:bCs/>
          <w:color w:val="161B22"/>
        </w:rPr>
        <w:t xml:space="preserve">The Institutional Architecture</w:t>
      </w:r>
      <w:bookmarkEnd w:id="1307"/>
    </w:p>
    <w:p>
      <w:pPr>
        <w:pStyle w:val="FirstParagraph"/>
      </w:pPr>
      <w:r>
        <w:t xml:space="preserve">Act 68 established a four-actor governance architecture for Vermont’s transformation that is worth understanding precisely:</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15"/>
        <w:gridCol w:w="3736"/>
        <w:gridCol w:w="3736"/>
        <w:gridCol w:w="3736"/>
      </w:tblGrid>
      <w:tr>
        <w:trPr>
          <w:tblHeader w:val="on"/>
          <w:cantSplit/>
        </w:trPr>
        <w:tc>
          <w:tcPr>
            <w:shd w:val="clear" w:color="auto" w:fill="1B3A6B"/>
            <w:tcW w:w="1716" w:type="dxa"/>
          </w:tcPr>
          <w:p>
            <w:pPr>
              <w:pStyle w:val="Compact"/>
              <w:jc w:val="left"/>
            </w:pPr>
            <w:r>
              <w:rPr>
                <w:b/>
                <w:color w:val="FFFFFF"/>
                <w:sz w:val="16"/>
              </w:rPr>
              <w:t xml:space="preserve">Actor</w:t>
            </w:r>
          </w:p>
        </w:tc>
        <w:tc>
          <w:tcPr>
            <w:shd w:val="clear" w:color="auto" w:fill="1B3A6B"/>
            <w:tcW w:w="2451" w:type="dxa"/>
          </w:tcPr>
          <w:p>
            <w:pPr>
              <w:pStyle w:val="Compact"/>
              <w:jc w:val="left"/>
            </w:pPr>
            <w:r>
              <w:rPr>
                <w:b/>
                <w:color w:val="FFFFFF"/>
                <w:sz w:val="16"/>
              </w:rPr>
              <w:t xml:space="preserve">Statutory Role</w:t>
            </w:r>
          </w:p>
        </w:tc>
        <w:tc>
          <w:tcPr>
            <w:shd w:val="clear" w:color="auto" w:fill="1B3A6B"/>
            <w:tcW w:w="2451" w:type="dxa"/>
          </w:tcPr>
          <w:p>
            <w:pPr>
              <w:pStyle w:val="Compact"/>
              <w:jc w:val="left"/>
            </w:pPr>
            <w:r>
              <w:rPr>
                <w:b/>
                <w:color w:val="FFFFFF"/>
                <w:sz w:val="16"/>
              </w:rPr>
              <w:t xml:space="preserve">Key Authority</w:t>
            </w:r>
          </w:p>
        </w:tc>
        <w:tc>
          <w:tcPr>
            <w:shd w:val="clear" w:color="auto" w:fill="1B3A6B"/>
            <w:tcW w:w="2451" w:type="dxa"/>
          </w:tcPr>
          <w:p>
            <w:pPr>
              <w:pStyle w:val="Compact"/>
              <w:jc w:val="left"/>
            </w:pPr>
            <w:r>
              <w:rPr>
                <w:b/>
                <w:color w:val="FFFFFF"/>
                <w:sz w:val="16"/>
              </w:rPr>
              <w:t xml:space="preserve">Current Capacity</w:t>
            </w:r>
          </w:p>
        </w:tc>
      </w:tr>
      <w:tr>
        <w:trPr>
          <w:cantSplit/>
        </w:trPr>
        <w:tc>
          <w:tcPr>
            <w:tcW w:w="1716" w:type="dxa"/>
          </w:tcPr>
          <w:p>
            <w:pPr>
              <w:pStyle w:val="Compact"/>
              <w:jc w:val="left"/>
            </w:pPr>
            <w:r>
              <w:rPr>
                <w:sz w:val="16"/>
              </w:rPr>
              <w:t xml:space="preserve">Agency of Human Services (AHS)</w:t>
            </w:r>
          </w:p>
        </w:tc>
        <w:tc>
          <w:tcPr>
            <w:tcW w:w="2451" w:type="dxa"/>
          </w:tcPr>
          <w:p>
            <w:pPr>
              <w:pStyle w:val="Compact"/>
              <w:jc w:val="left"/>
            </w:pPr>
            <w:r>
              <w:rPr>
                <w:sz w:val="16"/>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6"/>
              </w:rPr>
              <w:t xml:space="preserve">Directs transformation planning; awards transformation grants; sets SDOH investment priorities; manages RHRC and other contractors</w:t>
            </w:r>
          </w:p>
        </w:tc>
        <w:tc>
          <w:tcPr>
            <w:tcW w:w="2451" w:type="dxa"/>
          </w:tcPr>
          <w:p>
            <w:pPr>
              <w:pStyle w:val="Compact"/>
              <w:jc w:val="left"/>
            </w:pPr>
            <w:r>
              <w:rPr>
                <w:sz w:val="16"/>
              </w:rPr>
              <w:t xml:space="preserve">Health Care Reform Office (recently reorganized); contracted RHRC through October 2025; hiring additional staff with RHT Program funds</w:t>
            </w:r>
          </w:p>
        </w:tc>
      </w:tr>
      <w:tr>
        <w:trPr>
          <w:cantSplit/>
        </w:trPr>
        <w:tc>
          <w:tcPr>
            <w:tcW w:w="1716" w:type="dxa"/>
          </w:tcPr>
          <w:p>
            <w:pPr>
              <w:pStyle w:val="Compact"/>
              <w:jc w:val="left"/>
            </w:pPr>
            <w:r>
              <w:rPr>
                <w:sz w:val="16"/>
              </w:rPr>
              <w:t xml:space="preserve">Green Mountain Care Board (GMCB)</w:t>
            </w:r>
          </w:p>
        </w:tc>
        <w:tc>
          <w:tcPr>
            <w:tcW w:w="2451" w:type="dxa"/>
          </w:tcPr>
          <w:p>
            <w:pPr>
              <w:pStyle w:val="Compact"/>
              <w:jc w:val="left"/>
            </w:pPr>
            <w:r>
              <w:rPr>
                <w:sz w:val="16"/>
              </w:rPr>
              <w:t xml:space="preserve">Regulatory authority; implements RBP and global budgets; reviews and approves hospital budgets; monitors quality and price</w:t>
            </w:r>
          </w:p>
        </w:tc>
        <w:tc>
          <w:tcPr>
            <w:tcW w:w="2451" w:type="dxa"/>
          </w:tcPr>
          <w:p>
            <w:pPr>
              <w:pStyle w:val="Compact"/>
              <w:jc w:val="left"/>
            </w:pPr>
            <w:r>
              <w:rPr>
                <w:sz w:val="16"/>
              </w:rPr>
              <w:t xml:space="preserve">Sets hospital rates; approves/denies hospital budget requests; enforces Act 68 spending reduction requirements; issues CON decisions</w:t>
            </w:r>
          </w:p>
        </w:tc>
        <w:tc>
          <w:tcPr>
            <w:tcW w:w="2451" w:type="dxa"/>
          </w:tcPr>
          <w:p>
            <w:pPr>
              <w:pStyle w:val="Compact"/>
              <w:jc w:val="left"/>
            </w:pPr>
            <w:r>
              <w:rPr>
                <w:sz w:val="16"/>
              </w:rPr>
              <w:t xml:space="preserve">Added 3 new permanent positions (Act 68 authorization); hired Affordability and Pricing Project Director; procuring RBP vendor (early 2026)</w:t>
            </w:r>
          </w:p>
        </w:tc>
      </w:tr>
      <w:tr>
        <w:trPr>
          <w:cantSplit/>
        </w:trPr>
        <w:tc>
          <w:tcPr>
            <w:tcW w:w="1716" w:type="dxa"/>
          </w:tcPr>
          <w:p>
            <w:pPr>
              <w:pStyle w:val="Compact"/>
              <w:jc w:val="left"/>
            </w:pPr>
            <w:r>
              <w:rPr>
                <w:sz w:val="16"/>
              </w:rPr>
              <w:t xml:space="preserve">Department of Vermont Health Access (DVHA)</w:t>
            </w:r>
          </w:p>
        </w:tc>
        <w:tc>
          <w:tcPr>
            <w:tcW w:w="2451" w:type="dxa"/>
          </w:tcPr>
          <w:p>
            <w:pPr>
              <w:pStyle w:val="Compact"/>
              <w:jc w:val="left"/>
            </w:pPr>
            <w:r>
              <w:rPr>
                <w:sz w:val="16"/>
              </w:rPr>
              <w:t xml:space="preserve">Medicaid authority; manages Medicaid global budget under AHEAD alignment; oversees Blueprint for Health and OneCare wind-down</w:t>
            </w:r>
          </w:p>
        </w:tc>
        <w:tc>
          <w:tcPr>
            <w:tcW w:w="2451" w:type="dxa"/>
          </w:tcPr>
          <w:p>
            <w:pPr>
              <w:pStyle w:val="Compact"/>
              <w:jc w:val="left"/>
            </w:pPr>
            <w:r>
              <w:rPr>
                <w:sz w:val="16"/>
              </w:rPr>
              <w:t xml:space="preserve">Medicaid contract terms; Blueprint for Health funding; Medicaid global budget design under AHEAD</w:t>
            </w:r>
          </w:p>
        </w:tc>
        <w:tc>
          <w:tcPr>
            <w:tcW w:w="2451" w:type="dxa"/>
          </w:tcPr>
          <w:p>
            <w:pPr>
              <w:pStyle w:val="Compact"/>
              <w:jc w:val="left"/>
            </w:pPr>
            <w:r>
              <w:rPr>
                <w:sz w:val="16"/>
              </w:rPr>
              <w:t xml:space="preserve">Managing AHEAD Medicaid alignment; Blueprint for Health expansion; post-OneCare transition</w:t>
            </w:r>
          </w:p>
        </w:tc>
      </w:tr>
      <w:tr>
        <w:trPr>
          <w:cantSplit/>
        </w:trPr>
        <w:tc>
          <w:tcPr>
            <w:tcW w:w="1716" w:type="dxa"/>
          </w:tcPr>
          <w:p>
            <w:pPr>
              <w:pStyle w:val="Compact"/>
              <w:jc w:val="left"/>
            </w:pPr>
            <w:r>
              <w:rPr>
                <w:sz w:val="16"/>
              </w:rPr>
              <w:t xml:space="preserve">Health Care Delivery Advisory Committee</w:t>
            </w:r>
          </w:p>
        </w:tc>
        <w:tc>
          <w:tcPr>
            <w:tcW w:w="2451" w:type="dxa"/>
          </w:tcPr>
          <w:p>
            <w:pPr>
              <w:pStyle w:val="Compact"/>
              <w:jc w:val="left"/>
            </w:pPr>
            <w:r>
              <w:rPr>
                <w:sz w:val="16"/>
              </w:rPr>
              <w:t xml:space="preserve">Provides accountability oversight; sets affordability benchmarks; advises on evaluation process for the health care delivery system</w:t>
            </w:r>
          </w:p>
        </w:tc>
        <w:tc>
          <w:tcPr>
            <w:tcW w:w="2451" w:type="dxa"/>
          </w:tcPr>
          <w:p>
            <w:pPr>
              <w:pStyle w:val="Compact"/>
              <w:jc w:val="left"/>
            </w:pPr>
            <w:r>
              <w:rPr>
                <w:sz w:val="16"/>
              </w:rPr>
              <w:t xml:space="preserve">Advisory authority; stakeholder input; ongoing monitoring of strategic plan progress</w:t>
            </w:r>
          </w:p>
        </w:tc>
        <w:tc>
          <w:tcPr>
            <w:tcW w:w="2451" w:type="dxa"/>
          </w:tcPr>
          <w:p>
            <w:pPr>
              <w:pStyle w:val="Compact"/>
              <w:jc w:val="left"/>
            </w:pPr>
            <w:r>
              <w:rPr>
                <w:sz w:val="16"/>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11.2.2  </w:t>
      </w:r>
      <w:bookmarkStart w:id="1308" w:name="_Toc1307"/>
      <w:r>
        <w:rPr>
          <w:b/>
          <w:bCs/>
          <w:color w:val="161B22"/>
        </w:rPr>
        <w:t xml:space="preserve">The Transformation Planning Sequence</w:t>
      </w:r>
      <w:bookmarkEnd w:id="1308"/>
    </w:p>
    <w:p>
      <w:pPr>
        <w:pStyle w:val="FirstParagraph"/>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327"/>
        <w:gridCol w:w="4435"/>
        <w:gridCol w:w="1626"/>
        <w:gridCol w:w="4435"/>
      </w:tblGrid>
      <w:tr>
        <w:trPr>
          <w:tblHeader w:val="on"/>
          <w:cantSplit/>
        </w:trPr>
        <w:tc>
          <w:tcPr>
            <w:shd w:val="clear" w:color="auto" w:fill="1B3A6B"/>
            <w:tcW w:w="2183" w:type="dxa"/>
          </w:tcPr>
          <w:p>
            <w:pPr>
              <w:pStyle w:val="Compact"/>
              <w:jc w:val="left"/>
            </w:pPr>
            <w:r>
              <w:rPr>
                <w:b/>
                <w:color w:val="FFFFFF"/>
                <w:sz w:val="16"/>
              </w:rPr>
              <w:t xml:space="preserve">Phase</w:t>
            </w:r>
          </w:p>
        </w:tc>
        <w:tc>
          <w:tcPr>
            <w:shd w:val="clear" w:color="auto" w:fill="1B3A6B"/>
            <w:tcW w:w="2910" w:type="dxa"/>
          </w:tcPr>
          <w:p>
            <w:pPr>
              <w:pStyle w:val="Compact"/>
              <w:jc w:val="left"/>
            </w:pPr>
            <w:r>
              <w:rPr>
                <w:b/>
                <w:color w:val="FFFFFF"/>
                <w:sz w:val="16"/>
              </w:rPr>
              <w:t xml:space="preserve">Content</w:t>
            </w:r>
          </w:p>
        </w:tc>
        <w:tc>
          <w:tcPr>
            <w:shd w:val="clear" w:color="auto" w:fill="1B3A6B"/>
            <w:tcW w:w="1067" w:type="dxa"/>
          </w:tcPr>
          <w:p>
            <w:pPr>
              <w:pStyle w:val="Compact"/>
              <w:jc w:val="left"/>
            </w:pPr>
            <w:r>
              <w:rPr>
                <w:b/>
                <w:color w:val="FFFFFF"/>
                <w:sz w:val="16"/>
              </w:rPr>
              <w:t xml:space="preserve">Timing</w:t>
            </w:r>
          </w:p>
        </w:tc>
        <w:tc>
          <w:tcPr>
            <w:shd w:val="clear" w:color="auto" w:fill="1B3A6B"/>
            <w:tcW w:w="2910" w:type="dxa"/>
          </w:tcPr>
          <w:p>
            <w:pPr>
              <w:pStyle w:val="Compact"/>
              <w:jc w:val="left"/>
            </w:pPr>
            <w:r>
              <w:rPr>
                <w:b/>
                <w:color w:val="FFFFFF"/>
                <w:sz w:val="16"/>
              </w:rPr>
              <w:t xml:space="preserve">AHS role</w:t>
            </w:r>
          </w:p>
        </w:tc>
      </w:tr>
      <w:tr>
        <w:trPr>
          <w:cantSplit/>
        </w:trPr>
        <w:tc>
          <w:tcPr>
            <w:tcW w:w="2183" w:type="dxa"/>
          </w:tcPr>
          <w:p>
            <w:pPr>
              <w:pStyle w:val="Compact"/>
              <w:jc w:val="left"/>
            </w:pPr>
            <w:r>
              <w:rPr>
                <w:sz w:val="16"/>
              </w:rPr>
              <w:t xml:space="preserve">1. Data review and baseline</w:t>
            </w:r>
          </w:p>
        </w:tc>
        <w:tc>
          <w:tcPr>
            <w:tcW w:w="2910" w:type="dxa"/>
          </w:tcPr>
          <w:p>
            <w:pPr>
              <w:pStyle w:val="Compact"/>
              <w:jc w:val="left"/>
            </w:pPr>
            <w:r>
              <w:rPr>
                <w:sz w:val="16"/>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6"/>
              </w:rPr>
              <w:t xml:space="preserve">May–June 2025</w:t>
            </w:r>
          </w:p>
        </w:tc>
        <w:tc>
          <w:tcPr>
            <w:tcW w:w="2910" w:type="dxa"/>
          </w:tcPr>
          <w:p>
            <w:pPr>
              <w:pStyle w:val="Compact"/>
              <w:jc w:val="left"/>
            </w:pPr>
            <w:r>
              <w:rPr>
                <w:sz w:val="16"/>
              </w:rPr>
              <w:t xml:space="preserve">RHRC provides technical assistance; AHS reviews data with hospitals; GMCB provides benchmark data</w:t>
            </w:r>
          </w:p>
        </w:tc>
      </w:tr>
      <w:tr>
        <w:trPr>
          <w:cantSplit/>
        </w:trPr>
        <w:tc>
          <w:tcPr>
            <w:tcW w:w="2183" w:type="dxa"/>
          </w:tcPr>
          <w:p>
            <w:pPr>
              <w:pStyle w:val="Compact"/>
              <w:jc w:val="left"/>
            </w:pPr>
            <w:r>
              <w:rPr>
                <w:sz w:val="16"/>
              </w:rPr>
              <w:t xml:space="preserve">2. Statewide and regional convenings</w:t>
            </w:r>
          </w:p>
        </w:tc>
        <w:tc>
          <w:tcPr>
            <w:tcW w:w="2910" w:type="dxa"/>
          </w:tcPr>
          <w:p>
            <w:pPr>
              <w:pStyle w:val="Compact"/>
              <w:jc w:val="left"/>
            </w:pPr>
            <w:r>
              <w:rPr>
                <w:sz w:val="16"/>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6"/>
              </w:rPr>
              <w:t xml:space="preserve">Summer–Fall 2025</w:t>
            </w:r>
          </w:p>
        </w:tc>
        <w:tc>
          <w:tcPr>
            <w:tcW w:w="2910" w:type="dxa"/>
          </w:tcPr>
          <w:p>
            <w:pPr>
              <w:pStyle w:val="Compact"/>
              <w:jc w:val="left"/>
            </w:pPr>
            <w:r>
              <w:rPr>
                <w:sz w:val="16"/>
              </w:rPr>
              <w:t xml:space="preserve">AHS and Blueprint for Health convene; regional groups self-organize around specific opportunity areas</w:t>
            </w:r>
          </w:p>
        </w:tc>
      </w:tr>
      <w:tr>
        <w:trPr>
          <w:cantSplit/>
        </w:trPr>
        <w:tc>
          <w:tcPr>
            <w:tcW w:w="2183" w:type="dxa"/>
          </w:tcPr>
          <w:p>
            <w:pPr>
              <w:pStyle w:val="Compact"/>
              <w:jc w:val="left"/>
            </w:pPr>
            <w:r>
              <w:rPr>
                <w:sz w:val="16"/>
              </w:rPr>
              <w:t xml:space="preserve">3. Draft Care Transformation Strategy Outline</w:t>
            </w:r>
          </w:p>
        </w:tc>
        <w:tc>
          <w:tcPr>
            <w:tcW w:w="2910" w:type="dxa"/>
          </w:tcPr>
          <w:p>
            <w:pPr>
              <w:pStyle w:val="Compact"/>
              <w:jc w:val="left"/>
            </w:pPr>
            <w:r>
              <w:rPr>
                <w:sz w:val="16"/>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6"/>
              </w:rPr>
              <w:t xml:space="preserve">Fall 2025</w:t>
            </w:r>
          </w:p>
        </w:tc>
        <w:tc>
          <w:tcPr>
            <w:tcW w:w="2910" w:type="dxa"/>
          </w:tcPr>
          <w:p>
            <w:pPr>
              <w:pStyle w:val="Compact"/>
              <w:jc w:val="left"/>
            </w:pPr>
            <w:r>
              <w:rPr>
                <w:sz w:val="16"/>
              </w:rPr>
              <w:t xml:space="preserve">AHS reviews outlines; provides feedback; all eligible hospitals submitted applications for Act 68 transformation grants</w:t>
            </w:r>
          </w:p>
        </w:tc>
      </w:tr>
      <w:tr>
        <w:trPr>
          <w:cantSplit/>
        </w:trPr>
        <w:tc>
          <w:tcPr>
            <w:tcW w:w="2183" w:type="dxa"/>
          </w:tcPr>
          <w:p>
            <w:pPr>
              <w:pStyle w:val="Compact"/>
              <w:jc w:val="left"/>
            </w:pPr>
            <w:r>
              <w:rPr>
                <w:sz w:val="16"/>
              </w:rPr>
              <w:t xml:space="preserve">4. Draft Transformation Plan</w:t>
            </w:r>
          </w:p>
        </w:tc>
        <w:tc>
          <w:tcPr>
            <w:tcW w:w="2910" w:type="dxa"/>
          </w:tcPr>
          <w:p>
            <w:pPr>
              <w:pStyle w:val="Compact"/>
              <w:jc w:val="left"/>
            </w:pPr>
            <w:r>
              <w:rPr>
                <w:sz w:val="16"/>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6"/>
              </w:rPr>
              <w:t xml:space="preserve">Winter 2025–2026</w:t>
            </w:r>
          </w:p>
        </w:tc>
        <w:tc>
          <w:tcPr>
            <w:tcW w:w="2910" w:type="dxa"/>
          </w:tcPr>
          <w:p>
            <w:pPr>
              <w:pStyle w:val="Compact"/>
              <w:jc w:val="left"/>
            </w:pPr>
            <w:r>
              <w:rPr>
                <w:sz w:val="16"/>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6"/>
              </w:rPr>
              <w:t xml:space="preserve">5. Final Transformation Plan</w:t>
            </w:r>
          </w:p>
        </w:tc>
        <w:tc>
          <w:tcPr>
            <w:tcW w:w="2910" w:type="dxa"/>
          </w:tcPr>
          <w:p>
            <w:pPr>
              <w:pStyle w:val="Compact"/>
              <w:jc w:val="left"/>
            </w:pPr>
            <w:r>
              <w:rPr>
                <w:sz w:val="16"/>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6"/>
              </w:rPr>
              <w:t xml:space="preserve">Early 2026 and ongoing</w:t>
            </w:r>
          </w:p>
        </w:tc>
        <w:tc>
          <w:tcPr>
            <w:tcW w:w="2910" w:type="dxa"/>
          </w:tcPr>
          <w:p>
            <w:pPr>
              <w:pStyle w:val="Compact"/>
              <w:jc w:val="left"/>
            </w:pPr>
            <w:r>
              <w:rPr>
                <w:sz w:val="16"/>
              </w:rPr>
              <w:t xml:space="preserve">AHS integrates across 14 plans; identifies statewide priorities; allocates RHT Program capital to support implementation</w:t>
            </w:r>
          </w:p>
        </w:tc>
      </w:tr>
    </w:tbl>
    <w:p>
      <w:pPr>
        <w:pStyle w:val="Caption"/>
      </w:pPr>
      <w:r>
        <w:rPr>
          <w:i/>
          <w:iCs/>
        </w:rPr>
        <w:t xml:space="preserve">Figure 11.2 — Vermont hospital transformation planning sequence. Sources: AHS Health Care Transformation website; AHS November 2025 Act 68 Report; AHS January 2025 Legislative Presentation.</w:t>
      </w:r>
    </w:p>
    <w:p>
      <w:pPr>
        <w:sectPr>
          <w:footerReference w:type="default" r:id="rId10"/>
          <w:pgSz w:w="15840" w:h="12240" w:orient="landscape"/>
          <w:pgMar w:top="720" w:bottom="720" w:left="1008" w:right="1008" w:header="360" w:footer="360" w:gutter="0"/>
        </w:sectPr>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7"/>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7"/>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7"/>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7"/>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7"/>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pPr>
    </w:p>
    <w:p>
      <w:pPr>
        <w:pStyle w:val="BodyText"/>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autofit"/>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cantSplit/>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cantSplit/>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290"/>
        <w:gridCol w:w="1143"/>
        <w:gridCol w:w="2668"/>
        <w:gridCol w:w="5721"/>
      </w:tblGrid>
      <w:tr>
        <w:trPr>
          <w:tblHeader w:val="on"/>
        </w:trPr>
        <w:tc>
          <w:tcPr>
            <w:shd w:val="clear" w:color="auto" w:fill="1B3A6B"/>
            <w:tcW w:w="2815" w:type="dxa"/>
          </w:tcPr>
          <w:p>
            <w:pPr>
              <w:pStyle w:val="Compact"/>
              <w:jc w:val="left"/>
            </w:pPr>
            <w:r>
              <w:rPr>
                <w:b/>
                <w:color w:val="FFFFFF"/>
                <w:sz w:val="16"/>
              </w:rPr>
              <w:t xml:space="preserve">Hospital (HSA)</w:t>
            </w:r>
          </w:p>
        </w:tc>
        <w:tc>
          <w:tcPr>
            <w:shd w:val="clear" w:color="auto" w:fill="1B3A6B"/>
            <w:tcW w:w="750" w:type="dxa"/>
          </w:tcPr>
          <w:p>
            <w:pPr>
              <w:pStyle w:val="Compact"/>
              <w:jc w:val="left"/>
            </w:pPr>
            <w:r>
              <w:rPr>
                <w:b/>
                <w:color w:val="FFFFFF"/>
                <w:sz w:val="16"/>
              </w:rPr>
              <w:t xml:space="preserve">Current COEs</w:t>
            </w:r>
          </w:p>
        </w:tc>
        <w:tc>
          <w:tcPr>
            <w:shd w:val="clear" w:color="auto" w:fill="1B3A6B"/>
            <w:tcW w:w="1751" w:type="dxa"/>
          </w:tcPr>
          <w:p>
            <w:pPr>
              <w:pStyle w:val="Compact"/>
              <w:jc w:val="left"/>
            </w:pPr>
            <w:r>
              <w:rPr>
                <w:b/>
                <w:color w:val="FFFFFF"/>
                <w:sz w:val="16"/>
              </w:rPr>
              <w:t xml:space="preserve">Tier</w:t>
            </w:r>
          </w:p>
        </w:tc>
        <w:tc>
          <w:tcPr>
            <w:shd w:val="clear" w:color="auto" w:fill="1B3A6B"/>
            <w:tcW w:w="3754" w:type="dxa"/>
          </w:tcPr>
          <w:p>
            <w:pPr>
              <w:pStyle w:val="Compact"/>
              <w:jc w:val="left"/>
            </w:pPr>
            <w:r>
              <w:rPr>
                <w:b/>
                <w:color w:val="FFFFFF"/>
                <w:sz w:val="16"/>
              </w:rPr>
              <w:t xml:space="preserve">Key transformation considerations</w:t>
            </w:r>
          </w:p>
        </w:tc>
      </w:tr>
      <w:tr>
        <w:trPr/>
        <w:tc>
          <w:tcPr>
            <w:tcW w:w="2815" w:type="dxa"/>
          </w:tcPr>
          <w:p>
            <w:pPr>
              <w:pStyle w:val="Compact"/>
              <w:jc w:val="left"/>
            </w:pPr>
            <w:r>
              <w:rPr>
                <w:sz w:val="16"/>
              </w:rPr>
              <w:t xml:space="preserve">UVM Medical Center (Burlington)</w:t>
            </w:r>
          </w:p>
        </w:tc>
        <w:tc>
          <w:tcPr>
            <w:tcW w:w="750" w:type="dxa"/>
          </w:tcPr>
          <w:p>
            <w:pPr>
              <w:pStyle w:val="Compact"/>
              <w:jc w:val="left"/>
            </w:pPr>
            <w:r>
              <w:rPr>
                <w:sz w:val="16"/>
              </w:rPr>
              <w:t xml:space="preserve">16</w:t>
            </w:r>
          </w:p>
        </w:tc>
        <w:tc>
          <w:tcPr>
            <w:tcW w:w="1751" w:type="dxa"/>
          </w:tcPr>
          <w:p>
            <w:pPr>
              <w:pStyle w:val="Compact"/>
              <w:jc w:val="left"/>
            </w:pPr>
            <w:r>
              <w:rPr>
                <w:sz w:val="16"/>
              </w:rPr>
              <w:t xml:space="preserve">Tier 1 — Primary RSC</w:t>
            </w:r>
          </w:p>
        </w:tc>
        <w:tc>
          <w:tcPr>
            <w:tcW w:w="3754" w:type="dxa"/>
          </w:tcPr>
          <w:p>
            <w:pPr>
              <w:pStyle w:val="Compact"/>
              <w:jc w:val="left"/>
            </w:pPr>
            <w:r>
              <w:rPr>
                <w:sz w:val="16"/>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6"/>
              </w:rPr>
              <w:t xml:space="preserve">SW VT Medical Center (Bennington)</w:t>
            </w:r>
          </w:p>
        </w:tc>
        <w:tc>
          <w:tcPr>
            <w:tcW w:w="750" w:type="dxa"/>
          </w:tcPr>
          <w:p>
            <w:pPr>
              <w:pStyle w:val="Compact"/>
              <w:jc w:val="left"/>
            </w:pPr>
            <w:r>
              <w:rPr>
                <w:sz w:val="16"/>
              </w:rPr>
              <w:t xml:space="preserve">9</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Strong COE position. Key southern VT anchor. Psych adult/adolescent COE important given behavioral health gaps.</w:t>
            </w:r>
          </w:p>
        </w:tc>
      </w:tr>
      <w:tr>
        <w:trPr/>
        <w:tc>
          <w:tcPr>
            <w:tcW w:w="2815" w:type="dxa"/>
          </w:tcPr>
          <w:p>
            <w:pPr>
              <w:pStyle w:val="Compact"/>
              <w:jc w:val="left"/>
            </w:pPr>
            <w:r>
              <w:rPr>
                <w:sz w:val="16"/>
              </w:rPr>
              <w:t xml:space="preserve">Brattleboro Memorial Hospital</w:t>
            </w:r>
          </w:p>
        </w:tc>
        <w:tc>
          <w:tcPr>
            <w:tcW w:w="750" w:type="dxa"/>
          </w:tcPr>
          <w:p>
            <w:pPr>
              <w:pStyle w:val="Compact"/>
              <w:jc w:val="left"/>
            </w:pPr>
            <w:r>
              <w:rPr>
                <w:sz w:val="16"/>
              </w:rPr>
              <w:t xml:space="preserve">6</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6"/>
              </w:rPr>
              <w:t xml:space="preserve">Rutland Regional Medical Center</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Central Vermont anchor; neurology and psych-adult COEs important. Rutland County has higher opioid overdose rates.</w:t>
            </w:r>
          </w:p>
        </w:tc>
      </w:tr>
      <w:tr>
        <w:trPr/>
        <w:tc>
          <w:tcPr>
            <w:tcW w:w="2815" w:type="dxa"/>
          </w:tcPr>
          <w:p>
            <w:pPr>
              <w:pStyle w:val="Compact"/>
              <w:jc w:val="left"/>
            </w:pPr>
            <w:r>
              <w:rPr>
                <w:sz w:val="16"/>
              </w:rPr>
              <w:t xml:space="preserve">Central VT Medical Center (Barre)</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Radiation therapy and neurology COEs. Washington County (Barre/Montpelier) is second most populous HSA.</w:t>
            </w:r>
          </w:p>
        </w:tc>
      </w:tr>
      <w:tr>
        <w:trPr/>
        <w:tc>
          <w:tcPr>
            <w:tcW w:w="2815" w:type="dxa"/>
          </w:tcPr>
          <w:p>
            <w:pPr>
              <w:pStyle w:val="Compact"/>
              <w:jc w:val="left"/>
            </w:pPr>
            <w:r>
              <w:rPr>
                <w:sz w:val="16"/>
              </w:rPr>
              <w:t xml:space="preserve">NW Medical Center (St. Albans)</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Northern VT anchor. Cancer surgery and radiation COEs. Franklin County workforce hub.</w:t>
            </w:r>
          </w:p>
        </w:tc>
      </w:tr>
      <w:tr>
        <w:trPr/>
        <w:tc>
          <w:tcPr>
            <w:tcW w:w="2815" w:type="dxa"/>
          </w:tcPr>
          <w:p>
            <w:pPr>
              <w:pStyle w:val="Compact"/>
              <w:jc w:val="left"/>
            </w:pPr>
            <w:r>
              <w:rPr>
                <w:sz w:val="16"/>
              </w:rPr>
              <w:t xml:space="preserve">NE VT Regional Hospital (St. Johnsbury)</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Northeast Kingdom anchor — Essex/Caledonia/Orleans have highest uninsurance rates (6-8%) and most rural populations.</w:t>
            </w:r>
          </w:p>
        </w:tc>
      </w:tr>
      <w:tr>
        <w:trPr/>
        <w:tc>
          <w:tcPr>
            <w:tcW w:w="2815" w:type="dxa"/>
          </w:tcPr>
          <w:p>
            <w:pPr>
              <w:pStyle w:val="Compact"/>
              <w:jc w:val="left"/>
            </w:pPr>
            <w:r>
              <w:rPr>
                <w:sz w:val="16"/>
              </w:rPr>
              <w:t xml:space="preserve">Springfield Hospital</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Memory care and psych-adult COEs. High SUD rates in Windsor/Windham corridor.</w:t>
            </w:r>
          </w:p>
        </w:tc>
      </w:tr>
      <w:tr>
        <w:trPr/>
        <w:tc>
          <w:tcPr>
            <w:tcW w:w="2815" w:type="dxa"/>
          </w:tcPr>
          <w:p>
            <w:pPr>
              <w:pStyle w:val="Compact"/>
              <w:jc w:val="left"/>
            </w:pPr>
            <w:r>
              <w:rPr>
                <w:sz w:val="16"/>
              </w:rPr>
              <w:t xml:space="preserve">Copley Hospital (Morrisville)</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Orthopedics and rheumatology COEs. Lamoille County access point. Rural workforce housing challenge.</w:t>
            </w:r>
          </w:p>
        </w:tc>
      </w:tr>
      <w:tr>
        <w:trPr/>
        <w:tc>
          <w:tcPr>
            <w:tcW w:w="2815" w:type="dxa"/>
          </w:tcPr>
          <w:p>
            <w:pPr>
              <w:pStyle w:val="Compact"/>
              <w:jc w:val="left"/>
            </w:pPr>
            <w:r>
              <w:rPr>
                <w:sz w:val="16"/>
              </w:rPr>
              <w:t xml:space="preserve">Mt. Ascutney (White River Jct.)</w:t>
            </w:r>
          </w:p>
        </w:tc>
        <w:tc>
          <w:tcPr>
            <w:tcW w:w="750" w:type="dxa"/>
          </w:tcPr>
          <w:p>
            <w:pPr>
              <w:pStyle w:val="Compact"/>
              <w:jc w:val="left"/>
            </w:pPr>
            <w:r>
              <w:rPr>
                <w:sz w:val="16"/>
              </w:rPr>
              <w:t xml:space="preserve">1</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Rehabilitation COE. Dartmouth Health affiliation creates cross-border care opportunities.</w:t>
            </w:r>
          </w:p>
        </w:tc>
      </w:tr>
      <w:tr>
        <w:trPr/>
        <w:tc>
          <w:tcPr>
            <w:tcW w:w="2815" w:type="dxa"/>
          </w:tcPr>
          <w:p>
            <w:pPr>
              <w:pStyle w:val="Compact"/>
              <w:jc w:val="left"/>
            </w:pPr>
            <w:r>
              <w:rPr>
                <w:sz w:val="16"/>
              </w:rPr>
              <w:t xml:space="preserve">Grace Cottage, Gifford, North Country, Porter</w:t>
            </w:r>
          </w:p>
        </w:tc>
        <w:tc>
          <w:tcPr>
            <w:tcW w:w="750" w:type="dxa"/>
          </w:tcPr>
          <w:p>
            <w:pPr>
              <w:pStyle w:val="Compact"/>
              <w:jc w:val="left"/>
            </w:pPr>
            <w:r>
              <w:rPr>
                <w:sz w:val="16"/>
              </w:rPr>
              <w:t xml:space="preserve">TBD</w:t>
            </w:r>
          </w:p>
        </w:tc>
        <w:tc>
          <w:tcPr>
            <w:tcW w:w="1751" w:type="dxa"/>
          </w:tcPr>
          <w:p>
            <w:pPr>
              <w:pStyle w:val="Compact"/>
              <w:jc w:val="left"/>
            </w:pPr>
            <w:r>
              <w:rPr>
                <w:sz w:val="16"/>
              </w:rPr>
              <w:t xml:space="preserve">Tier 3 — Requires discussion</w:t>
            </w:r>
          </w:p>
        </w:tc>
        <w:tc>
          <w:tcPr>
            <w:tcW w:w="3754" w:type="dxa"/>
          </w:tcPr>
          <w:p>
            <w:pPr>
              <w:pStyle w:val="Compact"/>
              <w:jc w:val="left"/>
            </w:pPr>
            <w:r>
              <w:rPr>
                <w:sz w:val="16"/>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cantSplit/>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141"/>
        <w:gridCol w:w="3894"/>
        <w:gridCol w:w="3894"/>
        <w:gridCol w:w="3894"/>
      </w:tblGrid>
      <w:tr>
        <w:trPr>
          <w:tblHeader w:val="on"/>
          <w:cantSplit/>
        </w:trPr>
        <w:tc>
          <w:tcPr>
            <w:shd w:val="clear" w:color="auto" w:fill="1B3A6B"/>
            <w:tcW w:w="1405" w:type="dxa"/>
          </w:tcPr>
          <w:p>
            <w:pPr>
              <w:pStyle w:val="Compact"/>
              <w:jc w:val="left"/>
            </w:pPr>
            <w:r>
              <w:rPr>
                <w:b/>
                <w:color w:val="FFFFFF"/>
                <w:sz w:val="16"/>
              </w:rPr>
              <w:t xml:space="preserve">Domain</w:t>
            </w:r>
          </w:p>
        </w:tc>
        <w:tc>
          <w:tcPr>
            <w:shd w:val="clear" w:color="auto" w:fill="1B3A6B"/>
            <w:tcW w:w="2555" w:type="dxa"/>
          </w:tcPr>
          <w:p>
            <w:pPr>
              <w:pStyle w:val="Compact"/>
              <w:jc w:val="left"/>
            </w:pPr>
            <w:r>
              <w:rPr>
                <w:b/>
                <w:color w:val="FFFFFF"/>
                <w:sz w:val="16"/>
              </w:rPr>
              <w:t xml:space="preserve">Key metrics</w:t>
            </w:r>
          </w:p>
        </w:tc>
        <w:tc>
          <w:tcPr>
            <w:shd w:val="clear" w:color="auto" w:fill="1B3A6B"/>
            <w:tcW w:w="2555" w:type="dxa"/>
          </w:tcPr>
          <w:p>
            <w:pPr>
              <w:pStyle w:val="Compact"/>
              <w:jc w:val="left"/>
            </w:pPr>
            <w:r>
              <w:rPr>
                <w:b/>
                <w:color w:val="FFFFFF"/>
                <w:sz w:val="16"/>
              </w:rPr>
              <w:t xml:space="preserve">Data source</w:t>
            </w:r>
          </w:p>
        </w:tc>
        <w:tc>
          <w:tcPr>
            <w:shd w:val="clear" w:color="auto" w:fill="1B3A6B"/>
            <w:tcW w:w="2555" w:type="dxa"/>
          </w:tcPr>
          <w:p>
            <w:pPr>
              <w:pStyle w:val="Compact"/>
              <w:jc w:val="left"/>
            </w:pPr>
            <w:r>
              <w:rPr>
                <w:b/>
                <w:color w:val="FFFFFF"/>
                <w:sz w:val="16"/>
              </w:rPr>
              <w:t xml:space="preserve">Target direction</w:t>
            </w:r>
          </w:p>
        </w:tc>
      </w:tr>
      <w:tr>
        <w:trPr>
          <w:cantSplit/>
        </w:trPr>
        <w:tc>
          <w:tcPr>
            <w:tcW w:w="1405" w:type="dxa"/>
          </w:tcPr>
          <w:p>
            <w:pPr>
              <w:pStyle w:val="Compact"/>
              <w:jc w:val="left"/>
            </w:pPr>
            <w:r>
              <w:rPr>
                <w:sz w:val="16"/>
              </w:rPr>
              <w:t xml:space="preserve">Hospital financial sustainability</w:t>
            </w:r>
          </w:p>
        </w:tc>
        <w:tc>
          <w:tcPr>
            <w:tcW w:w="2555" w:type="dxa"/>
          </w:tcPr>
          <w:p>
            <w:pPr>
              <w:pStyle w:val="Compact"/>
              <w:jc w:val="left"/>
            </w:pPr>
            <w:r>
              <w:rPr>
                <w:sz w:val="16"/>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6"/>
              </w:rPr>
              <w:t xml:space="preserve">GMCB hospital budget data; CMS cost reports; NASHP Hospital Cost Tool</w:t>
            </w:r>
          </w:p>
        </w:tc>
        <w:tc>
          <w:tcPr>
            <w:tcW w:w="2555" w:type="dxa"/>
          </w:tcPr>
          <w:p>
            <w:pPr>
              <w:pStyle w:val="Compact"/>
              <w:jc w:val="left"/>
            </w:pPr>
            <w:r>
              <w:rPr>
                <w:sz w:val="16"/>
              </w:rPr>
              <w:t xml:space="preserve">CAH: toward $2,784 benchmark. PPS admin cost: toward $1,427 benchmark. Travel nursing: reduce toward 5-10% of total labor</w:t>
            </w:r>
          </w:p>
        </w:tc>
      </w:tr>
      <w:tr>
        <w:trPr>
          <w:cantSplit/>
        </w:trPr>
        <w:tc>
          <w:tcPr>
            <w:tcW w:w="1405" w:type="dxa"/>
          </w:tcPr>
          <w:p>
            <w:pPr>
              <w:pStyle w:val="Compact"/>
              <w:jc w:val="left"/>
            </w:pPr>
            <w:r>
              <w:rPr>
                <w:sz w:val="16"/>
              </w:rPr>
              <w:t xml:space="preserve">Care access</w:t>
            </w:r>
          </w:p>
        </w:tc>
        <w:tc>
          <w:tcPr>
            <w:tcW w:w="2555" w:type="dxa"/>
          </w:tcPr>
          <w:p>
            <w:pPr>
              <w:pStyle w:val="Compact"/>
              <w:jc w:val="left"/>
            </w:pPr>
            <w:r>
              <w:rPr>
                <w:sz w:val="16"/>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6"/>
              </w:rPr>
              <w:t xml:space="preserve">VCCI; GMCB; VDH; Blueprint for Health</w:t>
            </w:r>
          </w:p>
        </w:tc>
        <w:tc>
          <w:tcPr>
            <w:tcW w:w="2555" w:type="dxa"/>
          </w:tcPr>
          <w:p>
            <w:pPr>
              <w:pStyle w:val="Compact"/>
              <w:jc w:val="left"/>
            </w:pPr>
            <w:r>
              <w:rPr>
                <w:sz w:val="16"/>
              </w:rPr>
              <w:t xml:space="preserve">Primary care acceptance: increase from 59%. Avoidable ED visits: reduce from 32.3%. 30-day MH follow-up: increase from 76%</w:t>
            </w:r>
          </w:p>
        </w:tc>
      </w:tr>
      <w:tr>
        <w:trPr>
          <w:cantSplit/>
        </w:trPr>
        <w:tc>
          <w:tcPr>
            <w:tcW w:w="1405" w:type="dxa"/>
          </w:tcPr>
          <w:p>
            <w:pPr>
              <w:pStyle w:val="Compact"/>
              <w:jc w:val="left"/>
            </w:pPr>
            <w:r>
              <w:rPr>
                <w:sz w:val="16"/>
              </w:rPr>
              <w:t xml:space="preserve">Population health</w:t>
            </w:r>
          </w:p>
        </w:tc>
        <w:tc>
          <w:tcPr>
            <w:tcW w:w="2555" w:type="dxa"/>
          </w:tcPr>
          <w:p>
            <w:pPr>
              <w:pStyle w:val="Compact"/>
              <w:jc w:val="left"/>
            </w:pPr>
            <w:r>
              <w:rPr>
                <w:sz w:val="16"/>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6"/>
              </w:rPr>
              <w:t xml:space="preserve">Blueprint for Health; VDH; CMS</w:t>
            </w:r>
          </w:p>
        </w:tc>
        <w:tc>
          <w:tcPr>
            <w:tcW w:w="2555" w:type="dxa"/>
          </w:tcPr>
          <w:p>
            <w:pPr>
              <w:pStyle w:val="Compact"/>
              <w:jc w:val="left"/>
            </w:pPr>
            <w:r>
              <w:rPr>
                <w:sz w:val="16"/>
              </w:rPr>
              <w:t xml:space="preserve">Hypertension control: maintain 77%; diabetes: reduce 22% not-controlled; readmission: maintain at/below 14.8%</w:t>
            </w:r>
          </w:p>
        </w:tc>
      </w:tr>
      <w:tr>
        <w:trPr>
          <w:cantSplit/>
        </w:trPr>
        <w:tc>
          <w:tcPr>
            <w:tcW w:w="1405" w:type="dxa"/>
          </w:tcPr>
          <w:p>
            <w:pPr>
              <w:pStyle w:val="Compact"/>
              <w:jc w:val="left"/>
            </w:pPr>
            <w:r>
              <w:rPr>
                <w:sz w:val="16"/>
              </w:rPr>
              <w:t xml:space="preserve">Cost and affordability</w:t>
            </w:r>
          </w:p>
        </w:tc>
        <w:tc>
          <w:tcPr>
            <w:tcW w:w="2555" w:type="dxa"/>
          </w:tcPr>
          <w:p>
            <w:pPr>
              <w:pStyle w:val="Compact"/>
              <w:jc w:val="left"/>
            </w:pPr>
            <w:r>
              <w:rPr>
                <w:sz w:val="16"/>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6"/>
              </w:rPr>
              <w:t xml:space="preserve">GMCB; insurance rate filings; CMS; VHCURES</w:t>
            </w:r>
          </w:p>
        </w:tc>
        <w:tc>
          <w:tcPr>
            <w:tcW w:w="2555" w:type="dxa"/>
          </w:tcPr>
          <w:p>
            <w:pPr>
              <w:pStyle w:val="Compact"/>
              <w:jc w:val="left"/>
            </w:pPr>
            <w:r>
              <w:rPr>
                <w:sz w:val="16"/>
              </w:rPr>
              <w:t xml:space="preserve">PMPM cost: below AHEAD total cost of care targets. Premium growth: reduce toward CPI. MLR: maintain 89%+</w:t>
            </w:r>
          </w:p>
        </w:tc>
      </w:tr>
      <w:tr>
        <w:trPr>
          <w:cantSplit/>
        </w:trPr>
        <w:tc>
          <w:tcPr>
            <w:tcW w:w="1405" w:type="dxa"/>
          </w:tcPr>
          <w:p>
            <w:pPr>
              <w:pStyle w:val="Compact"/>
              <w:jc w:val="left"/>
            </w:pPr>
            <w:r>
              <w:rPr>
                <w:sz w:val="16"/>
              </w:rPr>
              <w:t xml:space="preserve">Equity</w:t>
            </w:r>
          </w:p>
        </w:tc>
        <w:tc>
          <w:tcPr>
            <w:tcW w:w="2555" w:type="dxa"/>
          </w:tcPr>
          <w:p>
            <w:pPr>
              <w:pStyle w:val="Compact"/>
              <w:jc w:val="left"/>
            </w:pPr>
            <w:r>
              <w:rPr>
                <w:sz w:val="16"/>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6"/>
              </w:rPr>
              <w:t xml:space="preserve">VDH BRFSS; GMCB; VHCURES</w:t>
            </w:r>
          </w:p>
        </w:tc>
        <w:tc>
          <w:tcPr>
            <w:tcW w:w="2555" w:type="dxa"/>
          </w:tcPr>
          <w:p>
            <w:pPr>
              <w:pStyle w:val="Compact"/>
              <w:jc w:val="left"/>
            </w:pPr>
            <w:r>
              <w:rPr>
                <w:sz w:val="16"/>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6"/>
              </w:rPr>
              <w:t xml:space="preserve">Operations efficiency</w:t>
            </w:r>
          </w:p>
        </w:tc>
        <w:tc>
          <w:tcPr>
            <w:tcW w:w="2555" w:type="dxa"/>
          </w:tcPr>
          <w:p>
            <w:pPr>
              <w:pStyle w:val="Compact"/>
              <w:jc w:val="left"/>
            </w:pPr>
            <w:r>
              <w:rPr>
                <w:sz w:val="16"/>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6"/>
              </w:rPr>
              <w:t xml:space="preserve">EMS records; GMCB; hospital transformation plans</w:t>
            </w:r>
          </w:p>
        </w:tc>
        <w:tc>
          <w:tcPr>
            <w:tcW w:w="2555" w:type="dxa"/>
          </w:tcPr>
          <w:p>
            <w:pPr>
              <w:pStyle w:val="Compact"/>
              <w:jc w:val="left"/>
            </w:pPr>
            <w:r>
              <w:rPr>
                <w:sz w:val="16"/>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pPr>
      <w:r>
        <w:rPr>
          <w:color w:val="161B22"/>
        </w:rPr>
        <w:t xml:space="preserve">11.9  </w:t>
      </w:r>
      <w:bookmarkStart w:id="1325" w:name="_Toc1324"/>
      <w:r>
        <w:rPr>
          <w:b/>
          <w:bCs/>
          <w:color w:val="161B22"/>
        </w:rPr>
        <w:t xml:space="preserve">Work This Chapter on the Platform</w:t>
      </w:r>
      <w:bookmarkEnd w:id="1325"/>
    </w:p>
    <w:p>
      <w:pPr>
        <w:pStyle w:val="FirstParagraph"/>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Track six-pillar transformation status against baseline and target</w:t>
            </w:r>
          </w:p>
        </w:tc>
        <w:tc>
          <w:tcPr>
            <w:tcW w:w="3024"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4" w:type="dxa"/>
          </w:tcPr>
          <w:p>
            <w:pPr>
              <w:pStyle w:val="Compact"/>
              <w:jc w:val="left"/>
            </w:pPr>
            <w:r>
              <w:rPr>
                <w:sz w:val="18"/>
              </w:rPr>
              <w:t xml:space="preserve">Whether operational capacity is keeping pace with the statutory execution timeline.</w:t>
            </w:r>
          </w:p>
        </w:tc>
      </w:tr>
      <w:tr>
        <w:trPr>
          <w:cantSplit/>
        </w:trPr>
        <w:tc>
          <w:tcPr>
            <w:tcW w:w="3024" w:type="dxa"/>
          </w:tcPr>
          <w:p>
            <w:pPr>
              <w:pStyle w:val="Compact"/>
              <w:jc w:val="left"/>
            </w:pPr>
            <w:r>
              <w:rPr>
                <w:sz w:val="18"/>
              </w:rPr>
              <w:t xml:space="preserve">Project physician and nurse supply/demand and the cost of turnover</w:t>
            </w:r>
          </w:p>
        </w:tc>
        <w:tc>
          <w:tcPr>
            <w:tcW w:w="3024"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4" w:type="dxa"/>
          </w:tcPr>
          <w:p>
            <w:pPr>
              <w:pStyle w:val="Compact"/>
              <w:jc w:val="left"/>
            </w:pPr>
            <w:r>
              <w:rPr>
                <w:sz w:val="18"/>
              </w:rPr>
              <w:t xml:space="preserve">The workforce gap that the $1,303 per-discharge administrative-cost gap must fund closing.</w:t>
            </w:r>
          </w:p>
        </w:tc>
      </w:tr>
      <w:tr>
        <w:trPr>
          <w:cantSplit/>
        </w:trPr>
        <w:tc>
          <w:tcPr>
            <w:tcW w:w="3024" w:type="dxa"/>
          </w:tcPr>
          <w:p>
            <w:pPr>
              <w:pStyle w:val="Compact"/>
              <w:jc w:val="left"/>
            </w:pPr>
            <w:r>
              <w:rPr>
                <w:sz w:val="18"/>
              </w:rPr>
              <w:t xml:space="preserve">Model the RHT-funded CIN’s shared services against the $1,303/discharge administrative premium</w:t>
            </w:r>
          </w:p>
        </w:tc>
        <w:tc>
          <w:tcPr>
            <w:tcW w:w="3024"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4" w:type="dxa"/>
          </w:tcPr>
          <w:p>
            <w:pPr>
              <w:pStyle w:val="Compact"/>
              <w:jc w:val="left"/>
            </w:pPr>
            <w:r>
              <w:rPr>
                <w:sz w:val="18"/>
              </w:rPr>
              <w:t xml:space="preserve">Where consolidating billing, coding, credentialing, HR, and IT across the 14 hospitals reaches the scale that pays for itself.</w:t>
            </w:r>
          </w:p>
        </w:tc>
      </w:tr>
      <w:tr>
        <w:trPr>
          <w:cantSplit/>
        </w:trPr>
        <w:tc>
          <w:tcPr>
            <w:tcW w:w="3024" w:type="dxa"/>
          </w:tcPr>
          <w:p>
            <w:pPr>
              <w:pStyle w:val="Compact"/>
              <w:jc w:val="left"/>
            </w:pPr>
            <w:r>
              <w:rPr>
                <w:sz w:val="18"/>
              </w:rPr>
              <w:t xml:space="preserve">Model regionalizing Vermont’s 31 EMS agencies and community-paramedicine ED diversion</w:t>
            </w:r>
          </w:p>
        </w:tc>
        <w:tc>
          <w:tcPr>
            <w:tcW w:w="3024"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4" w:type="dxa"/>
          </w:tcPr>
          <w:p>
            <w:pPr>
              <w:pStyle w:val="Compact"/>
              <w:jc w:val="left"/>
            </w:pPr>
            <w:r>
              <w:rPr>
                <w:sz w:val="18"/>
              </w:rPr>
              <w:t xml:space="preserve">How treat-and-refer and regionalization convert fragmentation into margin under global budgets.</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Attribution error type</w:t>
            </w:r>
          </w:p>
        </w:tc>
        <w:tc>
          <w:tcPr>
            <w:shd w:val="clear" w:color="auto" w:fill="1B3A6B"/>
            <w:tcW w:w="2579" w:type="dxa"/>
          </w:tcPr>
          <w:p>
            <w:pPr>
              <w:pStyle w:val="Compact"/>
              <w:jc w:val="left"/>
            </w:pPr>
            <w:r>
              <w:rPr>
                <w:b/>
                <w:color w:val="FFFFFF"/>
                <w:sz w:val="16"/>
              </w:rPr>
              <w:t xml:space="preserve">How it happens</w:t>
            </w:r>
          </w:p>
        </w:tc>
        <w:tc>
          <w:tcPr>
            <w:shd w:val="clear" w:color="auto" w:fill="1B3A6B"/>
            <w:tcW w:w="2579" w:type="dxa"/>
          </w:tcPr>
          <w:p>
            <w:pPr>
              <w:pStyle w:val="Compact"/>
              <w:jc w:val="left"/>
            </w:pPr>
            <w:r>
              <w:rPr>
                <w:b/>
                <w:color w:val="FFFFFF"/>
                <w:sz w:val="16"/>
              </w:rPr>
              <w:t xml:space="preserve">Financial impact</w:t>
            </w:r>
          </w:p>
        </w:tc>
        <w:tc>
          <w:tcPr>
            <w:shd w:val="clear" w:color="auto" w:fill="1B3A6B"/>
            <w:tcW w:w="2579" w:type="dxa"/>
          </w:tcPr>
          <w:p>
            <w:pPr>
              <w:pStyle w:val="Compact"/>
              <w:jc w:val="left"/>
            </w:pPr>
            <w:r>
              <w:rPr>
                <w:b/>
                <w:color w:val="FFFFFF"/>
                <w:sz w:val="16"/>
              </w:rPr>
              <w:t xml:space="preserve">Remediation</w:t>
            </w:r>
          </w:p>
        </w:tc>
      </w:tr>
      <w:tr>
        <w:trPr>
          <w:cantSplit/>
        </w:trPr>
        <w:tc>
          <w:tcPr>
            <w:tcW w:w="1332" w:type="dxa"/>
          </w:tcPr>
          <w:p>
            <w:pPr>
              <w:pStyle w:val="Compact"/>
              <w:jc w:val="left"/>
            </w:pPr>
            <w:r>
              <w:rPr>
                <w:sz w:val="16"/>
              </w:rPr>
              <w:t xml:space="preserve">False attributions</w:t>
            </w:r>
          </w:p>
        </w:tc>
        <w:tc>
          <w:tcPr>
            <w:tcW w:w="2579" w:type="dxa"/>
          </w:tcPr>
          <w:p>
            <w:pPr>
              <w:pStyle w:val="Compact"/>
              <w:jc w:val="left"/>
            </w:pPr>
            <w:r>
              <w:rPr>
                <w:sz w:val="16"/>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6"/>
              </w:rPr>
              <w:t xml:space="preserve">Your organization bears cost of care you did not deliver and cannot manage</w:t>
            </w:r>
          </w:p>
        </w:tc>
        <w:tc>
          <w:tcPr>
            <w:tcW w:w="2579" w:type="dxa"/>
          </w:tcPr>
          <w:p>
            <w:pPr>
              <w:pStyle w:val="Compact"/>
              <w:jc w:val="left"/>
            </w:pPr>
            <w:r>
              <w:rPr>
                <w:sz w:val="16"/>
              </w:rPr>
              <w:t xml:space="preserve">Regular attribution list review; proactive patient outreach to confirm active care relationship; request attribution corrections from payer using patient-level evidence</w:t>
            </w:r>
          </w:p>
        </w:tc>
      </w:tr>
      <w:tr>
        <w:trPr>
          <w:cantSplit/>
        </w:trPr>
        <w:tc>
          <w:tcPr>
            <w:tcW w:w="1332" w:type="dxa"/>
          </w:tcPr>
          <w:p>
            <w:pPr>
              <w:pStyle w:val="Compact"/>
              <w:jc w:val="left"/>
            </w:pPr>
            <w:r>
              <w:rPr>
                <w:sz w:val="16"/>
              </w:rPr>
              <w:t xml:space="preserve">Missing attributions</w:t>
            </w:r>
          </w:p>
        </w:tc>
        <w:tc>
          <w:tcPr>
            <w:tcW w:w="2579" w:type="dxa"/>
          </w:tcPr>
          <w:p>
            <w:pPr>
              <w:pStyle w:val="Compact"/>
              <w:jc w:val="left"/>
            </w:pPr>
            <w:r>
              <w:rPr>
                <w:sz w:val="16"/>
              </w:rPr>
              <w:t xml:space="preserve">Your highest-cost, highest-need patients are not attributed because they lack a primary care visit that would trigger attribution</w:t>
            </w:r>
          </w:p>
        </w:tc>
        <w:tc>
          <w:tcPr>
            <w:tcW w:w="2579" w:type="dxa"/>
          </w:tcPr>
          <w:p>
            <w:pPr>
              <w:pStyle w:val="Compact"/>
              <w:jc w:val="left"/>
            </w:pPr>
            <w:r>
              <w:rPr>
                <w:sz w:val="16"/>
              </w:rPr>
              <w:t xml:space="preserve">You lose the opportunity to earn shared savings for care management programs that benefit this population</w:t>
            </w:r>
          </w:p>
        </w:tc>
        <w:tc>
          <w:tcPr>
            <w:tcW w:w="2579" w:type="dxa"/>
          </w:tcPr>
          <w:p>
            <w:pPr>
              <w:pStyle w:val="Compact"/>
              <w:jc w:val="left"/>
            </w:pPr>
            <w:r>
              <w:rPr>
                <w:sz w:val="16"/>
              </w:rPr>
              <w:t xml:space="preserve">Proactive outreach to unattributed high-risk patients; care management programs that include primary care visits to establish attribution; PCMH recognition to improve attribution algorithms</w:t>
            </w:r>
          </w:p>
        </w:tc>
      </w:tr>
      <w:tr>
        <w:trPr>
          <w:cantSplit/>
        </w:trPr>
        <w:tc>
          <w:tcPr>
            <w:tcW w:w="1332" w:type="dxa"/>
          </w:tcPr>
          <w:p>
            <w:pPr>
              <w:pStyle w:val="Compact"/>
              <w:jc w:val="left"/>
            </w:pPr>
            <w:r>
              <w:rPr>
                <w:sz w:val="16"/>
              </w:rPr>
              <w:t xml:space="preserve">Incorrect benchmark attribution</w:t>
            </w:r>
          </w:p>
        </w:tc>
        <w:tc>
          <w:tcPr>
            <w:tcW w:w="2579" w:type="dxa"/>
          </w:tcPr>
          <w:p>
            <w:pPr>
              <w:pStyle w:val="Compact"/>
              <w:jc w:val="left"/>
            </w:pPr>
            <w:r>
              <w:rPr>
                <w:sz w:val="16"/>
              </w:rPr>
              <w:t xml:space="preserve">Attribution list errors inflate or deflate the risk adjustment factor applied to your benchmark</w:t>
            </w:r>
          </w:p>
        </w:tc>
        <w:tc>
          <w:tcPr>
            <w:tcW w:w="2579" w:type="dxa"/>
          </w:tcPr>
          <w:p>
            <w:pPr>
              <w:pStyle w:val="Compact"/>
              <w:jc w:val="left"/>
            </w:pPr>
            <w:r>
              <w:rPr>
                <w:sz w:val="16"/>
              </w:rPr>
              <w:t xml:space="preserve">Incorrect RAF produces a benchmark that doesn’t reflect your population’s actual cost burden</w:t>
            </w:r>
          </w:p>
        </w:tc>
        <w:tc>
          <w:tcPr>
            <w:tcW w:w="2579" w:type="dxa"/>
          </w:tcPr>
          <w:p>
            <w:pPr>
              <w:pStyle w:val="Compact"/>
              <w:jc w:val="left"/>
            </w:pPr>
            <w:r>
              <w:rPr>
                <w:sz w:val="16"/>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6"/>
              </w:rPr>
              <w:t xml:space="preserve">Retroactive attribution changes</w:t>
            </w:r>
          </w:p>
        </w:tc>
        <w:tc>
          <w:tcPr>
            <w:tcW w:w="2579" w:type="dxa"/>
          </w:tcPr>
          <w:p>
            <w:pPr>
              <w:pStyle w:val="Compact"/>
              <w:jc w:val="left"/>
            </w:pPr>
            <w:r>
              <w:rPr>
                <w:sz w:val="16"/>
              </w:rPr>
              <w:t xml:space="preserve">Payer changes attribution methodology mid-contract, shifting patients in or out of your attributed population</w:t>
            </w:r>
          </w:p>
        </w:tc>
        <w:tc>
          <w:tcPr>
            <w:tcW w:w="2579" w:type="dxa"/>
          </w:tcPr>
          <w:p>
            <w:pPr>
              <w:pStyle w:val="Compact"/>
              <w:jc w:val="left"/>
            </w:pPr>
            <w:r>
              <w:rPr>
                <w:sz w:val="16"/>
              </w:rPr>
              <w:t xml:space="preserve">Shared savings calculations change unexpectedly after performance year ends</w:t>
            </w:r>
          </w:p>
        </w:tc>
        <w:tc>
          <w:tcPr>
            <w:tcW w:w="2579" w:type="dxa"/>
          </w:tcPr>
          <w:p>
            <w:pPr>
              <w:pStyle w:val="Compact"/>
              <w:jc w:val="left"/>
            </w:pPr>
            <w:r>
              <w:rPr>
                <w:sz w:val="16"/>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8"/>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8"/>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8"/>
        </w:numPr>
        <w:keepLines w:val="true"/>
        <w:keepNext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8"/>
        </w:numPr>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29"/>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29"/>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29"/>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pPr>
      <w:r>
        <w:rPr>
          <w:color w:val="161B22"/>
        </w:rPr>
        <w:t xml:space="preserve">11.18  </w:t>
      </w:r>
      <w:bookmarkStart w:id="1345" w:name="_Toc1344"/>
      <w:r>
        <w:rPr>
          <w:b/>
          <w:bCs/>
          <w:color w:val="161B22"/>
        </w:rPr>
        <w:t xml:space="preserve">Operations Pillar Implementation Matrix</w:t>
      </w:r>
      <w:bookmarkEnd w:id="1345"/>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3024"/>
        <w:gridCol w:w="1273"/>
        <w:gridCol w:w="901"/>
        <w:gridCol w:w="689"/>
        <w:gridCol w:w="3183"/>
      </w:tblGrid>
      <w:tr>
        <w:trPr>
          <w:tblHeader w:val="on"/>
          <w:cantSplit/>
        </w:trPr>
        <w:tc>
          <w:tcPr>
            <w:shd w:val="clear" w:color="auto" w:fill="1B3A6B"/>
            <w:tcW w:w="3024" w:type="dxa"/>
          </w:tcPr>
          <w:p>
            <w:pPr>
              <w:pStyle w:val="Compact"/>
              <w:jc w:val="left"/>
            </w:pPr>
            <w:r>
              <w:rPr>
                <w:b/>
                <w:color w:val="FFFFFF"/>
                <w:sz w:val="18"/>
              </w:rPr>
              <w:t xml:space="preserve">Investment</w:t>
            </w:r>
          </w:p>
        </w:tc>
        <w:tc>
          <w:tcPr>
            <w:shd w:val="clear" w:color="auto" w:fill="1B3A6B"/>
            <w:tcW w:w="1273"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689"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3024" w:type="dxa"/>
          </w:tcPr>
          <w:p>
            <w:pPr>
              <w:pStyle w:val="Compact"/>
              <w:jc w:val="left"/>
            </w:pPr>
            <w:r>
              <w:rPr>
                <w:sz w:val="18"/>
              </w:rPr>
              <w:t xml:space="preserve">Hospital transformation plan (RHRC model)</w:t>
            </w:r>
          </w:p>
        </w:tc>
        <w:tc>
          <w:tcPr>
            <w:tcW w:w="1273" w:type="dxa"/>
          </w:tcPr>
          <w:p>
            <w:pPr>
              <w:pStyle w:val="Compact"/>
              <w:jc w:val="left"/>
            </w:pPr>
            <w:r>
              <w:rPr>
                <w:sz w:val="18"/>
              </w:rPr>
              <w:t xml:space="preserve">$150K-$400K per hospital</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12-24 months</w:t>
            </w:r>
          </w:p>
        </w:tc>
        <w:tc>
          <w:tcPr>
            <w:tcW w:w="3183" w:type="dxa"/>
          </w:tcPr>
          <w:p>
            <w:pPr>
              <w:pStyle w:val="Compact"/>
              <w:jc w:val="left"/>
            </w:pPr>
            <w:r>
              <w:rPr>
                <w:sz w:val="18"/>
              </w:rPr>
              <w:t xml:space="preserve">Vermont RHRC: 14 hospitals; financial + operational + change management</w:t>
            </w:r>
          </w:p>
        </w:tc>
      </w:tr>
      <w:tr>
        <w:trPr>
          <w:cantSplit/>
        </w:trPr>
        <w:tc>
          <w:tcPr>
            <w:tcW w:w="3024" w:type="dxa"/>
          </w:tcPr>
          <w:p>
            <w:pPr>
              <w:pStyle w:val="Compact"/>
              <w:jc w:val="left"/>
            </w:pPr>
            <w:r>
              <w:rPr>
                <w:sz w:val="18"/>
              </w:rPr>
              <w:t xml:space="preserve">PMO/project management for transformation</w:t>
            </w:r>
          </w:p>
        </w:tc>
        <w:tc>
          <w:tcPr>
            <w:tcW w:w="1273" w:type="dxa"/>
          </w:tcPr>
          <w:p>
            <w:pPr>
              <w:pStyle w:val="Compact"/>
              <w:jc w:val="left"/>
            </w:pPr>
            <w:r>
              <w:rPr>
                <w:sz w:val="18"/>
              </w:rPr>
              <w:t xml:space="preserve">$200K-$500K annually</w:t>
            </w:r>
          </w:p>
        </w:tc>
        <w:tc>
          <w:tcPr>
            <w:tcW w:w="901" w:type="dxa"/>
          </w:tcPr>
          <w:p>
            <w:pPr>
              <w:pStyle w:val="Compact"/>
              <w:jc w:val="left"/>
            </w:pPr>
            <w:r>
              <w:rPr>
                <w:sz w:val="18"/>
              </w:rPr>
              <w:t xml:space="preserve">3-6 months setup</w:t>
            </w:r>
          </w:p>
        </w:tc>
        <w:tc>
          <w:tcPr>
            <w:tcW w:w="689" w:type="dxa"/>
          </w:tcPr>
          <w:p>
            <w:pPr>
              <w:pStyle w:val="Compact"/>
              <w:jc w:val="left"/>
            </w:pPr>
            <w:r>
              <w:rPr>
                <w:sz w:val="18"/>
              </w:rPr>
              <w:t xml:space="preserve">6-12 months</w:t>
            </w:r>
          </w:p>
        </w:tc>
        <w:tc>
          <w:tcPr>
            <w:tcW w:w="3183" w:type="dxa"/>
          </w:tcPr>
          <w:p>
            <w:pPr>
              <w:pStyle w:val="Compact"/>
              <w:jc w:val="left"/>
            </w:pPr>
            <w:r>
              <w:rPr>
                <w:sz w:val="18"/>
              </w:rPr>
              <w:t xml:space="preserve">AHS PMO: managing 14 simultaneous hospital processes + AHEAD + RBP</w:t>
            </w:r>
          </w:p>
        </w:tc>
      </w:tr>
      <w:tr>
        <w:trPr>
          <w:cantSplit/>
        </w:trPr>
        <w:tc>
          <w:tcPr>
            <w:tcW w:w="3024" w:type="dxa"/>
          </w:tcPr>
          <w:p>
            <w:pPr>
              <w:pStyle w:val="Compact"/>
              <w:jc w:val="left"/>
            </w:pPr>
            <w:r>
              <w:rPr>
                <w:sz w:val="18"/>
              </w:rPr>
              <w:t xml:space="preserve">Administrative simplification (prior auth, credentialing)</w:t>
            </w:r>
          </w:p>
        </w:tc>
        <w:tc>
          <w:tcPr>
            <w:tcW w:w="1273" w:type="dxa"/>
          </w:tcPr>
          <w:p>
            <w:pPr>
              <w:pStyle w:val="Compact"/>
              <w:jc w:val="left"/>
            </w:pPr>
            <w:r>
              <w:rPr>
                <w:sz w:val="18"/>
              </w:rPr>
              <w:t xml:space="preserve">$50K-$200K per system</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12-18 months</w:t>
            </w:r>
          </w:p>
        </w:tc>
        <w:tc>
          <w:tcPr>
            <w:tcW w:w="3183" w:type="dxa"/>
          </w:tcPr>
          <w:p>
            <w:pPr>
              <w:pStyle w:val="Compact"/>
              <w:jc w:val="left"/>
            </w:pPr>
            <w:r>
              <w:rPr>
                <w:sz w:val="18"/>
              </w:rPr>
              <w:t xml:space="preserve">Vermont: admin cost $3,826/adj discharge vs $1,427 national benchmark</w:t>
            </w:r>
          </w:p>
        </w:tc>
      </w:tr>
      <w:tr>
        <w:trPr>
          <w:cantSplit/>
        </w:trPr>
        <w:tc>
          <w:tcPr>
            <w:tcW w:w="3024" w:type="dxa"/>
          </w:tcPr>
          <w:p>
            <w:pPr>
              <w:pStyle w:val="Compact"/>
              <w:jc w:val="left"/>
            </w:pPr>
            <w:r>
              <w:rPr>
                <w:sz w:val="18"/>
              </w:rPr>
              <w:t xml:space="preserve">Revenue cycle optimization and HCC coding</w:t>
            </w:r>
          </w:p>
        </w:tc>
        <w:tc>
          <w:tcPr>
            <w:tcW w:w="1273" w:type="dxa"/>
          </w:tcPr>
          <w:p>
            <w:pPr>
              <w:pStyle w:val="Compact"/>
              <w:jc w:val="left"/>
            </w:pPr>
            <w:r>
              <w:rPr>
                <w:sz w:val="18"/>
              </w:rPr>
              <w:t xml:space="preserve">$100K-$300K per org</w:t>
            </w:r>
          </w:p>
        </w:tc>
        <w:tc>
          <w:tcPr>
            <w:tcW w:w="901" w:type="dxa"/>
          </w:tcPr>
          <w:p>
            <w:pPr>
              <w:pStyle w:val="Compact"/>
              <w:jc w:val="left"/>
            </w:pPr>
            <w:r>
              <w:rPr>
                <w:sz w:val="18"/>
              </w:rPr>
              <w:t xml:space="preserve">6-9 months</w:t>
            </w:r>
          </w:p>
        </w:tc>
        <w:tc>
          <w:tcPr>
            <w:tcW w:w="689" w:type="dxa"/>
          </w:tcPr>
          <w:p>
            <w:pPr>
              <w:pStyle w:val="Compact"/>
              <w:jc w:val="left"/>
            </w:pPr>
            <w:r>
              <w:rPr>
                <w:sz w:val="18"/>
              </w:rPr>
              <w:t xml:space="preserve">9-18 months</w:t>
            </w:r>
          </w:p>
        </w:tc>
        <w:tc>
          <w:tcPr>
            <w:tcW w:w="3183" w:type="dxa"/>
          </w:tcPr>
          <w:p>
            <w:pPr>
              <w:pStyle w:val="Compact"/>
              <w:jc w:val="left"/>
            </w:pPr>
            <w:r>
              <w:rPr>
                <w:sz w:val="18"/>
              </w:rPr>
              <w:t xml:space="preserve">Vermont CAH gap: $938/adj discharge vs $2,759 benchmark (RHRC data)</w:t>
            </w:r>
          </w:p>
        </w:tc>
      </w:tr>
      <w:tr>
        <w:trPr>
          <w:cantSplit/>
        </w:trPr>
        <w:tc>
          <w:tcPr>
            <w:tcW w:w="3024" w:type="dxa"/>
          </w:tcPr>
          <w:p>
            <w:pPr>
              <w:pStyle w:val="Compact"/>
              <w:jc w:val="left"/>
            </w:pPr>
            <w:r>
              <w:rPr>
                <w:sz w:val="18"/>
              </w:rPr>
              <w:t xml:space="preserve">Service line rationalization and CON modernization</w:t>
            </w:r>
          </w:p>
        </w:tc>
        <w:tc>
          <w:tcPr>
            <w:tcW w:w="1273" w:type="dxa"/>
          </w:tcPr>
          <w:p>
            <w:pPr>
              <w:pStyle w:val="Compact"/>
              <w:jc w:val="left"/>
            </w:pPr>
            <w:r>
              <w:rPr>
                <w:sz w:val="18"/>
              </w:rPr>
              <w:t xml:space="preserve">$100K-$250K state cost</w:t>
            </w:r>
          </w:p>
        </w:tc>
        <w:tc>
          <w:tcPr>
            <w:tcW w:w="901" w:type="dxa"/>
          </w:tcPr>
          <w:p>
            <w:pPr>
              <w:pStyle w:val="Compact"/>
              <w:jc w:val="left"/>
            </w:pPr>
            <w:r>
              <w:rPr>
                <w:sz w:val="18"/>
              </w:rPr>
              <w:t xml:space="preserve">12-24 months</w:t>
            </w:r>
          </w:p>
        </w:tc>
        <w:tc>
          <w:tcPr>
            <w:tcW w:w="689" w:type="dxa"/>
          </w:tcPr>
          <w:p>
            <w:pPr>
              <w:pStyle w:val="Compact"/>
              <w:jc w:val="left"/>
            </w:pPr>
            <w:r>
              <w:rPr>
                <w:sz w:val="18"/>
              </w:rPr>
              <w:t xml:space="preserve">24-36 months</w:t>
            </w:r>
          </w:p>
        </w:tc>
        <w:tc>
          <w:tcPr>
            <w:tcW w:w="3183" w:type="dxa"/>
          </w:tcPr>
          <w:p>
            <w:pPr>
              <w:pStyle w:val="Compact"/>
              <w:jc w:val="left"/>
            </w:pPr>
            <w:r>
              <w:rPr>
                <w:sz w:val="18"/>
              </w:rPr>
              <w:t xml:space="preserve">Vermont Act 68 CON streamlining; EMS regionalization framework</w:t>
            </w:r>
          </w:p>
        </w:tc>
      </w:tr>
      <w:tr>
        <w:trPr>
          <w:cantSplit/>
        </w:trPr>
        <w:tc>
          <w:tcPr>
            <w:tcW w:w="3024" w:type="dxa"/>
          </w:tcPr>
          <w:p>
            <w:pPr>
              <w:pStyle w:val="Compact"/>
              <w:jc w:val="left"/>
            </w:pPr>
            <w:r>
              <w:rPr>
                <w:sz w:val="18"/>
              </w:rPr>
              <w:t xml:space="preserve">CIN shared services model</w:t>
            </w:r>
          </w:p>
        </w:tc>
        <w:tc>
          <w:tcPr>
            <w:tcW w:w="1273" w:type="dxa"/>
          </w:tcPr>
          <w:p>
            <w:pPr>
              <w:pStyle w:val="Compact"/>
              <w:jc w:val="left"/>
            </w:pPr>
            <w:r>
              <w:rPr>
                <w:sz w:val="18"/>
              </w:rPr>
              <w:t xml:space="preserve">$500K-$2M network setup</w:t>
            </w:r>
          </w:p>
        </w:tc>
        <w:tc>
          <w:tcPr>
            <w:tcW w:w="901" w:type="dxa"/>
          </w:tcPr>
          <w:p>
            <w:pPr>
              <w:pStyle w:val="Compact"/>
              <w:jc w:val="left"/>
            </w:pPr>
            <w:r>
              <w:rPr>
                <w:sz w:val="18"/>
              </w:rPr>
              <w:t xml:space="preserve">18-36 months</w:t>
            </w:r>
          </w:p>
        </w:tc>
        <w:tc>
          <w:tcPr>
            <w:tcW w:w="689"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Introduced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pBdr>
          <w:top w:val="single" w:sz="4" w:space="8" w:color="B8B8B8"/>
        </w:pBdr>
        <w:spacing w:before="160" w:after="120"/>
      </w:pPr>
      <w:r>
        <w:rPr>
          <w:rFonts w:ascii="Calibri" w:hAnsi="Calibri"/>
          <w:i/>
          <w:color w:val="00000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0"/>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0"/>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0"/>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0"/>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pPr>
      <w:r>
        <w:rPr>
          <w:color w:val="161B22"/>
        </w:rPr>
        <w:t xml:space="preserve">12.2.2  </w:t>
      </w:r>
      <w:bookmarkStart w:id="1352" w:name="_Toc1351"/>
      <w:r>
        <w:rPr>
          <w:b/>
          <w:bCs/>
          <w:color w:val="161B22"/>
        </w:rPr>
        <w:t xml:space="preserve">Four Components of the HTR Platform</w:t>
      </w:r>
      <w:bookmarkEnd w:id="1352"/>
    </w:p>
    <w:p>
      <w:pPr>
        <w:pStyle w:val="FirstParagraph"/>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cantSplit/>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cantSplit/>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1"/>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1"/>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1"/>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803"/>
        <w:gridCol w:w="4006"/>
        <w:gridCol w:w="4006"/>
        <w:gridCol w:w="4006"/>
      </w:tblGrid>
      <w:tr>
        <w:trPr>
          <w:tblHeader w:val="on"/>
        </w:trPr>
        <w:tc>
          <w:tcPr>
            <w:shd w:val="clear" w:color="auto" w:fill="1B3A6B"/>
            <w:tcW w:w="1183" w:type="dxa"/>
          </w:tcPr>
          <w:p>
            <w:pPr>
              <w:pStyle w:val="Compact"/>
              <w:jc w:val="left"/>
            </w:pPr>
            <w:r>
              <w:rPr>
                <w:b/>
                <w:color w:val="FFFFFF"/>
                <w:sz w:val="16"/>
              </w:rPr>
              <w:t xml:space="preserve">Kotter step</w:t>
            </w:r>
          </w:p>
        </w:tc>
        <w:tc>
          <w:tcPr>
            <w:shd w:val="clear" w:color="auto" w:fill="1B3A6B"/>
            <w:tcW w:w="2629" w:type="dxa"/>
          </w:tcPr>
          <w:p>
            <w:pPr>
              <w:pStyle w:val="Compact"/>
              <w:jc w:val="left"/>
            </w:pPr>
            <w:r>
              <w:rPr>
                <w:b/>
                <w:color w:val="FFFFFF"/>
                <w:sz w:val="16"/>
              </w:rPr>
              <w:t xml:space="preserve">Original formulation</w:t>
            </w:r>
          </w:p>
        </w:tc>
        <w:tc>
          <w:tcPr>
            <w:shd w:val="clear" w:color="auto" w:fill="1B3A6B"/>
            <w:tcW w:w="2629" w:type="dxa"/>
          </w:tcPr>
          <w:p>
            <w:pPr>
              <w:pStyle w:val="Compact"/>
              <w:jc w:val="left"/>
            </w:pPr>
            <w:r>
              <w:rPr>
                <w:b/>
                <w:color w:val="FFFFFF"/>
                <w:sz w:val="16"/>
              </w:rPr>
              <w:t xml:space="preserve">Healthcare adaptation</w:t>
            </w:r>
          </w:p>
        </w:tc>
        <w:tc>
          <w:tcPr>
            <w:shd w:val="clear" w:color="auto" w:fill="1B3A6B"/>
            <w:tcW w:w="2629" w:type="dxa"/>
          </w:tcPr>
          <w:p>
            <w:pPr>
              <w:pStyle w:val="Compact"/>
              <w:jc w:val="left"/>
            </w:pPr>
            <w:r>
              <w:rPr>
                <w:b/>
                <w:color w:val="FFFFFF"/>
                <w:sz w:val="16"/>
              </w:rPr>
              <w:t xml:space="preserve">Vermont application</w:t>
            </w:r>
          </w:p>
        </w:tc>
      </w:tr>
      <w:tr>
        <w:trPr/>
        <w:tc>
          <w:tcPr>
            <w:tcW w:w="1183" w:type="dxa"/>
          </w:tcPr>
          <w:p>
            <w:pPr>
              <w:pStyle w:val="Compact"/>
              <w:jc w:val="left"/>
            </w:pPr>
            <w:r>
              <w:rPr>
                <w:sz w:val="16"/>
              </w:rPr>
              <w:t xml:space="preserve">1. Create urgency</w:t>
            </w:r>
          </w:p>
        </w:tc>
        <w:tc>
          <w:tcPr>
            <w:tcW w:w="2629" w:type="dxa"/>
          </w:tcPr>
          <w:p>
            <w:pPr>
              <w:pStyle w:val="Compact"/>
              <w:jc w:val="left"/>
            </w:pPr>
            <w:r>
              <w:rPr>
                <w:sz w:val="16"/>
              </w:rPr>
              <w:t xml:space="preserve">Build a sense of urgency around why change is needed</w:t>
            </w:r>
          </w:p>
        </w:tc>
        <w:tc>
          <w:tcPr>
            <w:tcW w:w="2629" w:type="dxa"/>
          </w:tcPr>
          <w:p>
            <w:pPr>
              <w:pStyle w:val="Compact"/>
              <w:jc w:val="left"/>
            </w:pPr>
            <w:r>
              <w:rPr>
                <w:sz w:val="16"/>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jc w:val="left"/>
            </w:pPr>
            <w:r>
              <w:rPr>
                <w:sz w:val="16"/>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jc w:val="left"/>
            </w:pPr>
            <w:r>
              <w:rPr>
                <w:sz w:val="16"/>
              </w:rPr>
              <w:t xml:space="preserve">2. Form a guiding coalition</w:t>
            </w:r>
          </w:p>
        </w:tc>
        <w:tc>
          <w:tcPr>
            <w:tcW w:w="2629" w:type="dxa"/>
          </w:tcPr>
          <w:p>
            <w:pPr>
              <w:pStyle w:val="Compact"/>
              <w:jc w:val="left"/>
            </w:pPr>
            <w:r>
              <w:rPr>
                <w:sz w:val="16"/>
              </w:rPr>
              <w:t xml:space="preserve">Assemble a group with the power and commitment to lead change</w:t>
            </w:r>
          </w:p>
        </w:tc>
        <w:tc>
          <w:tcPr>
            <w:tcW w:w="2629" w:type="dxa"/>
          </w:tcPr>
          <w:p>
            <w:pPr>
              <w:pStyle w:val="Compact"/>
              <w:jc w:val="left"/>
            </w:pPr>
            <w:r>
              <w:rPr>
                <w:sz w:val="16"/>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jc w:val="left"/>
            </w:pPr>
            <w:r>
              <w:rPr>
                <w:sz w:val="16"/>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jc w:val="left"/>
            </w:pPr>
            <w:r>
              <w:rPr>
                <w:sz w:val="16"/>
              </w:rPr>
              <w:t xml:space="preserve">3. Develop a vision</w:t>
            </w:r>
          </w:p>
        </w:tc>
        <w:tc>
          <w:tcPr>
            <w:tcW w:w="2629" w:type="dxa"/>
          </w:tcPr>
          <w:p>
            <w:pPr>
              <w:pStyle w:val="Compact"/>
              <w:jc w:val="left"/>
            </w:pPr>
            <w:r>
              <w:rPr>
                <w:sz w:val="16"/>
              </w:rPr>
              <w:t xml:space="preserve">Create a clear vision of what the transformed organization looks like</w:t>
            </w:r>
          </w:p>
        </w:tc>
        <w:tc>
          <w:tcPr>
            <w:tcW w:w="2629" w:type="dxa"/>
          </w:tcPr>
          <w:p>
            <w:pPr>
              <w:pStyle w:val="Compact"/>
              <w:jc w:val="left"/>
            </w:pPr>
            <w:r>
              <w:rPr>
                <w:sz w:val="16"/>
              </w:rPr>
              <w:t xml:space="preserve">Vision must be specific enough to guide decisions and evaluate progress.</w:t>
            </w:r>
            <w:r>
              <w:rPr>
                <w:sz w:val="16"/>
              </w:rPr>
              <w:t xml:space="preserve"> </w:t>
            </w:r>
            <w:r>
              <w:rPr>
                <w:sz w:val="16"/>
              </w:rPr>
              <w:t xml:space="preserve">‘High-quality, affordable, equitable healthcare for all Vermonters’</w:t>
            </w:r>
            <w:r>
              <w:rPr>
                <w:sz w:val="16"/>
              </w:rPr>
              <w:t xml:space="preserve"> </w:t>
            </w:r>
            <w:r>
              <w:rPr>
                <w:sz w:val="16"/>
              </w:rPr>
              <w:t xml:space="preserve">is an aspiration; the 14-hospital tiered network with specific COE designations, PCMH penetration targets, and HEDIS performance goals is a vision.</w:t>
            </w:r>
          </w:p>
        </w:tc>
        <w:tc>
          <w:tcPr>
            <w:tcW w:w="2629" w:type="dxa"/>
          </w:tcPr>
          <w:p>
            <w:pPr>
              <w:pStyle w:val="Compact"/>
              <w:jc w:val="left"/>
            </w:pPr>
            <w:r>
              <w:rPr>
                <w:sz w:val="16"/>
              </w:rPr>
              <w:t xml:space="preserve">Vermont’s 2028 Statewide Strategic Plan is the vision document. The urgency is already created; the coalition is assembling; the vision is the December 2028 deadline.</w:t>
            </w:r>
          </w:p>
        </w:tc>
      </w:tr>
      <w:tr>
        <w:trPr/>
        <w:tc>
          <w:tcPr>
            <w:tcW w:w="1183" w:type="dxa"/>
          </w:tcPr>
          <w:p>
            <w:pPr>
              <w:pStyle w:val="Compact"/>
              <w:jc w:val="left"/>
            </w:pPr>
            <w:r>
              <w:rPr>
                <w:sz w:val="16"/>
              </w:rPr>
              <w:t xml:space="preserve">4. Communicate the vision</w:t>
            </w:r>
          </w:p>
        </w:tc>
        <w:tc>
          <w:tcPr>
            <w:tcW w:w="2629" w:type="dxa"/>
          </w:tcPr>
          <w:p>
            <w:pPr>
              <w:pStyle w:val="Compact"/>
              <w:jc w:val="left"/>
            </w:pPr>
            <w:r>
              <w:rPr>
                <w:sz w:val="16"/>
              </w:rPr>
              <w:t xml:space="preserve">Communicate the vision continuously through every available channel</w:t>
            </w:r>
          </w:p>
        </w:tc>
        <w:tc>
          <w:tcPr>
            <w:tcW w:w="2629" w:type="dxa"/>
          </w:tcPr>
          <w:p>
            <w:pPr>
              <w:pStyle w:val="Compact"/>
              <w:jc w:val="left"/>
            </w:pPr>
            <w:r>
              <w:rPr>
                <w:sz w:val="16"/>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jc w:val="left"/>
            </w:pPr>
            <w:r>
              <w:rPr>
                <w:sz w:val="16"/>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jc w:val="left"/>
            </w:pPr>
            <w:r>
              <w:rPr>
                <w:sz w:val="16"/>
              </w:rPr>
              <w:t xml:space="preserve">5. Remove obstacles</w:t>
            </w:r>
          </w:p>
        </w:tc>
        <w:tc>
          <w:tcPr>
            <w:tcW w:w="2629" w:type="dxa"/>
          </w:tcPr>
          <w:p>
            <w:pPr>
              <w:pStyle w:val="Compact"/>
              <w:jc w:val="left"/>
            </w:pPr>
            <w:r>
              <w:rPr>
                <w:sz w:val="16"/>
              </w:rPr>
              <w:t xml:space="preserve">Remove barriers to change that are within the coalition’s control</w:t>
            </w:r>
          </w:p>
        </w:tc>
        <w:tc>
          <w:tcPr>
            <w:tcW w:w="2629" w:type="dxa"/>
          </w:tcPr>
          <w:p>
            <w:pPr>
              <w:pStyle w:val="Compact"/>
              <w:jc w:val="left"/>
            </w:pPr>
            <w:r>
              <w:rPr>
                <w:sz w:val="16"/>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jc w:val="left"/>
            </w:pPr>
            <w:r>
              <w:rPr>
                <w:sz w:val="16"/>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jc w:val="left"/>
            </w:pPr>
            <w:r>
              <w:rPr>
                <w:sz w:val="16"/>
              </w:rPr>
              <w:t xml:space="preserve">6. Create short-term wins</w:t>
            </w:r>
          </w:p>
        </w:tc>
        <w:tc>
          <w:tcPr>
            <w:tcW w:w="2629" w:type="dxa"/>
          </w:tcPr>
          <w:p>
            <w:pPr>
              <w:pStyle w:val="Compact"/>
              <w:jc w:val="left"/>
            </w:pPr>
            <w:r>
              <w:rPr>
                <w:sz w:val="16"/>
              </w:rPr>
              <w:t xml:space="preserve">Plan for and achieve visible improvements early in the change process</w:t>
            </w:r>
          </w:p>
        </w:tc>
        <w:tc>
          <w:tcPr>
            <w:tcW w:w="2629" w:type="dxa"/>
          </w:tcPr>
          <w:p>
            <w:pPr>
              <w:pStyle w:val="Compact"/>
              <w:jc w:val="left"/>
            </w:pPr>
            <w:r>
              <w:rPr>
                <w:sz w:val="16"/>
              </w:rPr>
              <w:t xml:space="preserve">Short-term wins must be genuine, visible, and attributable to the transformation effort — not cherry-picked data or coincidental improvements.</w:t>
            </w:r>
          </w:p>
        </w:tc>
        <w:tc>
          <w:tcPr>
            <w:tcW w:w="2629" w:type="dxa"/>
          </w:tcPr>
          <w:p>
            <w:pPr>
              <w:pStyle w:val="Compact"/>
              <w:jc w:val="left"/>
            </w:pPr>
            <w:r>
              <w:rPr>
                <w:sz w:val="16"/>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jc w:val="left"/>
            </w:pPr>
            <w:r>
              <w:rPr>
                <w:sz w:val="16"/>
              </w:rPr>
              <w:t xml:space="preserve">7. Sustain acceleration</w:t>
            </w:r>
          </w:p>
        </w:tc>
        <w:tc>
          <w:tcPr>
            <w:tcW w:w="2629" w:type="dxa"/>
          </w:tcPr>
          <w:p>
            <w:pPr>
              <w:pStyle w:val="Compact"/>
              <w:jc w:val="left"/>
            </w:pPr>
            <w:r>
              <w:rPr>
                <w:sz w:val="16"/>
              </w:rPr>
              <w:t xml:space="preserve">Build on early wins to drive deeper change</w:t>
            </w:r>
          </w:p>
        </w:tc>
        <w:tc>
          <w:tcPr>
            <w:tcW w:w="2629" w:type="dxa"/>
          </w:tcPr>
          <w:p>
            <w:pPr>
              <w:pStyle w:val="Compact"/>
              <w:jc w:val="left"/>
            </w:pPr>
            <w:r>
              <w:rPr>
                <w:sz w:val="16"/>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jc w:val="left"/>
            </w:pPr>
            <w:r>
              <w:rPr>
                <w:sz w:val="16"/>
              </w:rPr>
              <w:t xml:space="preserve">Vermont’s reform cascade structure — each Act building on the previous — is the acceleration mechanism. The Political risk is disruption of the sequence; the institutional protection is the GMCB’s independent regulatory authority.</w:t>
            </w:r>
          </w:p>
        </w:tc>
      </w:tr>
      <w:tr>
        <w:trPr/>
        <w:tc>
          <w:tcPr>
            <w:tcW w:w="1183" w:type="dxa"/>
          </w:tcPr>
          <w:p>
            <w:pPr>
              <w:pStyle w:val="Compact"/>
              <w:jc w:val="left"/>
            </w:pPr>
            <w:r>
              <w:rPr>
                <w:sz w:val="16"/>
              </w:rPr>
              <w:t xml:space="preserve">8. Institute change</w:t>
            </w:r>
          </w:p>
        </w:tc>
        <w:tc>
          <w:tcPr>
            <w:tcW w:w="2629" w:type="dxa"/>
          </w:tcPr>
          <w:p>
            <w:pPr>
              <w:pStyle w:val="Compact"/>
              <w:jc w:val="left"/>
            </w:pPr>
            <w:r>
              <w:rPr>
                <w:sz w:val="16"/>
              </w:rPr>
              <w:t xml:space="preserve">Anchor changes in organizational culture and systems</w:t>
            </w:r>
          </w:p>
        </w:tc>
        <w:tc>
          <w:tcPr>
            <w:tcW w:w="2629" w:type="dxa"/>
          </w:tcPr>
          <w:p>
            <w:pPr>
              <w:pStyle w:val="Compact"/>
              <w:jc w:val="left"/>
            </w:pPr>
            <w:r>
              <w:rPr>
                <w:sz w:val="16"/>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jc w:val="left"/>
            </w:pPr>
            <w:r>
              <w:rPr>
                <w:sz w:val="16"/>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pPr>
      <w:r>
        <w:rPr>
          <w:color w:val="161B22"/>
        </w:rPr>
        <w:t xml:space="preserve">12.5  </w:t>
      </w:r>
      <w:bookmarkStart w:id="1362" w:name="_Toc1361"/>
      <w:r>
        <w:rPr>
          <w:b/>
          <w:bCs/>
          <w:color w:val="161B22"/>
        </w:rPr>
        <w:t xml:space="preserve">The HTR Implementation Toolkit</w:t>
      </w:r>
      <w:bookmarkEnd w:id="1362"/>
    </w:p>
    <w:p>
      <w:pPr>
        <w:pStyle w:val="FirstParagraph"/>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autofit"/>
      </w:tblPr>
      <w:tblGrid>
        <w:gridCol w:w="3573"/>
        <w:gridCol w:w="5498"/>
      </w:tblGrid>
      <w:tr>
        <w:trPr>
          <w:tblHeader w:val="on"/>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pPr>
      <w:r>
        <w:rPr>
          <w:color w:val="161B22"/>
        </w:rPr>
        <w:t xml:space="preserve">12.8  </w:t>
      </w:r>
      <w:bookmarkStart w:id="1365" w:name="_Toc1364"/>
      <w:r>
        <w:rPr>
          <w:b/>
          <w:bCs/>
          <w:color w:val="161B22"/>
        </w:rPr>
        <w:t xml:space="preserve">Implications for You</w:t>
      </w:r>
      <w:bookmarkEnd w:id="1365"/>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12.9  </w:t>
      </w:r>
      <w:bookmarkStart w:id="1366" w:name="_Toc1365"/>
      <w:r>
        <w:rPr>
          <w:b/>
          <w:bCs/>
          <w:color w:val="161B22"/>
        </w:rPr>
        <w:t xml:space="preserve">Key Concepts</w:t>
      </w:r>
      <w:bookmarkEnd w:id="1366"/>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pBdr>
          <w:top w:val="single" w:sz="4" w:space="8" w:color="B8B8B8"/>
        </w:pBdr>
        <w:spacing w:before="160" w:after="120"/>
      </w:pPr>
      <w:r>
        <w:rPr>
          <w:rFonts w:ascii="Calibri" w:hAnsi="Calibri"/>
          <w:i/>
          <w:color w:val="00000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7" w:name="_Toc1366"/>
      <w:r>
        <w:rPr>
          <w:b/>
          <w:bCs/>
          <w:color w:val="161B22"/>
        </w:rPr>
        <w:t xml:space="preserve">Chapter 13 — The Future of Healthcare Transformation: 2026, What Vermont Proves, and What Remains</w:t>
      </w:r>
      <w:bookmarkEnd w:id="136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pPr>
      <w:r>
        <w:rPr>
          <w:color w:val="161B22"/>
        </w:rPr>
        <w:t xml:space="preserve">13.1  </w:t>
      </w:r>
      <w:bookmarkStart w:id="1368" w:name="_Toc1367"/>
      <w:r>
        <w:rPr>
          <w:b/>
          <w:bCs/>
          <w:color w:val="161B22"/>
        </w:rPr>
        <w:t xml:space="preserve">Vermont Transformation Scorecard: Six-Pillar Status, April 2026</w:t>
      </w:r>
      <w:bookmarkEnd w:id="1368"/>
    </w:p>
    <w:p>
      <w:pPr>
        <w:pStyle w:val="FirstParagraph"/>
      </w:pPr>
      <w:r>
        <w:rPr>
          <w:b/>
          <w:bCs/>
        </w:rPr>
        <w:t xml:space="preserve">Figure 13.1</w:t>
      </w:r>
      <w:r>
        <w:t xml:space="preserve"> </w:t>
      </w:r>
      <w:r>
        <w:t xml:space="preserve">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2022 Baseline</w:t>
            </w:r>
          </w:p>
        </w:tc>
        <w:tc>
          <w:tcPr>
            <w:shd w:val="clear" w:color="auto" w:fill="1B3A6B"/>
            <w:tcW w:w="2177" w:type="dxa"/>
          </w:tcPr>
          <w:p>
            <w:pPr>
              <w:pStyle w:val="Compact"/>
              <w:jc w:val="left"/>
            </w:pPr>
            <w:r>
              <w:rPr>
                <w:b/>
                <w:color w:val="FFFFFF"/>
                <w:sz w:val="16"/>
              </w:rPr>
              <w:t xml:space="preserve">2026 Status</w:t>
            </w:r>
          </w:p>
        </w:tc>
        <w:tc>
          <w:tcPr>
            <w:shd w:val="clear" w:color="auto" w:fill="1B3A6B"/>
            <w:tcW w:w="2177" w:type="dxa"/>
          </w:tcPr>
          <w:p>
            <w:pPr>
              <w:pStyle w:val="Compact"/>
              <w:jc w:val="left"/>
            </w:pPr>
            <w:r>
              <w:rPr>
                <w:b/>
                <w:color w:val="FFFFFF"/>
                <w:sz w:val="16"/>
              </w:rPr>
              <w:t xml:space="preserve">2028 Target</w:t>
            </w:r>
          </w:p>
        </w:tc>
        <w:tc>
          <w:tcPr>
            <w:shd w:val="clear" w:color="auto" w:fill="1B3A6B"/>
            <w:tcW w:w="2177" w:type="dxa"/>
          </w:tcPr>
          <w:p>
            <w:pPr>
              <w:pStyle w:val="Compact"/>
              <w:jc w:val="left"/>
            </w:pPr>
            <w:r>
              <w:rPr>
                <w:b/>
                <w:color w:val="FFFFFF"/>
                <w:sz w:val="16"/>
              </w:rPr>
              <w:t xml:space="preserve">Signal</w:t>
            </w:r>
          </w:p>
        </w:tc>
      </w:tr>
      <w:tr>
        <w:trPr>
          <w:cantSplit/>
        </w:trPr>
        <w:tc>
          <w:tcPr>
            <w:tcW w:w="362" w:type="dxa"/>
          </w:tcPr>
          <w:p>
            <w:pPr>
              <w:pStyle w:val="Compact"/>
              <w:jc w:val="left"/>
            </w:pPr>
            <w:r>
              <w:rPr>
                <w:sz w:val="16"/>
              </w:rPr>
              <w:t xml:space="preserve">Policy</w:t>
            </w:r>
          </w:p>
        </w:tc>
        <w:tc>
          <w:tcPr>
            <w:tcW w:w="2177" w:type="dxa"/>
          </w:tcPr>
          <w:p>
            <w:pPr>
              <w:pStyle w:val="Compact"/>
              <w:jc w:val="left"/>
            </w:pPr>
            <w:r>
              <w:rPr>
                <w:sz w:val="16"/>
              </w:rPr>
              <w:t xml:space="preserve">Voluntary only; no price regulation; no federal agreement</w:t>
            </w:r>
          </w:p>
        </w:tc>
        <w:tc>
          <w:tcPr>
            <w:tcW w:w="2177" w:type="dxa"/>
          </w:tcPr>
          <w:p>
            <w:pPr>
              <w:pStyle w:val="Compact"/>
              <w:jc w:val="left"/>
            </w:pPr>
            <w:r>
              <w:rPr>
                <w:sz w:val="16"/>
              </w:rPr>
              <w:t xml:space="preserve">Mandatory RBP (FY2027) and global budgets (FY2028) enacted; AHEAD signed Jan 2025; $195M RHT awarded</w:t>
            </w:r>
          </w:p>
        </w:tc>
        <w:tc>
          <w:tcPr>
            <w:tcW w:w="2177" w:type="dxa"/>
          </w:tcPr>
          <w:p>
            <w:pPr>
              <w:pStyle w:val="Compact"/>
              <w:jc w:val="left"/>
            </w:pPr>
            <w:r>
              <w:rPr>
                <w:sz w:val="16"/>
              </w:rPr>
              <w:t xml:space="preserve">All hospitals under global budgets; AHEAD compliant; Statewide Strategic Plan delivered Dec 2028</w:t>
            </w:r>
          </w:p>
        </w:tc>
        <w:tc>
          <w:tcPr>
            <w:tcW w:w="2177" w:type="dxa"/>
          </w:tcPr>
          <w:p>
            <w:pPr>
              <w:pStyle w:val="Compact"/>
              <w:jc w:val="left"/>
            </w:pPr>
            <w:r>
              <w:rPr>
                <w:sz w:val="16"/>
              </w:rPr>
              <w:t xml:space="preserve">ON TRACK</w:t>
            </w:r>
          </w:p>
        </w:tc>
      </w:tr>
      <w:tr>
        <w:trPr>
          <w:cantSplit/>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VHCURES operational with 2-year lag; VITL partial; no analytics vendor; AI governance absent</w:t>
            </w:r>
          </w:p>
        </w:tc>
        <w:tc>
          <w:tcPr>
            <w:tcW w:w="2177" w:type="dxa"/>
          </w:tcPr>
          <w:p>
            <w:pPr>
              <w:pStyle w:val="Compact"/>
              <w:jc w:val="left"/>
            </w:pPr>
            <w:r>
              <w:rPr>
                <w:sz w:val="16"/>
              </w:rPr>
              <w:t xml:space="preserve">Analytics vendor procurement underway; CIN in development; AI scribes deployed; FHIR upgrades in progress</w:t>
            </w:r>
          </w:p>
        </w:tc>
        <w:tc>
          <w:tcPr>
            <w:tcW w:w="2177" w:type="dxa"/>
          </w:tcPr>
          <w:p>
            <w:pPr>
              <w:pStyle w:val="Compact"/>
              <w:jc w:val="left"/>
            </w:pPr>
            <w:r>
              <w:rPr>
                <w:sz w:val="16"/>
              </w:rPr>
              <w:t xml:space="preserve">Real-time VHCURES; analytics vendor fully deployed; CIN operational; AI-governance framework in place</w:t>
            </w:r>
          </w:p>
        </w:tc>
        <w:tc>
          <w:tcPr>
            <w:tcW w:w="2177" w:type="dxa"/>
          </w:tcPr>
          <w:p>
            <w:pPr>
              <w:pStyle w:val="Compact"/>
              <w:jc w:val="left"/>
            </w:pPr>
            <w:r>
              <w:rPr>
                <w:sz w:val="16"/>
              </w:rPr>
              <w:t xml:space="preserve">AT RISK — analytics vendor gap vs. Jan 2028 AHEAD start</w:t>
            </w:r>
          </w:p>
        </w:tc>
      </w:tr>
      <w:tr>
        <w:trPr>
          <w:cantSplit/>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9/14 hospitals in losses; UVMMC at 300%+ of Medicare; $700M–$2.4B 5-year deficit projection</w:t>
            </w:r>
          </w:p>
        </w:tc>
        <w:tc>
          <w:tcPr>
            <w:tcW w:w="2177" w:type="dxa"/>
          </w:tcPr>
          <w:p>
            <w:pPr>
              <w:pStyle w:val="Compact"/>
              <w:jc w:val="left"/>
            </w:pPr>
            <w:r>
              <w:rPr>
                <w:sz w:val="16"/>
              </w:rPr>
              <w:t xml:space="preserve">RBP mandatory FY2027 enacted; global-budget methodology under design; AHEAD launches Jan 2028; deficit trajectory unchanged</w:t>
            </w:r>
          </w:p>
        </w:tc>
        <w:tc>
          <w:tcPr>
            <w:tcW w:w="2177" w:type="dxa"/>
          </w:tcPr>
          <w:p>
            <w:pPr>
              <w:pStyle w:val="Compact"/>
              <w:jc w:val="left"/>
            </w:pPr>
            <w:r>
              <w:rPr>
                <w:sz w:val="16"/>
              </w:rPr>
              <w:t xml:space="preserve">All hospitals at or below RBP ceiling; cross-subsidy reduced 40%+; deficit trajectory reversed; break-even by FY2030</w:t>
            </w:r>
          </w:p>
        </w:tc>
        <w:tc>
          <w:tcPr>
            <w:tcW w:w="2177" w:type="dxa"/>
          </w:tcPr>
          <w:p>
            <w:pPr>
              <w:pStyle w:val="Compact"/>
              <w:jc w:val="left"/>
            </w:pPr>
            <w:r>
              <w:rPr>
                <w:sz w:val="16"/>
              </w:rPr>
              <w:t xml:space="preserve">WATCH — methodology design is the critical near-term decision</w:t>
            </w:r>
          </w:p>
        </w:tc>
      </w:tr>
      <w:tr>
        <w:trPr>
          <w:cantSplit/>
        </w:trPr>
        <w:tc>
          <w:tcPr>
            <w:tcW w:w="362" w:type="dxa"/>
          </w:tcPr>
          <w:p>
            <w:pPr>
              <w:pStyle w:val="Compact"/>
              <w:jc w:val="left"/>
            </w:pPr>
            <w:r>
              <w:rPr>
                <w:sz w:val="16"/>
              </w:rPr>
              <w:t xml:space="preserve">Clinical</w:t>
            </w:r>
          </w:p>
        </w:tc>
        <w:tc>
          <w:tcPr>
            <w:tcW w:w="2177" w:type="dxa"/>
          </w:tcPr>
          <w:p>
            <w:pPr>
              <w:pStyle w:val="Compact"/>
              <w:jc w:val="left"/>
            </w:pPr>
            <w:r>
              <w:rPr>
                <w:sz w:val="16"/>
              </w:rPr>
              <w:t xml:space="preserve">Blueprint 90%+ PCMH; BH follow-up 76% (mental health), 68% (SUD); 370-FTE workforce gap; zero CCBHCs</w:t>
            </w:r>
          </w:p>
        </w:tc>
        <w:tc>
          <w:tcPr>
            <w:tcW w:w="2177" w:type="dxa"/>
          </w:tcPr>
          <w:p>
            <w:pPr>
              <w:pStyle w:val="Compact"/>
              <w:jc w:val="left"/>
            </w:pPr>
            <w:r>
              <w:rPr>
                <w:sz w:val="16"/>
              </w:rPr>
              <w:t xml:space="preserve">5 CCBHCs planned; CoCM pilots underway; team-based care deploying; readmission at 14.8% (unchanged)</w:t>
            </w:r>
          </w:p>
        </w:tc>
        <w:tc>
          <w:tcPr>
            <w:tcW w:w="2177" w:type="dxa"/>
          </w:tcPr>
          <w:p>
            <w:pPr>
              <w:pStyle w:val="Compact"/>
              <w:jc w:val="left"/>
            </w:pPr>
            <w:r>
              <w:rPr>
                <w:sz w:val="16"/>
              </w:rPr>
              <w:t xml:space="preserve">100% PCMH; 7+ CCBHCs; readmission below 12%; workforce gap below 200 FTEs</w:t>
            </w:r>
          </w:p>
        </w:tc>
        <w:tc>
          <w:tcPr>
            <w:tcW w:w="2177" w:type="dxa"/>
          </w:tcPr>
          <w:p>
            <w:pPr>
              <w:pStyle w:val="Compact"/>
              <w:jc w:val="left"/>
            </w:pPr>
            <w:r>
              <w:rPr>
                <w:sz w:val="16"/>
              </w:rPr>
              <w:t xml:space="preserve">PROGRESSING — CCBHC certification on track; workforce gap remains structural</w:t>
            </w:r>
          </w:p>
        </w:tc>
      </w:tr>
      <w:tr>
        <w:trPr>
          <w:cantSplit/>
        </w:trPr>
        <w:tc>
          <w:tcPr>
            <w:tcW w:w="362" w:type="dxa"/>
          </w:tcPr>
          <w:p>
            <w:pPr>
              <w:pStyle w:val="Compact"/>
              <w:jc w:val="left"/>
            </w:pPr>
            <w:r>
              <w:rPr>
                <w:sz w:val="16"/>
              </w:rPr>
              <w:t xml:space="preserve">Equity</w:t>
            </w:r>
          </w:p>
        </w:tc>
        <w:tc>
          <w:tcPr>
            <w:tcW w:w="2177" w:type="dxa"/>
          </w:tcPr>
          <w:p>
            <w:pPr>
              <w:pStyle w:val="Compact"/>
              <w:jc w:val="left"/>
            </w:pPr>
            <w:r>
              <w:rPr>
                <w:sz w:val="16"/>
              </w:rPr>
              <w:t xml:space="preserve">11-pt primary care access gap (BIPOC vs. white); Essex County 8% uninsured; no systematic SDOH screening; no HEROI</w:t>
            </w:r>
          </w:p>
        </w:tc>
        <w:tc>
          <w:tcPr>
            <w:tcW w:w="2177" w:type="dxa"/>
          </w:tcPr>
          <w:p>
            <w:pPr>
              <w:pStyle w:val="Compact"/>
              <w:jc w:val="left"/>
            </w:pPr>
            <w:r>
              <w:rPr>
                <w:sz w:val="16"/>
              </w:rPr>
              <w:t xml:space="preserve">HEROI framework developed; Blueprint HRSN screening at 60%+ of practices; equity gap unchanged; SRA methodology in design</w:t>
            </w:r>
          </w:p>
        </w:tc>
        <w:tc>
          <w:tcPr>
            <w:tcW w:w="2177" w:type="dxa"/>
          </w:tcPr>
          <w:p>
            <w:pPr>
              <w:pStyle w:val="Compact"/>
              <w:jc w:val="left"/>
            </w:pPr>
            <w:r>
              <w:rPr>
                <w:sz w:val="16"/>
              </w:rPr>
              <w:t xml:space="preserve">BIPOC access gap below 6 pts; universal HRSN screening; SRA in global-budget methodology; HEROI scores for all 14 HSAs</w:t>
            </w:r>
          </w:p>
        </w:tc>
        <w:tc>
          <w:tcPr>
            <w:tcW w:w="2177" w:type="dxa"/>
          </w:tcPr>
          <w:p>
            <w:pPr>
              <w:pStyle w:val="Compact"/>
              <w:jc w:val="left"/>
            </w:pPr>
            <w:r>
              <w:rPr>
                <w:sz w:val="16"/>
              </w:rPr>
              <w:t xml:space="preserve">LAGGING — equity gaps unchanged in 2026; SRA design is critical equity safeguard</w:t>
            </w:r>
          </w:p>
        </w:tc>
      </w:tr>
      <w:tr>
        <w:trPr>
          <w:cantSplit/>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RHRC not deployed; no PMO; no CIN; admin cost 91%+ above benchmark; no transformation reporting</w:t>
            </w:r>
          </w:p>
        </w:tc>
        <w:tc>
          <w:tcPr>
            <w:tcW w:w="2177" w:type="dxa"/>
          </w:tcPr>
          <w:p>
            <w:pPr>
              <w:pStyle w:val="Compact"/>
              <w:jc w:val="left"/>
            </w:pPr>
            <w:r>
              <w:rPr>
                <w:sz w:val="16"/>
              </w:rPr>
              <w:t xml:space="preserve">RHRC engaged all 14 hospitals; PMO being established; CIN under development; two AHS transformation reports delivered</w:t>
            </w:r>
          </w:p>
        </w:tc>
        <w:tc>
          <w:tcPr>
            <w:tcW w:w="2177" w:type="dxa"/>
          </w:tcPr>
          <w:p>
            <w:pPr>
              <w:pStyle w:val="Compact"/>
              <w:jc w:val="left"/>
            </w:pPr>
            <w:r>
              <w:rPr>
                <w:sz w:val="16"/>
              </w:rPr>
              <w:t xml:space="preserve">All 14 hospitals with approved transformation plans; PMO operational; CIN live; admin cost below 150% of benchmark</w:t>
            </w:r>
          </w:p>
        </w:tc>
        <w:tc>
          <w:tcPr>
            <w:tcW w:w="2177" w:type="dxa"/>
          </w:tcPr>
          <w:p>
            <w:pPr>
              <w:pStyle w:val="Compact"/>
              <w:jc w:val="left"/>
            </w:pPr>
            <w:r>
              <w:rPr>
                <w:sz w:val="16"/>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13.2  </w:t>
      </w:r>
      <w:bookmarkStart w:id="1369" w:name="_Toc1368"/>
      <w:r>
        <w:rPr>
          <w:b/>
          <w:bCs/>
          <w:color w:val="161B22"/>
        </w:rPr>
        <w:t xml:space="preserve">Where the System Stands in April 2026 — A Necessary Update</w:t>
      </w:r>
      <w:bookmarkEnd w:id="1369"/>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autofit"/>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cantSplit/>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cantSplit/>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0" w:name="_Toc1369"/>
      <w:r>
        <w:rPr>
          <w:b/>
          <w:bCs/>
          <w:color w:val="161B22"/>
        </w:rPr>
        <w:t xml:space="preserve">Five Forces Shaping the Next Decade</w:t>
      </w:r>
      <w:bookmarkEnd w:id="1370"/>
    </w:p>
    <w:p>
      <w:pPr>
        <w:pStyle w:val="Heading3"/>
      </w:pPr>
      <w:r>
        <w:rPr>
          <w:color w:val="161B22"/>
        </w:rPr>
        <w:t xml:space="preserve">13.3.1  </w:t>
      </w:r>
      <w:bookmarkStart w:id="1371" w:name="_Toc1370"/>
      <w:r>
        <w:rPr>
          <w:b/>
          <w:bCs/>
          <w:color w:val="161B22"/>
        </w:rPr>
        <w:t xml:space="preserve">Force 1: The Medicaid–RHT Tension — the Defining Policy Dynamic</w:t>
      </w:r>
      <w:bookmarkEnd w:id="1371"/>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2" w:name="_Toc1371"/>
      <w:r>
        <w:rPr>
          <w:b/>
          <w:bCs/>
          <w:color w:val="161B22"/>
        </w:rPr>
        <w:t xml:space="preserve">Force 2: AI Clinical Transformation — Accelerating Faster Than Governance</w:t>
      </w:r>
      <w:bookmarkEnd w:id="1372"/>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3" w:name="_Toc1372"/>
      <w:r>
        <w:rPr>
          <w:b/>
          <w:bCs/>
          <w:color w:val="161B22"/>
        </w:rPr>
        <w:t xml:space="preserve">Force 3: The Demographic Reckoning — No Longer a Future Problem</w:t>
      </w:r>
      <w:bookmarkEnd w:id="1373"/>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4" w:name="_Toc1373"/>
      <w:r>
        <w:rPr>
          <w:b/>
          <w:bCs/>
          <w:color w:val="161B22"/>
        </w:rPr>
        <w:t xml:space="preserve">Force 4: The Drug-Pricing Reckoning — Complexity Compounding</w:t>
      </w:r>
      <w:bookmarkEnd w:id="1374"/>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5" w:name="_Toc1374"/>
      <w:r>
        <w:rPr>
          <w:b/>
          <w:bCs/>
          <w:color w:val="161B22"/>
        </w:rPr>
        <w:t xml:space="preserve">Force 5: The Value-Based-Care Tipping Point — Still Approaching</w:t>
      </w:r>
      <w:bookmarkEnd w:id="1375"/>
    </w:p>
    <w:p>
      <w:pPr>
        <w:pStyle w:val="FirstParagraph"/>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pPr>
    </w:p>
    <w:p>
      <w:pPr>
        <w:pStyle w:val="Heading2"/>
        <w:pBdr>
          <w:top w:val="single" w:sz="6" w:space="10" w:color="C9D2DF"/>
        </w:pBdr>
      </w:pPr>
      <w:r>
        <w:rPr>
          <w:color w:val="161B22"/>
        </w:rPr>
        <w:t xml:space="preserve">13.4  </w:t>
      </w:r>
      <w:bookmarkStart w:id="1376" w:name="_Toc1375"/>
      <w:r>
        <w:rPr>
          <w:b/>
          <w:bCs/>
          <w:color w:val="161B22"/>
        </w:rPr>
        <w:t xml:space="preserve">The Six-Pillar Forecast: 2026–2035</w:t>
      </w:r>
      <w:bookmarkEnd w:id="1376"/>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2026 starting point</w:t>
            </w:r>
          </w:p>
        </w:tc>
        <w:tc>
          <w:tcPr>
            <w:shd w:val="clear" w:color="auto" w:fill="1B3A6B"/>
            <w:tcW w:w="2177" w:type="dxa"/>
          </w:tcPr>
          <w:p>
            <w:pPr>
              <w:pStyle w:val="Compact"/>
              <w:jc w:val="left"/>
            </w:pPr>
            <w:r>
              <w:rPr>
                <w:b/>
                <w:color w:val="FFFFFF"/>
                <w:sz w:val="16"/>
              </w:rPr>
              <w:t xml:space="preserve">Primary headwinds</w:t>
            </w:r>
          </w:p>
        </w:tc>
        <w:tc>
          <w:tcPr>
            <w:shd w:val="clear" w:color="auto" w:fill="1B3A6B"/>
            <w:tcW w:w="2177" w:type="dxa"/>
          </w:tcPr>
          <w:p>
            <w:pPr>
              <w:pStyle w:val="Compact"/>
              <w:jc w:val="left"/>
            </w:pPr>
            <w:r>
              <w:rPr>
                <w:b/>
                <w:color w:val="FFFFFF"/>
                <w:sz w:val="16"/>
              </w:rPr>
              <w:t xml:space="preserve">Primary tailwinds</w:t>
            </w:r>
          </w:p>
        </w:tc>
        <w:tc>
          <w:tcPr>
            <w:shd w:val="clear" w:color="auto" w:fill="1B3A6B"/>
            <w:tcW w:w="2177" w:type="dxa"/>
          </w:tcPr>
          <w:p>
            <w:pPr>
              <w:pStyle w:val="Compact"/>
              <w:jc w:val="left"/>
            </w:pPr>
            <w:r>
              <w:rPr>
                <w:b/>
                <w:color w:val="FFFFFF"/>
                <w:sz w:val="16"/>
              </w:rPr>
              <w:t xml:space="preserve">2035 assessment</w:t>
            </w:r>
          </w:p>
        </w:tc>
      </w:tr>
      <w:tr>
        <w:trPr>
          <w:cantSplit/>
        </w:trPr>
        <w:tc>
          <w:tcPr>
            <w:tcW w:w="362" w:type="dxa"/>
          </w:tcPr>
          <w:p>
            <w:pPr>
              <w:pStyle w:val="Compact"/>
              <w:jc w:val="left"/>
            </w:pPr>
            <w:r>
              <w:rPr>
                <w:sz w:val="16"/>
              </w:rPr>
              <w:t xml:space="preserve">Policy</w:t>
            </w:r>
          </w:p>
        </w:tc>
        <w:tc>
          <w:tcPr>
            <w:tcW w:w="2177" w:type="dxa"/>
          </w:tcPr>
          <w:p>
            <w:pPr>
              <w:pStyle w:val="Compact"/>
              <w:jc w:val="left"/>
            </w:pPr>
            <w:r>
              <w:rPr>
                <w:sz w:val="16"/>
              </w:rPr>
              <w:t xml:space="preserve">VT: Acts 167/68/AHEAD form the most complete state reform mandate in the country. National: H.R. 1 Medicaid cuts; RHT front-loaded.</w:t>
            </w:r>
          </w:p>
        </w:tc>
        <w:tc>
          <w:tcPr>
            <w:tcW w:w="2177" w:type="dxa"/>
          </w:tcPr>
          <w:p>
            <w:pPr>
              <w:pStyle w:val="Compact"/>
              <w:jc w:val="left"/>
            </w:pPr>
            <w:r>
              <w:rPr>
                <w:sz w:val="16"/>
              </w:rPr>
              <w:t xml:space="preserve">Medicaid work requirements (late 2026); federal policy instability; provider-tax restrictions pressuring state budgets.</w:t>
            </w:r>
          </w:p>
        </w:tc>
        <w:tc>
          <w:tcPr>
            <w:tcW w:w="2177" w:type="dxa"/>
          </w:tcPr>
          <w:p>
            <w:pPr>
              <w:pStyle w:val="Compact"/>
              <w:jc w:val="left"/>
            </w:pPr>
            <w:r>
              <w:rPr>
                <w:sz w:val="16"/>
              </w:rPr>
              <w:t xml:space="preserve">AHEAD expanding (6 states); VT mandatory RBP/global budgets as template; price-transparency momentum; BALANCE GLP-1 access.</w:t>
            </w:r>
          </w:p>
        </w:tc>
        <w:tc>
          <w:tcPr>
            <w:tcW w:w="2177" w:type="dxa"/>
          </w:tcPr>
          <w:p>
            <w:pPr>
              <w:pStyle w:val="Compact"/>
              <w:jc w:val="left"/>
            </w:pPr>
            <w:r>
              <w:rPr>
                <w:sz w:val="16"/>
              </w:rPr>
              <w:t xml:space="preserve">Moderate national progress; high VT-specific progress if execution holds. Mandatory APM participation is the critical unresolved national question.</w:t>
            </w:r>
          </w:p>
        </w:tc>
      </w:tr>
      <w:tr>
        <w:trPr>
          <w:cantSplit/>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VT: VHCURES solid; VITL/HIE voluntary and incomplete; analytics vendor procured; CIN in development. National: FHIR improving interoperability; AI outpacing governance.</w:t>
            </w:r>
          </w:p>
        </w:tc>
        <w:tc>
          <w:tcPr>
            <w:tcW w:w="2177" w:type="dxa"/>
          </w:tcPr>
          <w:p>
            <w:pPr>
              <w:pStyle w:val="Compact"/>
              <w:jc w:val="left"/>
            </w:pPr>
            <w:r>
              <w:rPr>
                <w:sz w:val="16"/>
              </w:rPr>
              <w:t xml:space="preserve">Two-year VHCURES data lag; incomplete FHIR at smaller hospitals; absent AI governance in most states.</w:t>
            </w:r>
          </w:p>
        </w:tc>
        <w:tc>
          <w:tcPr>
            <w:tcW w:w="2177" w:type="dxa"/>
          </w:tcPr>
          <w:p>
            <w:pPr>
              <w:pStyle w:val="Compact"/>
              <w:jc w:val="left"/>
            </w:pPr>
            <w:r>
              <w:rPr>
                <w:sz w:val="16"/>
              </w:rPr>
              <w:t xml:space="preserve">VT CIN providing shared analytics and AI governance; RHT IT grants funding FHIR upgrades; ambient AI reducing burden nationally.</w:t>
            </w:r>
          </w:p>
        </w:tc>
        <w:tc>
          <w:tcPr>
            <w:tcW w:w="2177" w:type="dxa"/>
          </w:tcPr>
          <w:p>
            <w:pPr>
              <w:pStyle w:val="Compact"/>
              <w:jc w:val="left"/>
            </w:pPr>
            <w:r>
              <w:rPr>
                <w:sz w:val="16"/>
              </w:rPr>
              <w:t xml:space="preserve">Fastest-improving pillar nationally; FHIR operationally complete for major EHRs by ~2028. AI deployment rapid, governance lagging — safety and equity risk if governance does not catch up.</w:t>
            </w:r>
          </w:p>
        </w:tc>
      </w:tr>
      <w:tr>
        <w:trPr>
          <w:cantSplit/>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VT: RBP implementing (FY2027); global budgets mandated (FY2028). National: VBC ~58% commercial; global budgets rare outside VT/MD.</w:t>
            </w:r>
          </w:p>
        </w:tc>
        <w:tc>
          <w:tcPr>
            <w:tcW w:w="2177" w:type="dxa"/>
          </w:tcPr>
          <w:p>
            <w:pPr>
              <w:pStyle w:val="Compact"/>
              <w:jc w:val="left"/>
            </w:pPr>
            <w:r>
              <w:rPr>
                <w:sz w:val="16"/>
              </w:rPr>
              <w:t xml:space="preserve">H.R. 1 Medicaid revenue reductions; GLP-1 wave threatening IRA savings; commercial premium pressure.</w:t>
            </w:r>
          </w:p>
        </w:tc>
        <w:tc>
          <w:tcPr>
            <w:tcW w:w="2177" w:type="dxa"/>
          </w:tcPr>
          <w:p>
            <w:pPr>
              <w:pStyle w:val="Compact"/>
              <w:jc w:val="left"/>
            </w:pPr>
            <w:r>
              <w:rPr>
                <w:sz w:val="16"/>
              </w:rPr>
              <w:t xml:space="preserve">VT RBP producing documented savings; IRA GLP-1 negotiation (2027); Maryland AHEAD validating global budgets; ACO REACH maturing.</w:t>
            </w:r>
          </w:p>
        </w:tc>
        <w:tc>
          <w:tcPr>
            <w:tcW w:w="2177" w:type="dxa"/>
          </w:tcPr>
          <w:p>
            <w:pPr>
              <w:pStyle w:val="Compact"/>
              <w:jc w:val="left"/>
            </w:pPr>
            <w:r>
              <w:rPr>
                <w:sz w:val="16"/>
              </w:rPr>
              <w:t xml:space="preserve">VT: strong progress if global budgets land on schedule. National: VBC ~70–75% commercial by 2030; global budgets stay limited absent mandatory policy.</w:t>
            </w:r>
          </w:p>
        </w:tc>
      </w:tr>
      <w:tr>
        <w:trPr>
          <w:cantSplit/>
        </w:trPr>
        <w:tc>
          <w:tcPr>
            <w:tcW w:w="362" w:type="dxa"/>
          </w:tcPr>
          <w:p>
            <w:pPr>
              <w:pStyle w:val="Compact"/>
              <w:jc w:val="left"/>
            </w:pPr>
            <w:r>
              <w:rPr>
                <w:sz w:val="16"/>
              </w:rPr>
              <w:t xml:space="preserve">Clinical</w:t>
            </w:r>
          </w:p>
        </w:tc>
        <w:tc>
          <w:tcPr>
            <w:tcW w:w="2177" w:type="dxa"/>
          </w:tcPr>
          <w:p>
            <w:pPr>
              <w:pStyle w:val="Compact"/>
              <w:jc w:val="left"/>
            </w:pPr>
            <w:r>
              <w:rPr>
                <w:sz w:val="16"/>
              </w:rPr>
              <w:t xml:space="preserve">VT: Blueprint strong; CoCM/MHI effective but not permanently funded; CCBHC expanding; PACE gap; primary-care productivity constraint. National: BH access crisis worsening.</w:t>
            </w:r>
          </w:p>
        </w:tc>
        <w:tc>
          <w:tcPr>
            <w:tcW w:w="2177" w:type="dxa"/>
          </w:tcPr>
          <w:p>
            <w:pPr>
              <w:pStyle w:val="Compact"/>
              <w:jc w:val="left"/>
            </w:pPr>
            <w:r>
              <w:rPr>
                <w:sz w:val="16"/>
              </w:rPr>
              <w:t xml:space="preserve">MHI sustainability uncertain without AHEAD EAST Fund commitment; primary-care shortage (370-FTE gap by 2030 in VT); Medicaid cuts threatening safety-net providers.</w:t>
            </w:r>
          </w:p>
        </w:tc>
        <w:tc>
          <w:tcPr>
            <w:tcW w:w="2177" w:type="dxa"/>
          </w:tcPr>
          <w:p>
            <w:pPr>
              <w:pStyle w:val="Compact"/>
              <w:jc w:val="left"/>
            </w:pPr>
            <w:r>
              <w:rPr>
                <w:sz w:val="16"/>
              </w:rPr>
              <w:t xml:space="preserve">Blueprint among strongest PCMH infrastructure in the country; CCBHC expansion; AHEAD EAST Fund targeting primary care/BH; CoCM Medicare billing enabling sustainable financing.</w:t>
            </w:r>
          </w:p>
        </w:tc>
        <w:tc>
          <w:tcPr>
            <w:tcW w:w="2177" w:type="dxa"/>
          </w:tcPr>
          <w:p>
            <w:pPr>
              <w:pStyle w:val="Compact"/>
              <w:jc w:val="left"/>
            </w:pPr>
            <w:r>
              <w:rPr>
                <w:sz w:val="16"/>
              </w:rPr>
              <w:t xml:space="preserve">Steady national improvement in primary care and BH integration. VT: Blueprint + AHEAD primary-care investment strongest in country; BH integration is the critical clinical variable.</w:t>
            </w:r>
          </w:p>
        </w:tc>
      </w:tr>
      <w:tr>
        <w:trPr>
          <w:cantSplit/>
        </w:trPr>
        <w:tc>
          <w:tcPr>
            <w:tcW w:w="362" w:type="dxa"/>
          </w:tcPr>
          <w:p>
            <w:pPr>
              <w:pStyle w:val="Compact"/>
              <w:jc w:val="left"/>
            </w:pPr>
            <w:r>
              <w:rPr>
                <w:sz w:val="16"/>
              </w:rPr>
              <w:t xml:space="preserve">Equity</w:t>
            </w:r>
          </w:p>
        </w:tc>
        <w:tc>
          <w:tcPr>
            <w:tcW w:w="2177" w:type="dxa"/>
          </w:tcPr>
          <w:p>
            <w:pPr>
              <w:pStyle w:val="Compact"/>
              <w:jc w:val="left"/>
            </w:pPr>
            <w:r>
              <w:rPr>
                <w:sz w:val="16"/>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jc w:val="left"/>
            </w:pPr>
            <w:r>
              <w:rPr>
                <w:sz w:val="16"/>
              </w:rPr>
              <w:t xml:space="preserve">H.R. 1 cuts hitting low-income/rural hardest; federal equity-program funding reductions; GLP-1 access gap for Medicaid.</w:t>
            </w:r>
          </w:p>
        </w:tc>
        <w:tc>
          <w:tcPr>
            <w:tcW w:w="2177" w:type="dxa"/>
          </w:tcPr>
          <w:p>
            <w:pPr>
              <w:pStyle w:val="Compact"/>
              <w:jc w:val="left"/>
            </w:pPr>
            <w:r>
              <w:rPr>
                <w:sz w:val="16"/>
              </w:rPr>
              <w:t xml:space="preserve">VT BALANCE participation could close the GLP-1 gap; CCBHC serve-all policy; Blueprint HRSN universal screening; Act 68 equity requirements embedded.</w:t>
            </w:r>
          </w:p>
        </w:tc>
        <w:tc>
          <w:tcPr>
            <w:tcW w:w="2177" w:type="dxa"/>
          </w:tcPr>
          <w:p>
            <w:pPr>
              <w:pStyle w:val="Compact"/>
              <w:jc w:val="left"/>
            </w:pPr>
            <w:r>
              <w:rPr>
                <w:sz w:val="16"/>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VT: hospital plans in development; AHS restructuring underway; PMO being established; CIN in development. National: administrative complexity not declining.</w:t>
            </w:r>
          </w:p>
        </w:tc>
        <w:tc>
          <w:tcPr>
            <w:tcW w:w="2177" w:type="dxa"/>
          </w:tcPr>
          <w:p>
            <w:pPr>
              <w:pStyle w:val="Compact"/>
              <w:jc w:val="left"/>
            </w:pPr>
            <w:r>
              <w:rPr>
                <w:sz w:val="16"/>
              </w:rPr>
              <w:t xml:space="preserve">14 plans at varying stages; analytics vendor not yet operational; AHS capacity must be built; RHT requires PM infrastructure VT is hiring.</w:t>
            </w:r>
          </w:p>
        </w:tc>
        <w:tc>
          <w:tcPr>
            <w:tcW w:w="2177" w:type="dxa"/>
          </w:tcPr>
          <w:p>
            <w:pPr>
              <w:pStyle w:val="Compact"/>
              <w:jc w:val="left"/>
            </w:pPr>
            <w:r>
              <w:rPr>
                <w:sz w:val="16"/>
              </w:rPr>
              <w:t xml:space="preserve">$195M RHT capital; all 14 hospitals engaged; GMCB capacity added under Act 68; joint AHS-GMCB analytics procurement; CIN shared services.</w:t>
            </w:r>
          </w:p>
        </w:tc>
        <w:tc>
          <w:tcPr>
            <w:tcW w:w="2177" w:type="dxa"/>
          </w:tcPr>
          <w:p>
            <w:pPr>
              <w:pStyle w:val="Compact"/>
              <w:jc w:val="left"/>
            </w:pPr>
            <w:r>
              <w:rPr>
                <w:sz w:val="16"/>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13.5  </w:t>
      </w:r>
      <w:bookmarkStart w:id="1377" w:name="_Toc1376"/>
      <w:r>
        <w:rPr>
          <w:b/>
          <w:bCs/>
          <w:color w:val="161B22"/>
        </w:rPr>
        <w:t xml:space="preserve">Vermont’s Ten-Year Trajectory: Two Scenarios</w:t>
      </w:r>
      <w:bookmarkEnd w:id="1377"/>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8" w:name="_Toc1377"/>
      <w:r>
        <w:rPr>
          <w:b/>
          <w:bCs/>
          <w:color w:val="161B22"/>
        </w:rPr>
        <w:t xml:space="preserve">The Transformation-Success Scenario</w:t>
      </w:r>
      <w:bookmarkEnd w:id="1378"/>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79" w:name="_Toc1378"/>
      <w:r>
        <w:rPr>
          <w:b/>
          <w:bCs/>
          <w:color w:val="161B22"/>
        </w:rPr>
        <w:t xml:space="preserve">The Partial-Transformation Scenario</w:t>
      </w:r>
      <w:bookmarkEnd w:id="1379"/>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pPr>
      <w:r>
        <w:rPr>
          <w:color w:val="161B22"/>
        </w:rPr>
        <w:t xml:space="preserve">13.6  </w:t>
      </w:r>
      <w:bookmarkStart w:id="1380" w:name="_Toc1379"/>
      <w:r>
        <w:rPr>
          <w:b/>
          <w:bCs/>
          <w:color w:val="161B22"/>
        </w:rPr>
        <w:t xml:space="preserve">Vermont as National Template — The Decisions That Will Determine Outcomes</w:t>
      </w:r>
      <w:bookmarkEnd w:id="1380"/>
    </w:p>
    <w:p>
      <w:pPr>
        <w:pStyle w:val="FirstParagraph"/>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621"/>
        <w:gridCol w:w="2958"/>
        <w:gridCol w:w="3621"/>
        <w:gridCol w:w="3621"/>
      </w:tblGrid>
      <w:tr>
        <w:trPr>
          <w:tblHeader w:val="on"/>
          <w:cantSplit/>
        </w:trPr>
        <w:tc>
          <w:tcPr>
            <w:shd w:val="clear" w:color="auto" w:fill="1B3A6B"/>
            <w:tcW w:w="2376" w:type="dxa"/>
          </w:tcPr>
          <w:p>
            <w:pPr>
              <w:pStyle w:val="Compact"/>
              <w:jc w:val="left"/>
            </w:pPr>
            <w:r>
              <w:rPr>
                <w:b/>
                <w:color w:val="FFFFFF"/>
                <w:sz w:val="16"/>
              </w:rPr>
              <w:t xml:space="preserve">Decision</w:t>
            </w:r>
          </w:p>
        </w:tc>
        <w:tc>
          <w:tcPr>
            <w:shd w:val="clear" w:color="auto" w:fill="1B3A6B"/>
            <w:tcW w:w="1941" w:type="dxa"/>
          </w:tcPr>
          <w:p>
            <w:pPr>
              <w:pStyle w:val="Compact"/>
              <w:jc w:val="left"/>
            </w:pPr>
            <w:r>
              <w:rPr>
                <w:b/>
                <w:color w:val="FFFFFF"/>
                <w:sz w:val="16"/>
              </w:rPr>
              <w:t xml:space="preserve">Vermont timeline</w:t>
            </w:r>
          </w:p>
        </w:tc>
        <w:tc>
          <w:tcPr>
            <w:shd w:val="clear" w:color="auto" w:fill="1B3A6B"/>
            <w:tcW w:w="2376" w:type="dxa"/>
          </w:tcPr>
          <w:p>
            <w:pPr>
              <w:pStyle w:val="Compact"/>
              <w:jc w:val="left"/>
            </w:pPr>
            <w:r>
              <w:rPr>
                <w:b/>
                <w:color w:val="FFFFFF"/>
                <w:sz w:val="16"/>
              </w:rPr>
              <w:t xml:space="preserve">If Vermont succeeds</w:t>
            </w:r>
          </w:p>
        </w:tc>
        <w:tc>
          <w:tcPr>
            <w:shd w:val="clear" w:color="auto" w:fill="1B3A6B"/>
            <w:tcW w:w="2376" w:type="dxa"/>
          </w:tcPr>
          <w:p>
            <w:pPr>
              <w:pStyle w:val="Compact"/>
              <w:jc w:val="left"/>
            </w:pPr>
            <w:r>
              <w:rPr>
                <w:b/>
                <w:color w:val="FFFFFF"/>
                <w:sz w:val="16"/>
              </w:rPr>
              <w:t xml:space="preserve">If Vermont struggles</w:t>
            </w:r>
          </w:p>
        </w:tc>
      </w:tr>
      <w:tr>
        <w:trPr>
          <w:cantSplit/>
        </w:trPr>
        <w:tc>
          <w:tcPr>
            <w:tcW w:w="2376" w:type="dxa"/>
          </w:tcPr>
          <w:p>
            <w:pPr>
              <w:pStyle w:val="Compact"/>
              <w:jc w:val="left"/>
            </w:pPr>
            <w:r>
              <w:rPr>
                <w:sz w:val="16"/>
              </w:rPr>
              <w:t xml:space="preserve">Will mandatory all-payer RBP reduce hospital prices without reducing access?</w:t>
            </w:r>
          </w:p>
        </w:tc>
        <w:tc>
          <w:tcPr>
            <w:tcW w:w="1941" w:type="dxa"/>
          </w:tcPr>
          <w:p>
            <w:pPr>
              <w:pStyle w:val="Compact"/>
              <w:jc w:val="left"/>
            </w:pPr>
            <w:r>
              <w:rPr>
                <w:sz w:val="16"/>
              </w:rPr>
              <w:t xml:space="preserve">FY2027 implementation; first evidence FY2028</w:t>
            </w:r>
          </w:p>
        </w:tc>
        <w:tc>
          <w:tcPr>
            <w:tcW w:w="2376" w:type="dxa"/>
          </w:tcPr>
          <w:p>
            <w:pPr>
              <w:pStyle w:val="Compact"/>
              <w:jc w:val="left"/>
            </w:pPr>
            <w:r>
              <w:rPr>
                <w:sz w:val="16"/>
              </w:rPr>
              <w:t xml:space="preserve">Confirms mandatory price regulation can close the price gap without the closures opponents predict; accelerates state adoption.</w:t>
            </w:r>
          </w:p>
        </w:tc>
        <w:tc>
          <w:tcPr>
            <w:tcW w:w="2376" w:type="dxa"/>
          </w:tcPr>
          <w:p>
            <w:pPr>
              <w:pStyle w:val="Compact"/>
              <w:jc w:val="left"/>
            </w:pPr>
            <w:r>
              <w:rPr>
                <w:sz w:val="16"/>
              </w:rPr>
              <w:t xml:space="preserve">Arms RBP opponents; may delay national adoption 5–10 years.</w:t>
            </w:r>
          </w:p>
        </w:tc>
      </w:tr>
      <w:tr>
        <w:trPr>
          <w:cantSplit/>
        </w:trPr>
        <w:tc>
          <w:tcPr>
            <w:tcW w:w="2376" w:type="dxa"/>
          </w:tcPr>
          <w:p>
            <w:pPr>
              <w:pStyle w:val="Compact"/>
              <w:jc w:val="left"/>
            </w:pPr>
            <w:r>
              <w:rPr>
                <w:sz w:val="16"/>
              </w:rPr>
              <w:t xml:space="preserve">Can hospital global budgets shift behavior toward population health?</w:t>
            </w:r>
          </w:p>
        </w:tc>
        <w:tc>
          <w:tcPr>
            <w:tcW w:w="1941" w:type="dxa"/>
          </w:tcPr>
          <w:p>
            <w:pPr>
              <w:pStyle w:val="Compact"/>
              <w:jc w:val="left"/>
            </w:pPr>
            <w:r>
              <w:rPr>
                <w:sz w:val="16"/>
              </w:rPr>
              <w:t xml:space="preserve">FY2028 budgets; AHEAD data 2027–2030</w:t>
            </w:r>
          </w:p>
        </w:tc>
        <w:tc>
          <w:tcPr>
            <w:tcW w:w="2376" w:type="dxa"/>
          </w:tcPr>
          <w:p>
            <w:pPr>
              <w:pStyle w:val="Compact"/>
              <w:jc w:val="left"/>
            </w:pPr>
            <w:r>
              <w:rPr>
                <w:sz w:val="16"/>
              </w:rPr>
              <w:t xml:space="preserve">Shows global budgets produce the improvements Maryland demonstrated, beyond Maryland-specific conditions.</w:t>
            </w:r>
          </w:p>
        </w:tc>
        <w:tc>
          <w:tcPr>
            <w:tcW w:w="2376" w:type="dxa"/>
          </w:tcPr>
          <w:p>
            <w:pPr>
              <w:pStyle w:val="Compact"/>
              <w:jc w:val="left"/>
            </w:pPr>
            <w:r>
              <w:rPr>
                <w:sz w:val="16"/>
              </w:rPr>
              <w:t xml:space="preserve">Suggests budgets without primary-care/SDOH infrastructure don’t improve population health; strengthens the case for community investment first.</w:t>
            </w:r>
          </w:p>
        </w:tc>
      </w:tr>
      <w:tr>
        <w:trPr>
          <w:cantSplit/>
        </w:trPr>
        <w:tc>
          <w:tcPr>
            <w:tcW w:w="2376" w:type="dxa"/>
          </w:tcPr>
          <w:p>
            <w:pPr>
              <w:pStyle w:val="Compact"/>
              <w:jc w:val="left"/>
            </w:pPr>
            <w:r>
              <w:rPr>
                <w:sz w:val="16"/>
              </w:rPr>
              <w:t xml:space="preserve">Can AHS deliver a comprehensive Strategic Plan by December 2028?</w:t>
            </w:r>
          </w:p>
        </w:tc>
        <w:tc>
          <w:tcPr>
            <w:tcW w:w="1941" w:type="dxa"/>
          </w:tcPr>
          <w:p>
            <w:pPr>
              <w:pStyle w:val="Compact"/>
              <w:jc w:val="left"/>
            </w:pPr>
            <w:r>
              <w:rPr>
                <w:sz w:val="16"/>
              </w:rPr>
              <w:t xml:space="preserve">December 2028 statutory deadline</w:t>
            </w:r>
          </w:p>
        </w:tc>
        <w:tc>
          <w:tcPr>
            <w:tcW w:w="2376" w:type="dxa"/>
          </w:tcPr>
          <w:p>
            <w:pPr>
              <w:pStyle w:val="Compact"/>
              <w:jc w:val="left"/>
            </w:pPr>
            <w:r>
              <w:rPr>
                <w:sz w:val="16"/>
              </w:rPr>
              <w:t xml:space="preserve">Proves a state agency can restructure itself into a population-health system operator; provides a template.</w:t>
            </w:r>
          </w:p>
        </w:tc>
        <w:tc>
          <w:tcPr>
            <w:tcW w:w="2376" w:type="dxa"/>
          </w:tcPr>
          <w:p>
            <w:pPr>
              <w:pStyle w:val="Compact"/>
              <w:jc w:val="left"/>
            </w:pPr>
            <w:r>
              <w:rPr>
                <w:sz w:val="16"/>
              </w:rPr>
              <w:t xml:space="preserve">Reveals capacity constraints other states must address first; valuable learning regardless.</w:t>
            </w:r>
          </w:p>
        </w:tc>
      </w:tr>
      <w:tr>
        <w:trPr>
          <w:cantSplit/>
        </w:trPr>
        <w:tc>
          <w:tcPr>
            <w:tcW w:w="2376" w:type="dxa"/>
          </w:tcPr>
          <w:p>
            <w:pPr>
              <w:pStyle w:val="Compact"/>
              <w:jc w:val="left"/>
            </w:pPr>
            <w:r>
              <w:rPr>
                <w:sz w:val="16"/>
              </w:rPr>
              <w:t xml:space="preserve">Can RHT capital fund structural transformation rather than operating support?</w:t>
            </w:r>
          </w:p>
        </w:tc>
        <w:tc>
          <w:tcPr>
            <w:tcW w:w="1941" w:type="dxa"/>
          </w:tcPr>
          <w:p>
            <w:pPr>
              <w:pStyle w:val="Compact"/>
              <w:jc w:val="left"/>
            </w:pPr>
            <w:r>
              <w:rPr>
                <w:sz w:val="16"/>
              </w:rPr>
              <w:t xml:space="preserve">FY2026–FY2030 spending window</w:t>
            </w:r>
          </w:p>
        </w:tc>
        <w:tc>
          <w:tcPr>
            <w:tcW w:w="2376" w:type="dxa"/>
          </w:tcPr>
          <w:p>
            <w:pPr>
              <w:pStyle w:val="Compact"/>
              <w:jc w:val="left"/>
            </w:pPr>
            <w:r>
              <w:rPr>
                <w:sz w:val="16"/>
              </w:rPr>
              <w:t xml:space="preserve">Shows one-time capital can produce durable structural change — the core question about whether the $50B was well spent.</w:t>
            </w:r>
          </w:p>
        </w:tc>
        <w:tc>
          <w:tcPr>
            <w:tcW w:w="2376" w:type="dxa"/>
          </w:tcPr>
          <w:p>
            <w:pPr>
              <w:pStyle w:val="Compact"/>
              <w:jc w:val="left"/>
            </w:pPr>
            <w:r>
              <w:rPr>
                <w:sz w:val="16"/>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6"/>
              </w:rPr>
              <w:t xml:space="preserve">Will AHEAD participation demonstrate savings and quality improvement?</w:t>
            </w:r>
          </w:p>
        </w:tc>
        <w:tc>
          <w:tcPr>
            <w:tcW w:w="1941" w:type="dxa"/>
          </w:tcPr>
          <w:p>
            <w:pPr>
              <w:pStyle w:val="Compact"/>
              <w:jc w:val="left"/>
            </w:pPr>
            <w:r>
              <w:rPr>
                <w:sz w:val="16"/>
              </w:rPr>
              <w:t xml:space="preserve">AHEAD data from 2027; CMS evaluation through 2035</w:t>
            </w:r>
          </w:p>
        </w:tc>
        <w:tc>
          <w:tcPr>
            <w:tcW w:w="2376" w:type="dxa"/>
          </w:tcPr>
          <w:p>
            <w:pPr>
              <w:pStyle w:val="Compact"/>
              <w:jc w:val="left"/>
            </w:pPr>
            <w:r>
              <w:rPr>
                <w:sz w:val="16"/>
              </w:rPr>
              <w:t xml:space="preserve">Builds the national evidence base for state TCOC accountability; may accelerate AHEAD expansion.</w:t>
            </w:r>
          </w:p>
        </w:tc>
        <w:tc>
          <w:tcPr>
            <w:tcW w:w="2376" w:type="dxa"/>
          </w:tcPr>
          <w:p>
            <w:pPr>
              <w:pStyle w:val="Compact"/>
              <w:jc w:val="left"/>
            </w:pPr>
            <w:r>
              <w:rPr>
                <w:sz w:val="16"/>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13.7  </w:t>
      </w:r>
      <w:bookmarkStart w:id="1381" w:name="_Toc1380"/>
      <w:r>
        <w:rPr>
          <w:b/>
          <w:bCs/>
          <w:color w:val="161B22"/>
        </w:rPr>
        <w:t xml:space="preserve">A Closing Note: What This Book Is Betting On</w:t>
      </w:r>
      <w:bookmarkEnd w:id="1381"/>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pBdr>
          <w:top w:val="single" w:sz="4" w:space="8" w:color="B8B8B8"/>
        </w:pBdr>
        <w:spacing w:before="360" w:after="0"/>
      </w:pPr>
      <w:r>
        <w:rPr>
          <w:i/>
          <w:color w:val="404040"/>
          <w:sz w:val="18"/>
        </w:rPr>
        <w:t xml:space="preserve">Sources: KFF,</w:t>
      </w:r>
      <w:r>
        <w:rPr>
          <w:i/>
          <w:color w:val="404040"/>
          <w:sz w:val="18"/>
        </w:rPr>
        <w:t xml:space="preserve"> </w:t>
      </w:r>
      <w:r>
        <w:rPr>
          <w:i/>
          <w:color w:val="404040"/>
          <w:sz w:val="18"/>
        </w:rPr>
        <w:t xml:space="preserve">“A Closer Look at the $50 Billion Rural Health Fund in the New Reconciliation Law”</w:t>
      </w:r>
      <w:r>
        <w:rPr>
          <w:i/>
          <w:color w:val="404040"/>
          <w:sz w:val="18"/>
        </w:rPr>
        <w:t xml:space="preserve"> </w:t>
      </w:r>
      <w:r>
        <w:rPr>
          <w:i/>
          <w:color w:val="404040"/>
          <w:sz w:val="18"/>
        </w:rPr>
        <w:t xml:space="preserve">(September 2025); KFF,</w:t>
      </w:r>
      <w:r>
        <w:rPr>
          <w:i/>
          <w:color w:val="404040"/>
          <w:sz w:val="18"/>
        </w:rPr>
        <w:t xml:space="preserve"> </w:t>
      </w:r>
      <w:r>
        <w:rPr>
          <w:i/>
          <w:color w:val="404040"/>
          <w:sz w:val="18"/>
        </w:rPr>
        <w:t xml:space="preserve">“How Might Federal Medicaid Cuts in the Enacted Reconciliation Package Affect Rural Areas?”</w:t>
      </w:r>
      <w:r>
        <w:rPr>
          <w:i/>
          <w:color w:val="404040"/>
          <w:sz w:val="18"/>
        </w:rPr>
        <w:t xml:space="preserve">; KFF,</w:t>
      </w:r>
      <w:r>
        <w:rPr>
          <w:i/>
          <w:color w:val="404040"/>
          <w:sz w:val="18"/>
        </w:rPr>
        <w:t xml:space="preserve"> </w:t>
      </w:r>
      <w:r>
        <w:rPr>
          <w:i/>
          <w:color w:val="404040"/>
          <w:sz w:val="18"/>
        </w:rPr>
        <w:t xml:space="preserve">“What to Know About the BALANCE Model for GLP-1s in Medicare and Medicaid”</w:t>
      </w:r>
      <w:r>
        <w:rPr>
          <w:i/>
          <w:color w:val="404040"/>
          <w:sz w:val="18"/>
        </w:rPr>
        <w:t xml:space="preserve"> </w:t>
      </w:r>
      <w:r>
        <w:rPr>
          <w:i/>
          <w:color w:val="404040"/>
          <w:sz w:val="18"/>
        </w:rPr>
        <w:t xml:space="preserve">(2026); Chartis, 2026 State of Rural Health (February 2026); Peterson-KFF Health System Tracker,</w:t>
      </w:r>
      <w:r>
        <w:rPr>
          <w:i/>
          <w:color w:val="404040"/>
          <w:sz w:val="18"/>
        </w:rPr>
        <w:t xml:space="preserve"> </w:t>
      </w:r>
      <w:r>
        <w:rPr>
          <w:i/>
          <w:color w:val="404040"/>
          <w:sz w:val="18"/>
        </w:rPr>
        <w:t xml:space="preserve">“Eight Trends Shaping 2026 Healthcare Costs”</w:t>
      </w:r>
      <w:r>
        <w:rPr>
          <w:i/>
          <w:color w:val="404040"/>
          <w:sz w:val="18"/>
        </w:rPr>
        <w:t xml:space="preserve"> </w:t>
      </w:r>
      <w:r>
        <w:rPr>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2" w:name="_Toc1381"/>
      <w:r>
        <w:rPr>
          <w:b/>
          <w:bCs/>
          <w:color w:val="161B22"/>
        </w:rPr>
        <w:t xml:space="preserve">Chapter 14 — Political Sustainability: Protecting Transformation Across Election Cycles</w:t>
      </w:r>
      <w:bookmarkEnd w:id="138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3" w:name="_Toc1382"/>
      <w:r>
        <w:rPr>
          <w:b/>
          <w:bCs/>
          <w:color w:val="161B22"/>
        </w:rPr>
        <w:t xml:space="preserve">Why Political Sustainability Is an Analytical Problem, Not Only a Political One</w:t>
      </w:r>
      <w:bookmarkEnd w:id="1383"/>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4" w:name="_Toc1383"/>
      <w:r>
        <w:rPr>
          <w:b/>
          <w:bCs/>
          <w:color w:val="161B22"/>
        </w:rPr>
        <w:t xml:space="preserve">The Structural Durability of Vermont’s Reform Architecture</w:t>
      </w:r>
      <w:bookmarkEnd w:id="1384"/>
    </w:p>
    <w:p>
      <w:pPr>
        <w:pStyle w:val="Heading3"/>
      </w:pPr>
      <w:r>
        <w:rPr>
          <w:color w:val="161B22"/>
        </w:rPr>
        <w:t xml:space="preserve">14.2.1  </w:t>
      </w:r>
      <w:bookmarkStart w:id="1385" w:name="_Toc1384"/>
      <w:r>
        <w:rPr>
          <w:b/>
          <w:bCs/>
          <w:color w:val="161B22"/>
        </w:rPr>
        <w:t xml:space="preserve">What Is Hard to Reverse</w:t>
      </w:r>
      <w:bookmarkEnd w:id="1385"/>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86" w:name="_Toc1385"/>
      <w:r>
        <w:rPr>
          <w:b/>
          <w:bCs/>
          <w:color w:val="161B22"/>
        </w:rPr>
        <w:t xml:space="preserve">What Is Politically Exposed</w:t>
      </w:r>
      <w:bookmarkEnd w:id="1386"/>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pPr>
      <w:r>
        <w:rPr>
          <w:color w:val="161B22"/>
        </w:rPr>
        <w:t xml:space="preserve">14.3  </w:t>
      </w:r>
      <w:bookmarkStart w:id="1387" w:name="_Toc1386"/>
      <w:r>
        <w:rPr>
          <w:b/>
          <w:bCs/>
          <w:color w:val="161B22"/>
        </w:rPr>
        <w:t xml:space="preserve">Early-Warning Signals of Political Risk</w:t>
      </w:r>
      <w:bookmarkEnd w:id="1387"/>
    </w:p>
    <w:tbl>
      <w:tblPr>
        <w:tblStyle w:val="HTRTable"/>
        <w:tblLook w:firstRow="1" w:lastRow="0" w:firstColumn="0" w:lastColumn="0" w:noHBand="0" w:noVBand="1" w:val="0020"/>
        <w:tblW w:w="9072" w:type="dxa"/>
        <w:tblLayout w:type="autofit"/>
      </w:tblPr>
      <w:tblGrid>
        <w:gridCol w:w="2958"/>
        <w:gridCol w:w="2958"/>
        <w:gridCol w:w="443"/>
        <w:gridCol w:w="2711"/>
      </w:tblGrid>
      <w:tr>
        <w:trPr>
          <w:tblHeader w:val="on"/>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88" w:name="_Toc1387"/>
      <w:r>
        <w:rPr>
          <w:b/>
          <w:bCs/>
          <w:color w:val="161B22"/>
        </w:rPr>
        <w:t xml:space="preserve">Organizational Strategies for Political Risk Management</w:t>
      </w:r>
      <w:bookmarkEnd w:id="1388"/>
    </w:p>
    <w:p>
      <w:pPr>
        <w:pStyle w:val="Heading3"/>
      </w:pPr>
      <w:r>
        <w:rPr>
          <w:color w:val="161B22"/>
        </w:rPr>
        <w:t xml:space="preserve">14.4.1  </w:t>
      </w:r>
      <w:bookmarkStart w:id="1389" w:name="_Toc1388"/>
      <w:r>
        <w:rPr>
          <w:b/>
          <w:bCs/>
          <w:color w:val="161B22"/>
        </w:rPr>
        <w:t xml:space="preserve">Strategy 1 — Build investments that are hard to reverse</w:t>
      </w:r>
      <w:bookmarkEnd w:id="1389"/>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0" w:name="_Toc1389"/>
      <w:r>
        <w:rPr>
          <w:b/>
          <w:bCs/>
          <w:color w:val="161B22"/>
        </w:rPr>
        <w:t xml:space="preserve">Strategy 2 — Engage the regulatory process early and substantively</w:t>
      </w:r>
      <w:bookmarkEnd w:id="1390"/>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pPr>
      <w:r>
        <w:rPr>
          <w:color w:val="161B22"/>
        </w:rPr>
        <w:t xml:space="preserve">14.4.3  </w:t>
      </w:r>
      <w:bookmarkStart w:id="1391" w:name="_Toc1390"/>
      <w:r>
        <w:rPr>
          <w:b/>
          <w:bCs/>
          <w:color w:val="161B22"/>
        </w:rPr>
        <w:t xml:space="preserve">Strategy 3 — Maintain scenario plans for policy disruption</w:t>
      </w:r>
      <w:bookmarkEnd w:id="1391"/>
    </w:p>
    <w:p>
      <w:pPr>
        <w:pStyle w:val="FirstParagraph"/>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autofit"/>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cantSplit/>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cantSplit/>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cantSplit/>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2" w:name="_Toc1391"/>
      <w:r>
        <w:rPr>
          <w:b/>
          <w:bCs/>
          <w:color w:val="161B22"/>
        </w:rPr>
        <w:t xml:space="preserve">Strategy 4 — Document and communicate transformation progress</w:t>
      </w:r>
      <w:bookmarkEnd w:id="1392"/>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3" w:name="_Toc1392"/>
      <w:r>
        <w:rPr>
          <w:b/>
          <w:bCs/>
          <w:color w:val="161B22"/>
        </w:rPr>
        <w:t xml:space="preserve">Vermont’s Reform Cascade as Political-Sustainability Architecture</w:t>
      </w:r>
      <w:bookmarkEnd w:id="1393"/>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3"/>
      </w:pPr>
      <w:r>
        <w:rPr>
          <w:color w:val="161B22"/>
        </w:rPr>
        <w:t xml:space="preserve">14.5.1  </w:t>
      </w:r>
      <w:bookmarkStart w:id="1394" w:name="_Toc1393"/>
      <w:r>
        <w:rPr>
          <w:b/>
          <w:bCs/>
          <w:color w:val="161B22"/>
        </w:rPr>
        <w:t xml:space="preserve">Key Concepts</w:t>
      </w:r>
      <w:bookmarkEnd w:id="1394"/>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pBdr>
          <w:top w:val="single" w:sz="4" w:space="8" w:color="B8B8B8"/>
        </w:pBdr>
        <w:spacing w:before="160" w:after="120"/>
      </w:pPr>
      <w:r>
        <w:rPr>
          <w:rFonts w:ascii="Calibri" w:hAnsi="Calibri"/>
          <w:i/>
          <w:color w:val="00000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395" w:name="_Toc1394"/>
      <w:r>
        <w:rPr>
          <w:b/>
          <w:bCs/>
          <w:color w:val="161B22"/>
        </w:rPr>
        <w:t xml:space="preserve">Chapter 15 — Healthcare Transformation as Portfolio Management: Applying PMI Standards to Six-Pillar Reform</w:t>
      </w:r>
      <w:bookmarkEnd w:id="1395"/>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396" w:name="_Toc1395"/>
      <w:r>
        <w:rPr>
          <w:b/>
          <w:bCs/>
          <w:color w:val="161B22"/>
        </w:rPr>
        <w:t xml:space="preserve">The Project-Management Gap in Healthcare Transformation</w:t>
      </w:r>
      <w:bookmarkEnd w:id="1396"/>
    </w:p>
    <w:p>
      <w:pPr>
        <w:pStyle w:val="FirstParagraph"/>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autofit"/>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cantSplit/>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pPr>
      <w:r>
        <w:rPr>
          <w:color w:val="161B22"/>
        </w:rPr>
        <w:t xml:space="preserve">15.2  </w:t>
      </w:r>
      <w:bookmarkStart w:id="1397" w:name="_Toc1396"/>
      <w:r>
        <w:rPr>
          <w:b/>
          <w:bCs/>
          <w:color w:val="161B22"/>
        </w:rPr>
        <w:t xml:space="preserve">Project, Program, and Portfolio: Getting the Levels Right</w:t>
      </w:r>
      <w:bookmarkEnd w:id="1397"/>
    </w:p>
    <w:p>
      <w:pPr>
        <w:pStyle w:val="FirstParagraph"/>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47"/>
        <w:gridCol w:w="3375"/>
        <w:gridCol w:w="3375"/>
        <w:gridCol w:w="3150"/>
        <w:gridCol w:w="3375"/>
      </w:tblGrid>
      <w:tr>
        <w:trPr>
          <w:tblHeader w:val="on"/>
          <w:cantSplit/>
        </w:trPr>
        <w:tc>
          <w:tcPr>
            <w:shd w:val="clear" w:color="auto" w:fill="1B3A6B"/>
            <w:tcW w:w="359" w:type="dxa"/>
          </w:tcPr>
          <w:p>
            <w:pPr>
              <w:pStyle w:val="Compact"/>
              <w:jc w:val="left"/>
            </w:pPr>
            <w:r>
              <w:rPr>
                <w:b/>
                <w:color w:val="FFFFFF"/>
                <w:sz w:val="16"/>
              </w:rPr>
              <w:t xml:space="preserve">Level</w:t>
            </w:r>
          </w:p>
        </w:tc>
        <w:tc>
          <w:tcPr>
            <w:shd w:val="clear" w:color="auto" w:fill="1B3A6B"/>
            <w:tcW w:w="2215" w:type="dxa"/>
          </w:tcPr>
          <w:p>
            <w:pPr>
              <w:pStyle w:val="Compact"/>
              <w:jc w:val="left"/>
            </w:pPr>
            <w:r>
              <w:rPr>
                <w:b/>
                <w:color w:val="FFFFFF"/>
                <w:sz w:val="16"/>
              </w:rPr>
              <w:t xml:space="preserve">PMI definition</w:t>
            </w:r>
          </w:p>
        </w:tc>
        <w:tc>
          <w:tcPr>
            <w:shd w:val="clear" w:color="auto" w:fill="1B3A6B"/>
            <w:tcW w:w="2215" w:type="dxa"/>
          </w:tcPr>
          <w:p>
            <w:pPr>
              <w:pStyle w:val="Compact"/>
              <w:jc w:val="left"/>
            </w:pPr>
            <w:r>
              <w:rPr>
                <w:b/>
                <w:color w:val="FFFFFF"/>
                <w:sz w:val="16"/>
              </w:rPr>
              <w:t xml:space="preserve">Vermont example</w:t>
            </w:r>
          </w:p>
        </w:tc>
        <w:tc>
          <w:tcPr>
            <w:shd w:val="clear" w:color="auto" w:fill="1B3A6B"/>
            <w:tcW w:w="2067" w:type="dxa"/>
          </w:tcPr>
          <w:p>
            <w:pPr>
              <w:pStyle w:val="Compact"/>
              <w:jc w:val="left"/>
            </w:pPr>
            <w:r>
              <w:rPr>
                <w:b/>
                <w:color w:val="FFFFFF"/>
                <w:sz w:val="16"/>
              </w:rPr>
              <w:t xml:space="preserve">Who manages it</w:t>
            </w:r>
          </w:p>
        </w:tc>
        <w:tc>
          <w:tcPr>
            <w:shd w:val="clear" w:color="auto" w:fill="1B3A6B"/>
            <w:tcW w:w="2215" w:type="dxa"/>
          </w:tcPr>
          <w:p>
            <w:pPr>
              <w:pStyle w:val="Compact"/>
              <w:jc w:val="left"/>
            </w:pPr>
            <w:r>
              <w:rPr>
                <w:b/>
                <w:color w:val="FFFFFF"/>
                <w:sz w:val="16"/>
              </w:rPr>
              <w:t xml:space="preserve">Success measure</w:t>
            </w:r>
          </w:p>
        </w:tc>
      </w:tr>
      <w:tr>
        <w:trPr>
          <w:cantSplit/>
        </w:trPr>
        <w:tc>
          <w:tcPr>
            <w:tcW w:w="359" w:type="dxa"/>
          </w:tcPr>
          <w:p>
            <w:pPr>
              <w:pStyle w:val="Compact"/>
              <w:jc w:val="left"/>
            </w:pPr>
            <w:r>
              <w:rPr>
                <w:sz w:val="16"/>
              </w:rPr>
              <w:t xml:space="preserve">Project</w:t>
            </w:r>
          </w:p>
        </w:tc>
        <w:tc>
          <w:tcPr>
            <w:tcW w:w="2215" w:type="dxa"/>
          </w:tcPr>
          <w:p>
            <w:pPr>
              <w:pStyle w:val="Compact"/>
              <w:jc w:val="left"/>
            </w:pPr>
            <w:r>
              <w:rPr>
                <w:sz w:val="16"/>
              </w:rPr>
              <w:t xml:space="preserve">Temporary endeavor creating a unique result; defined scope, schedule, budget.</w:t>
            </w:r>
          </w:p>
        </w:tc>
        <w:tc>
          <w:tcPr>
            <w:tcW w:w="2215" w:type="dxa"/>
          </w:tcPr>
          <w:p>
            <w:pPr>
              <w:pStyle w:val="Compact"/>
              <w:jc w:val="left"/>
            </w:pPr>
            <w:r>
              <w:rPr>
                <w:sz w:val="16"/>
              </w:rPr>
              <w:t xml:space="preserve">VHCURES analytics-vendor deployment; HCC gap closure at Springfield; CoCM deployment at a Blueprint practice; RBP rulemaking.</w:t>
            </w:r>
          </w:p>
        </w:tc>
        <w:tc>
          <w:tcPr>
            <w:tcW w:w="2067" w:type="dxa"/>
          </w:tcPr>
          <w:p>
            <w:pPr>
              <w:pStyle w:val="Compact"/>
              <w:jc w:val="left"/>
            </w:pPr>
            <w:r>
              <w:rPr>
                <w:sz w:val="16"/>
              </w:rPr>
              <w:t xml:space="preserve">Project Manager (pillar-, hospital-, or program-level)</w:t>
            </w:r>
          </w:p>
        </w:tc>
        <w:tc>
          <w:tcPr>
            <w:tcW w:w="2215" w:type="dxa"/>
          </w:tcPr>
          <w:p>
            <w:pPr>
              <w:pStyle w:val="Compact"/>
              <w:jc w:val="left"/>
            </w:pPr>
            <w:r>
              <w:rPr>
                <w:sz w:val="16"/>
              </w:rPr>
              <w:t xml:space="preserve">On scope, schedule, budget; deliverable accepted.</w:t>
            </w:r>
          </w:p>
        </w:tc>
      </w:tr>
      <w:tr>
        <w:trPr>
          <w:cantSplit/>
        </w:trPr>
        <w:tc>
          <w:tcPr>
            <w:tcW w:w="359" w:type="dxa"/>
          </w:tcPr>
          <w:p>
            <w:pPr>
              <w:pStyle w:val="Compact"/>
              <w:jc w:val="left"/>
            </w:pPr>
            <w:r>
              <w:rPr>
                <w:sz w:val="16"/>
              </w:rPr>
              <w:t xml:space="preserve">Program</w:t>
            </w:r>
          </w:p>
        </w:tc>
        <w:tc>
          <w:tcPr>
            <w:tcW w:w="2215" w:type="dxa"/>
          </w:tcPr>
          <w:p>
            <w:pPr>
              <w:pStyle w:val="Compact"/>
              <w:jc w:val="left"/>
            </w:pPr>
            <w:r>
              <w:rPr>
                <w:sz w:val="16"/>
              </w:rPr>
              <w:t xml:space="preserve">Related projects managed together for benefits not achievable individually.</w:t>
            </w:r>
          </w:p>
        </w:tc>
        <w:tc>
          <w:tcPr>
            <w:tcW w:w="2215" w:type="dxa"/>
          </w:tcPr>
          <w:p>
            <w:pPr>
              <w:pStyle w:val="Compact"/>
              <w:jc w:val="left"/>
            </w:pPr>
            <w:r>
              <w:rPr>
                <w:sz w:val="16"/>
              </w:rPr>
              <w:t xml:space="preserve">Technology Pillar program (VHCURES + VITL + CIN + AI governance); Blueprint PCMH expansion (14 HSA projects); AHEAD Implementation Program.</w:t>
            </w:r>
          </w:p>
        </w:tc>
        <w:tc>
          <w:tcPr>
            <w:tcW w:w="2067" w:type="dxa"/>
          </w:tcPr>
          <w:p>
            <w:pPr>
              <w:pStyle w:val="Compact"/>
              <w:jc w:val="left"/>
            </w:pPr>
            <w:r>
              <w:rPr>
                <w:sz w:val="16"/>
              </w:rPr>
              <w:t xml:space="preserve">Program Manager (pillar-level)</w:t>
            </w:r>
          </w:p>
        </w:tc>
        <w:tc>
          <w:tcPr>
            <w:tcW w:w="2215" w:type="dxa"/>
          </w:tcPr>
          <w:p>
            <w:pPr>
              <w:pStyle w:val="Compact"/>
              <w:jc w:val="left"/>
            </w:pPr>
            <w:r>
              <w:rPr>
                <w:sz w:val="16"/>
              </w:rPr>
              <w:t xml:space="preserve">Benefits realized; interdependencies managed.</w:t>
            </w:r>
          </w:p>
        </w:tc>
      </w:tr>
      <w:tr>
        <w:trPr>
          <w:cantSplit/>
        </w:trPr>
        <w:tc>
          <w:tcPr>
            <w:tcW w:w="359" w:type="dxa"/>
          </w:tcPr>
          <w:p>
            <w:pPr>
              <w:pStyle w:val="Compact"/>
              <w:jc w:val="left"/>
            </w:pPr>
            <w:r>
              <w:rPr>
                <w:sz w:val="16"/>
              </w:rPr>
              <w:t xml:space="preserve">Portfolio</w:t>
            </w:r>
          </w:p>
        </w:tc>
        <w:tc>
          <w:tcPr>
            <w:tcW w:w="2215" w:type="dxa"/>
          </w:tcPr>
          <w:p>
            <w:pPr>
              <w:pStyle w:val="Compact"/>
              <w:jc w:val="left"/>
            </w:pPr>
            <w:r>
              <w:rPr>
                <w:sz w:val="16"/>
              </w:rPr>
              <w:t xml:space="preserve">A collection of programs/projects/operations managed as a group to achieve strategy.</w:t>
            </w:r>
          </w:p>
        </w:tc>
        <w:tc>
          <w:tcPr>
            <w:tcW w:w="2215" w:type="dxa"/>
          </w:tcPr>
          <w:p>
            <w:pPr>
              <w:pStyle w:val="Compact"/>
              <w:jc w:val="left"/>
            </w:pPr>
            <w:r>
              <w:rPr>
                <w:sz w:val="16"/>
              </w:rPr>
              <w:t xml:space="preserve">Vermont’s full six-pillar transformation: all 19 components across the pillars, aligned to Act 167’s five goals and the December 2028 plan.</w:t>
            </w:r>
          </w:p>
        </w:tc>
        <w:tc>
          <w:tcPr>
            <w:tcW w:w="2067" w:type="dxa"/>
          </w:tcPr>
          <w:p>
            <w:pPr>
              <w:pStyle w:val="Compact"/>
              <w:jc w:val="left"/>
            </w:pPr>
            <w:r>
              <w:rPr>
                <w:sz w:val="16"/>
              </w:rPr>
              <w:t xml:space="preserve">Portfolio Manager (AHS Secretary-level or dedicated CPO)</w:t>
            </w:r>
          </w:p>
        </w:tc>
        <w:tc>
          <w:tcPr>
            <w:tcW w:w="2215" w:type="dxa"/>
          </w:tcPr>
          <w:p>
            <w:pPr>
              <w:pStyle w:val="Compact"/>
              <w:jc w:val="left"/>
            </w:pPr>
            <w:r>
              <w:rPr>
                <w:sz w:val="16"/>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15.3  </w:t>
      </w:r>
      <w:bookmarkStart w:id="1398" w:name="_Toc1397"/>
      <w:r>
        <w:rPr>
          <w:b/>
          <w:bCs/>
          <w:color w:val="161B22"/>
        </w:rPr>
        <w:t xml:space="preserve">Vermont’s Transformation Portfolio: 19 Components</w:t>
      </w:r>
      <w:bookmarkEnd w:id="1398"/>
    </w:p>
    <w:p>
      <w:pPr>
        <w:pStyle w:val="FirstParagraph"/>
      </w:pPr>
      <w:r>
        <w:t xml:space="preserve">PMI’s standard requires the portfolio to be defined — every component identified, classified, and assigned governance. The map below defines Vermont’s transformation as a PMI-compliant portfolio of 19 components.</w:t>
      </w:r>
    </w:p>
    <w:tbl>
      <w:tblPr>
        <w:tblStyle w:val="HTRTable"/>
        <w:tblLook w:firstRow="1" w:lastRow="0" w:firstColumn="0" w:lastColumn="0" w:noHBand="0" w:noVBand="1" w:val="0020"/>
        <w:tblW w:w="9072" w:type="dxa"/>
        <w:tblLayout w:type="autofit"/>
      </w:tblPr>
      <w:tblGrid>
        <w:gridCol w:w="672"/>
        <w:gridCol w:w="2755"/>
        <w:gridCol w:w="1478"/>
        <w:gridCol w:w="537"/>
        <w:gridCol w:w="1344"/>
        <w:gridCol w:w="2284"/>
      </w:tblGrid>
      <w:tr>
        <w:trPr>
          <w:tblHeader w:val="on"/>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399" w:name="_Toc1398"/>
      <w:r>
        <w:rPr>
          <w:b/>
          <w:bCs/>
          <w:color w:val="161B22"/>
        </w:rPr>
        <w:t xml:space="preserve">The Case for a Portfolio Manager</w:t>
      </w:r>
      <w:bookmarkEnd w:id="1399"/>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pPr>
      <w:r>
        <w:rPr>
          <w:color w:val="161B22"/>
        </w:rPr>
        <w:t xml:space="preserve">15.5  </w:t>
      </w:r>
      <w:bookmarkStart w:id="1400" w:name="_Toc1399"/>
      <w:r>
        <w:rPr>
          <w:b/>
          <w:bCs/>
          <w:color w:val="161B22"/>
        </w:rPr>
        <w:t xml:space="preserve">Pillar-Level Project Managers: Six Roles, One Framework</w:t>
      </w:r>
      <w:bookmarkEnd w:id="1400"/>
    </w:p>
    <w:p>
      <w:pPr>
        <w:pStyle w:val="FirstParagraph"/>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autofit"/>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cantSplit/>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cantSplit/>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cantSplit/>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cantSplit/>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cantSplit/>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cantSplit/>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1" w:name="_Toc1400"/>
      <w:r>
        <w:rPr>
          <w:b/>
          <w:bCs/>
          <w:color w:val="161B22"/>
        </w:rPr>
        <w:t xml:space="preserve">Governance Architecture and the Ten Knowledge Areas</w:t>
      </w:r>
      <w:bookmarkEnd w:id="1401"/>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2" w:name="_Toc1401"/>
      <w:r>
        <w:rPr>
          <w:b/>
          <w:bCs/>
          <w:color w:val="161B22"/>
        </w:rPr>
        <w:t xml:space="preserve">Predictive vs. Adaptive Approaches</w:t>
      </w:r>
      <w:bookmarkEnd w:id="1402"/>
    </w:p>
    <w:p>
      <w:pPr>
        <w:pStyle w:val="FirstParagraph"/>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pPr>
      <w:r>
        <w:rPr>
          <w:color w:val="161B22"/>
        </w:rPr>
        <w:t xml:space="preserve">15.8  </w:t>
      </w:r>
      <w:bookmarkStart w:id="1403" w:name="_Toc1402"/>
      <w:r>
        <w:rPr>
          <w:b/>
          <w:bCs/>
          <w:color w:val="161B22"/>
        </w:rPr>
        <w:t xml:space="preserve">The Portfolio Risk Register</w:t>
      </w:r>
      <w:bookmarkEnd w:id="1403"/>
    </w:p>
    <w:tbl>
      <w:tblPr>
        <w:tblStyle w:val="HTRTable"/>
        <w:tblLook w:firstRow="1" w:lastRow="0" w:firstColumn="0" w:lastColumn="0" w:noHBand="0" w:noVBand="1" w:val="0020"/>
        <w:tblW w:w="9072" w:type="dxa"/>
        <w:tblLayout w:type="autofit"/>
      </w:tblPr>
      <w:tblGrid>
        <w:gridCol w:w="348"/>
        <w:gridCol w:w="2746"/>
        <w:gridCol w:w="823"/>
        <w:gridCol w:w="366"/>
        <w:gridCol w:w="366"/>
        <w:gridCol w:w="348"/>
        <w:gridCol w:w="2746"/>
        <w:gridCol w:w="1326"/>
      </w:tblGrid>
      <w:tr>
        <w:trPr>
          <w:tblHeader w:val="on"/>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pPr>
      <w:r>
        <w:rPr>
          <w:color w:val="161B22"/>
        </w:rPr>
        <w:t xml:space="preserve">15.9  </w:t>
      </w:r>
      <w:bookmarkStart w:id="1404" w:name="_Toc1403"/>
      <w:r>
        <w:rPr>
          <w:b/>
          <w:bCs/>
          <w:color w:val="161B22"/>
        </w:rPr>
        <w:t xml:space="preserve">Benefits Realization: Connecting the PMO to Act 167’s Five Goals</w:t>
      </w:r>
      <w:bookmarkEnd w:id="1404"/>
    </w:p>
    <w:p>
      <w:pPr>
        <w:pStyle w:val="FirstParagraph"/>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autofit"/>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cantSplit/>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cantSplit/>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cantSplit/>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pPr>
      <w:r>
        <w:rPr>
          <w:color w:val="161B22"/>
        </w:rPr>
        <w:t xml:space="preserve">15.10  </w:t>
      </w:r>
      <w:bookmarkStart w:id="1405" w:name="_Toc1404"/>
      <w:r>
        <w:rPr>
          <w:b/>
          <w:bCs/>
          <w:color w:val="161B22"/>
        </w:rPr>
        <w:t xml:space="preserve">The Business Case</w:t>
      </w:r>
      <w:bookmarkEnd w:id="1405"/>
    </w:p>
    <w:p>
      <w:pPr>
        <w:pStyle w:val="FirstParagraph"/>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autofit"/>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cantSplit/>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cantSplit/>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cantSplit/>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cantSplit/>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cantSplit/>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15.11  </w:t>
      </w:r>
      <w:bookmarkStart w:id="1406" w:name="_Toc1405"/>
      <w:r>
        <w:rPr>
          <w:b/>
          <w:bCs/>
          <w:color w:val="161B22"/>
        </w:rPr>
        <w:t xml:space="preserve">Implementation Roadmap</w:t>
      </w:r>
      <w:bookmarkEnd w:id="1406"/>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15.12  </w:t>
      </w:r>
      <w:bookmarkStart w:id="1407" w:name="_Toc1406"/>
      <w:r>
        <w:rPr>
          <w:b/>
          <w:bCs/>
          <w:color w:val="161B22"/>
        </w:rPr>
        <w:t xml:space="preserve">Answering the Four Objections</w:t>
      </w:r>
      <w:bookmarkEnd w:id="1407"/>
    </w:p>
    <w:p>
      <w:pPr>
        <w:numPr>
          <w:ilvl w:val="0"/>
          <w:numId w:val="1032"/>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2"/>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2"/>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2"/>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3"/>
      </w:pPr>
      <w:r>
        <w:rPr>
          <w:color w:val="161B22"/>
        </w:rPr>
        <w:t xml:space="preserve">15.12.1  </w:t>
      </w:r>
      <w:bookmarkStart w:id="1408" w:name="_Toc1407"/>
      <w:r>
        <w:rPr>
          <w:b/>
          <w:bCs/>
          <w:color w:val="161B22"/>
        </w:rPr>
        <w:t xml:space="preserve">Key Concepts</w:t>
      </w:r>
      <w:bookmarkEnd w:id="1408"/>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pBdr>
          <w:top w:val="single" w:sz="4" w:space="8" w:color="B8B8B8"/>
        </w:pBdr>
        <w:spacing w:before="160" w:after="120"/>
      </w:pPr>
      <w:r>
        <w:rPr>
          <w:rFonts w:ascii="Calibri" w:hAnsi="Calibri"/>
          <w:i/>
          <w:color w:val="00000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09" w:name="_Toc1408"/>
      <w:r>
        <w:rPr>
          <w:b/>
          <w:bCs/>
          <w:color w:val="161B22"/>
        </w:rPr>
        <w:t xml:space="preserve">Chapter 16 — The AHS Restructuring Roadmap: A Six-Pillar Framework for System Architects</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pPr>
      <w:r>
        <w:rPr>
          <w:color w:val="161B22"/>
        </w:rPr>
        <w:t xml:space="preserve">16.1  </w:t>
      </w:r>
      <w:bookmarkStart w:id="1410" w:name="_Toc1409"/>
      <w:r>
        <w:rPr>
          <w:b/>
          <w:bCs/>
          <w:color w:val="161B22"/>
        </w:rPr>
        <w:t xml:space="preserve">The Statutory Mandate — What Act 68 Actually Requires AHS to Do</w:t>
      </w:r>
      <w:bookmarkEnd w:id="1410"/>
    </w:p>
    <w:p>
      <w:pPr>
        <w:pStyle w:val="FirstParagraph"/>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cantSplit/>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cantSplit/>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cantSplit/>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cantSplit/>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cantSplit/>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11" w:name="_Toc1410"/>
      <w:r>
        <w:rPr>
          <w:b/>
          <w:bCs/>
          <w:color w:val="161B22"/>
        </w:rPr>
        <w:t xml:space="preserve">The Organizational Diagnosis — Why AHS Must Restructure, Not Just Plan</w:t>
      </w:r>
      <w:bookmarkEnd w:id="1411"/>
    </w:p>
    <w:p>
      <w:pPr>
        <w:pStyle w:val="FirstParagraph"/>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pPr>
      <w:r>
        <w:rPr>
          <w:color w:val="161B22"/>
        </w:rPr>
        <w:t xml:space="preserve">16.2.1  </w:t>
      </w:r>
      <w:bookmarkStart w:id="1412" w:name="_Toc1411"/>
      <w:r>
        <w:rPr>
          <w:b/>
          <w:bCs/>
          <w:color w:val="161B22"/>
        </w:rPr>
        <w:t xml:space="preserve">The Four Structural Gaps</w:t>
      </w:r>
      <w:bookmarkEnd w:id="1412"/>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813"/>
        <w:gridCol w:w="3670"/>
        <w:gridCol w:w="3670"/>
        <w:gridCol w:w="3670"/>
      </w:tblGrid>
      <w:tr>
        <w:trPr>
          <w:tblHeader w:val="on"/>
          <w:cantSplit/>
        </w:trPr>
        <w:tc>
          <w:tcPr>
            <w:shd w:val="clear" w:color="auto" w:fill="1B3A6B"/>
            <w:tcW w:w="1846" w:type="dxa"/>
          </w:tcPr>
          <w:p>
            <w:pPr>
              <w:pStyle w:val="Compact"/>
              <w:jc w:val="left"/>
            </w:pPr>
            <w:r>
              <w:rPr>
                <w:b/>
                <w:color w:val="FFFFFF"/>
                <w:sz w:val="16"/>
              </w:rPr>
              <w:t xml:space="preserve">Gap</w:t>
            </w:r>
          </w:p>
        </w:tc>
        <w:tc>
          <w:tcPr>
            <w:shd w:val="clear" w:color="auto" w:fill="1B3A6B"/>
            <w:tcW w:w="2408" w:type="dxa"/>
          </w:tcPr>
          <w:p>
            <w:pPr>
              <w:pStyle w:val="Compact"/>
              <w:jc w:val="left"/>
            </w:pPr>
            <w:r>
              <w:rPr>
                <w:b/>
                <w:color w:val="FFFFFF"/>
                <w:sz w:val="16"/>
              </w:rPr>
              <w:t xml:space="preserve">What it looks like in practice</w:t>
            </w:r>
          </w:p>
        </w:tc>
        <w:tc>
          <w:tcPr>
            <w:shd w:val="clear" w:color="auto" w:fill="1B3A6B"/>
            <w:tcW w:w="2408" w:type="dxa"/>
          </w:tcPr>
          <w:p>
            <w:pPr>
              <w:pStyle w:val="Compact"/>
              <w:jc w:val="left"/>
            </w:pPr>
            <w:r>
              <w:rPr>
                <w:b/>
                <w:color w:val="FFFFFF"/>
                <w:sz w:val="16"/>
              </w:rPr>
              <w:t xml:space="preserve">Consequence</w:t>
            </w:r>
          </w:p>
        </w:tc>
        <w:tc>
          <w:tcPr>
            <w:shd w:val="clear" w:color="auto" w:fill="1B3A6B"/>
            <w:tcW w:w="2408" w:type="dxa"/>
          </w:tcPr>
          <w:p>
            <w:pPr>
              <w:pStyle w:val="Compact"/>
              <w:jc w:val="left"/>
            </w:pPr>
            <w:r>
              <w:rPr>
                <w:b/>
                <w:color w:val="FFFFFF"/>
                <w:sz w:val="16"/>
              </w:rPr>
              <w:t xml:space="preserve">Required structural change</w:t>
            </w:r>
          </w:p>
        </w:tc>
      </w:tr>
      <w:tr>
        <w:trPr>
          <w:cantSplit/>
        </w:trPr>
        <w:tc>
          <w:tcPr>
            <w:tcW w:w="1846" w:type="dxa"/>
          </w:tcPr>
          <w:p>
            <w:pPr>
              <w:pStyle w:val="Compact"/>
              <w:jc w:val="left"/>
            </w:pPr>
            <w:r>
              <w:rPr>
                <w:sz w:val="16"/>
              </w:rPr>
              <w:t xml:space="preserve">Program-silo structure misaligned with HSAs</w:t>
            </w:r>
          </w:p>
        </w:tc>
        <w:tc>
          <w:tcPr>
            <w:tcW w:w="2408" w:type="dxa"/>
          </w:tcPr>
          <w:p>
            <w:pPr>
              <w:pStyle w:val="Compact"/>
              <w:jc w:val="left"/>
            </w:pPr>
            <w:r>
              <w:rPr>
                <w:sz w:val="16"/>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6"/>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6"/>
              </w:rPr>
              <w:t xml:space="preserve">Designate HSA-level coordinators who convene all relevant AHS programs around each hospital’s service area; establish HSA governance with regular inter-program coordination.</w:t>
            </w:r>
          </w:p>
        </w:tc>
      </w:tr>
      <w:tr>
        <w:trPr>
          <w:cantSplit/>
        </w:trPr>
        <w:tc>
          <w:tcPr>
            <w:tcW w:w="1846" w:type="dxa"/>
          </w:tcPr>
          <w:p>
            <w:pPr>
              <w:pStyle w:val="Compact"/>
              <w:jc w:val="left"/>
            </w:pPr>
            <w:r>
              <w:rPr>
                <w:sz w:val="16"/>
              </w:rPr>
              <w:t xml:space="preserve">Absence of a Planning &amp; Effectiveness function</w:t>
            </w:r>
          </w:p>
        </w:tc>
        <w:tc>
          <w:tcPr>
            <w:tcW w:w="2408" w:type="dxa"/>
          </w:tcPr>
          <w:p>
            <w:pPr>
              <w:pStyle w:val="Compact"/>
              <w:jc w:val="left"/>
            </w:pPr>
            <w:r>
              <w:rPr>
                <w:sz w:val="16"/>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6"/>
              </w:rPr>
              <w:t xml:space="preserve">AHS cannot answer the questions transformation planning is supposed to generate. Strategic planning becomes opinion-based, not evidence-based.</w:t>
            </w:r>
          </w:p>
        </w:tc>
        <w:tc>
          <w:tcPr>
            <w:tcW w:w="2408" w:type="dxa"/>
          </w:tcPr>
          <w:p>
            <w:pPr>
              <w:pStyle w:val="Compact"/>
              <w:jc w:val="left"/>
            </w:pPr>
            <w:r>
              <w:rPr>
                <w:sz w:val="16"/>
              </w:rPr>
              <w:t xml:space="preserve">Establish a Division of Planning, Analytics, and Effectiveness; partner with GMCB on a joint analytics platform; integrate VHCURES access for planning.</w:t>
            </w:r>
          </w:p>
        </w:tc>
      </w:tr>
      <w:tr>
        <w:trPr>
          <w:cantSplit/>
        </w:trPr>
        <w:tc>
          <w:tcPr>
            <w:tcW w:w="1846" w:type="dxa"/>
          </w:tcPr>
          <w:p>
            <w:pPr>
              <w:pStyle w:val="Compact"/>
              <w:jc w:val="left"/>
            </w:pPr>
            <w:r>
              <w:rPr>
                <w:sz w:val="16"/>
              </w:rPr>
              <w:t xml:space="preserve">Under-resourcing of transformation management</w:t>
            </w:r>
          </w:p>
        </w:tc>
        <w:tc>
          <w:tcPr>
            <w:tcW w:w="2408" w:type="dxa"/>
          </w:tcPr>
          <w:p>
            <w:pPr>
              <w:pStyle w:val="Compact"/>
              <w:jc w:val="left"/>
            </w:pPr>
            <w:r>
              <w:rPr>
                <w:sz w:val="16"/>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6"/>
              </w:rPr>
              <w:t xml:space="preserve">Activities are sequenced by capacity, not strategy. The absence of PM infrastructure is the single most likely cause of plan failure.</w:t>
            </w:r>
          </w:p>
        </w:tc>
        <w:tc>
          <w:tcPr>
            <w:tcW w:w="2408" w:type="dxa"/>
          </w:tcPr>
          <w:p>
            <w:pPr>
              <w:pStyle w:val="Compact"/>
              <w:jc w:val="left"/>
            </w:pPr>
            <w:r>
              <w:rPr>
                <w:sz w:val="16"/>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6"/>
              </w:rPr>
              <w:t xml:space="preserve">Fragmented SDOH integration</w:t>
            </w:r>
          </w:p>
        </w:tc>
        <w:tc>
          <w:tcPr>
            <w:tcW w:w="2408" w:type="dxa"/>
          </w:tcPr>
          <w:p>
            <w:pPr>
              <w:pStyle w:val="Compact"/>
              <w:jc w:val="left"/>
            </w:pPr>
            <w:r>
              <w:rPr>
                <w:sz w:val="16"/>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6"/>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6"/>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16.3  </w:t>
      </w:r>
      <w:bookmarkStart w:id="1413" w:name="_Toc1412"/>
      <w:r>
        <w:rPr>
          <w:b/>
          <w:bCs/>
          <w:color w:val="161B22"/>
        </w:rPr>
        <w:t xml:space="preserve">The Redesigned AHS Operating Model — A Population Health System Operator</w:t>
      </w:r>
      <w:bookmarkEnd w:id="1413"/>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14" w:name="_Toc1413"/>
      <w:r>
        <w:rPr>
          <w:b/>
          <w:bCs/>
          <w:color w:val="161B22"/>
        </w:rPr>
        <w:t xml:space="preserve">Level 1 — Statewide System Architect</w:t>
      </w:r>
      <w:bookmarkEnd w:id="1414"/>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3"/>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3"/>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3"/>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3"/>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pPr>
      <w:r>
        <w:rPr>
          <w:color w:val="161B22"/>
        </w:rPr>
        <w:t xml:space="preserve">16.3.2  </w:t>
      </w:r>
      <w:bookmarkStart w:id="1415" w:name="_Toc1414"/>
      <w:r>
        <w:rPr>
          <w:b/>
          <w:bCs/>
          <w:color w:val="161B22"/>
        </w:rPr>
        <w:t xml:space="preserve">Level 2 — Regional Network Convener (HSA Level)</w:t>
      </w:r>
      <w:bookmarkEnd w:id="1415"/>
    </w:p>
    <w:p>
      <w:pPr>
        <w:pStyle w:val="FirstParagraph"/>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399"/>
        <w:gridCol w:w="3324"/>
        <w:gridCol w:w="3849"/>
        <w:gridCol w:w="5250"/>
      </w:tblGrid>
      <w:tr>
        <w:trPr>
          <w:tblHeader w:val="on"/>
        </w:trPr>
        <w:tc>
          <w:tcPr>
            <w:shd w:val="clear" w:color="auto" w:fill="1B3A6B"/>
            <w:tcW w:w="918" w:type="dxa"/>
          </w:tcPr>
          <w:p>
            <w:pPr>
              <w:pStyle w:val="Compact"/>
              <w:jc w:val="left"/>
            </w:pPr>
            <w:r>
              <w:rPr>
                <w:b/>
                <w:color w:val="FFFFFF"/>
                <w:sz w:val="16"/>
              </w:rPr>
              <w:t xml:space="preserve">HSA region</w:t>
            </w:r>
          </w:p>
        </w:tc>
        <w:tc>
          <w:tcPr>
            <w:shd w:val="clear" w:color="auto" w:fill="1B3A6B"/>
            <w:tcW w:w="2181" w:type="dxa"/>
          </w:tcPr>
          <w:p>
            <w:pPr>
              <w:pStyle w:val="Compact"/>
              <w:jc w:val="left"/>
            </w:pPr>
            <w:r>
              <w:rPr>
                <w:b/>
                <w:color w:val="FFFFFF"/>
                <w:sz w:val="16"/>
              </w:rPr>
              <w:t xml:space="preserve">Key hospital(s)</w:t>
            </w:r>
          </w:p>
        </w:tc>
        <w:tc>
          <w:tcPr>
            <w:shd w:val="clear" w:color="auto" w:fill="1B3A6B"/>
            <w:tcW w:w="2526" w:type="dxa"/>
          </w:tcPr>
          <w:p>
            <w:pPr>
              <w:pStyle w:val="Compact"/>
              <w:jc w:val="left"/>
            </w:pPr>
            <w:r>
              <w:rPr>
                <w:b/>
                <w:color w:val="FFFFFF"/>
                <w:sz w:val="16"/>
              </w:rPr>
              <w:t xml:space="preserve">Profile</w:t>
            </w:r>
          </w:p>
        </w:tc>
        <w:tc>
          <w:tcPr>
            <w:shd w:val="clear" w:color="auto" w:fill="1B3A6B"/>
            <w:tcW w:w="3445" w:type="dxa"/>
          </w:tcPr>
          <w:p>
            <w:pPr>
              <w:pStyle w:val="Compact"/>
              <w:jc w:val="left"/>
            </w:pPr>
            <w:r>
              <w:rPr>
                <w:b/>
                <w:color w:val="FFFFFF"/>
                <w:sz w:val="16"/>
              </w:rPr>
              <w:t xml:space="preserve">Priority transformation challenges</w:t>
            </w:r>
          </w:p>
        </w:tc>
      </w:tr>
      <w:tr>
        <w:trPr/>
        <w:tc>
          <w:tcPr>
            <w:tcW w:w="918" w:type="dxa"/>
          </w:tcPr>
          <w:p>
            <w:pPr>
              <w:pStyle w:val="Compact"/>
              <w:jc w:val="left"/>
            </w:pPr>
            <w:r>
              <w:rPr>
                <w:sz w:val="16"/>
              </w:rPr>
              <w:t xml:space="preserve">Burlington</w:t>
            </w:r>
          </w:p>
        </w:tc>
        <w:tc>
          <w:tcPr>
            <w:tcW w:w="2181" w:type="dxa"/>
          </w:tcPr>
          <w:p>
            <w:pPr>
              <w:pStyle w:val="Compact"/>
              <w:jc w:val="left"/>
            </w:pPr>
            <w:r>
              <w:rPr>
                <w:sz w:val="16"/>
              </w:rPr>
              <w:t xml:space="preserve">UVM Medical Center</w:t>
            </w:r>
          </w:p>
        </w:tc>
        <w:tc>
          <w:tcPr>
            <w:tcW w:w="2526" w:type="dxa"/>
          </w:tcPr>
          <w:p>
            <w:pPr>
              <w:pStyle w:val="Compact"/>
              <w:jc w:val="left"/>
            </w:pPr>
            <w:r>
              <w:rPr>
                <w:sz w:val="16"/>
              </w:rPr>
              <w:t xml:space="preserve">~230K, growing, most diverse; non-rural</w:t>
            </w:r>
          </w:p>
        </w:tc>
        <w:tc>
          <w:tcPr>
            <w:tcW w:w="3445" w:type="dxa"/>
          </w:tcPr>
          <w:p>
            <w:pPr>
              <w:pStyle w:val="Compact"/>
              <w:jc w:val="left"/>
            </w:pPr>
            <w:r>
              <w:rPr>
                <w:sz w:val="16"/>
              </w:rPr>
              <w:t xml:space="preserve">Admin-overhead reduction at UVMMC; primary-care access for growing immigrant population; BH integration at scale</w:t>
            </w:r>
          </w:p>
        </w:tc>
      </w:tr>
      <w:tr>
        <w:trPr/>
        <w:tc>
          <w:tcPr>
            <w:tcW w:w="918" w:type="dxa"/>
          </w:tcPr>
          <w:p>
            <w:pPr>
              <w:pStyle w:val="Compact"/>
              <w:jc w:val="left"/>
            </w:pPr>
            <w:r>
              <w:rPr>
                <w:sz w:val="16"/>
              </w:rPr>
              <w:t xml:space="preserve">Barre/Montpelier</w:t>
            </w:r>
          </w:p>
        </w:tc>
        <w:tc>
          <w:tcPr>
            <w:tcW w:w="2181" w:type="dxa"/>
          </w:tcPr>
          <w:p>
            <w:pPr>
              <w:pStyle w:val="Compact"/>
              <w:jc w:val="left"/>
            </w:pPr>
            <w:r>
              <w:rPr>
                <w:sz w:val="16"/>
              </w:rPr>
              <w:t xml:space="preserve">Central Vermont Medical Center</w:t>
            </w:r>
          </w:p>
        </w:tc>
        <w:tc>
          <w:tcPr>
            <w:tcW w:w="2526" w:type="dxa"/>
          </w:tcPr>
          <w:p>
            <w:pPr>
              <w:pStyle w:val="Compact"/>
              <w:jc w:val="left"/>
            </w:pPr>
            <w:r>
              <w:rPr>
                <w:sz w:val="16"/>
              </w:rPr>
              <w:t xml:space="preserve">~65K, aging, state-government center</w:t>
            </w:r>
          </w:p>
        </w:tc>
        <w:tc>
          <w:tcPr>
            <w:tcW w:w="3445" w:type="dxa"/>
          </w:tcPr>
          <w:p>
            <w:pPr>
              <w:pStyle w:val="Compact"/>
              <w:jc w:val="left"/>
            </w:pPr>
            <w:r>
              <w:rPr>
                <w:sz w:val="16"/>
              </w:rPr>
              <w:t xml:space="preserve">Radiation/neurology COE development; state-employee-plan RBP transition; Washington County rural access</w:t>
            </w:r>
          </w:p>
        </w:tc>
      </w:tr>
      <w:tr>
        <w:trPr/>
        <w:tc>
          <w:tcPr>
            <w:tcW w:w="918" w:type="dxa"/>
          </w:tcPr>
          <w:p>
            <w:pPr>
              <w:pStyle w:val="Compact"/>
              <w:jc w:val="left"/>
            </w:pPr>
            <w:r>
              <w:rPr>
                <w:sz w:val="16"/>
              </w:rPr>
              <w:t xml:space="preserve">Rutland</w:t>
            </w:r>
          </w:p>
        </w:tc>
        <w:tc>
          <w:tcPr>
            <w:tcW w:w="2181" w:type="dxa"/>
          </w:tcPr>
          <w:p>
            <w:pPr>
              <w:pStyle w:val="Compact"/>
              <w:jc w:val="left"/>
            </w:pPr>
            <w:r>
              <w:rPr>
                <w:sz w:val="16"/>
              </w:rPr>
              <w:t xml:space="preserve">Rutland Regional Medical Center</w:t>
            </w:r>
          </w:p>
        </w:tc>
        <w:tc>
          <w:tcPr>
            <w:tcW w:w="2526" w:type="dxa"/>
          </w:tcPr>
          <w:p>
            <w:pPr>
              <w:pStyle w:val="Compact"/>
              <w:jc w:val="left"/>
            </w:pPr>
            <w:r>
              <w:rPr>
                <w:sz w:val="16"/>
              </w:rPr>
              <w:t xml:space="preserve">~62K, aging, lower income</w:t>
            </w:r>
          </w:p>
        </w:tc>
        <w:tc>
          <w:tcPr>
            <w:tcW w:w="3445" w:type="dxa"/>
          </w:tcPr>
          <w:p>
            <w:pPr>
              <w:pStyle w:val="Compact"/>
              <w:jc w:val="left"/>
            </w:pPr>
            <w:r>
              <w:rPr>
                <w:sz w:val="16"/>
              </w:rPr>
              <w:t xml:space="preserve">COE development (surgery, neurology, psych); high opioid overdose; workforce-housing shortage</w:t>
            </w:r>
          </w:p>
        </w:tc>
      </w:tr>
      <w:tr>
        <w:trPr/>
        <w:tc>
          <w:tcPr>
            <w:tcW w:w="918" w:type="dxa"/>
          </w:tcPr>
          <w:p>
            <w:pPr>
              <w:pStyle w:val="Compact"/>
              <w:jc w:val="left"/>
            </w:pPr>
            <w:r>
              <w:rPr>
                <w:sz w:val="16"/>
              </w:rPr>
              <w:t xml:space="preserve">White River Jct.</w:t>
            </w:r>
          </w:p>
        </w:tc>
        <w:tc>
          <w:tcPr>
            <w:tcW w:w="2181" w:type="dxa"/>
          </w:tcPr>
          <w:p>
            <w:pPr>
              <w:pStyle w:val="Compact"/>
              <w:jc w:val="left"/>
            </w:pPr>
            <w:r>
              <w:rPr>
                <w:sz w:val="16"/>
              </w:rPr>
              <w:t xml:space="preserve">Mt. Ascutney Hospital</w:t>
            </w:r>
          </w:p>
        </w:tc>
        <w:tc>
          <w:tcPr>
            <w:tcW w:w="2526" w:type="dxa"/>
          </w:tcPr>
          <w:p>
            <w:pPr>
              <w:pStyle w:val="Compact"/>
              <w:jc w:val="left"/>
            </w:pPr>
            <w:r>
              <w:rPr>
                <w:sz w:val="16"/>
              </w:rPr>
              <w:t xml:space="preserve">~59K, aging, Dartmouth Health connection</w:t>
            </w:r>
          </w:p>
        </w:tc>
        <w:tc>
          <w:tcPr>
            <w:tcW w:w="3445" w:type="dxa"/>
          </w:tcPr>
          <w:p>
            <w:pPr>
              <w:pStyle w:val="Compact"/>
              <w:jc w:val="left"/>
            </w:pPr>
            <w:r>
              <w:rPr>
                <w:sz w:val="16"/>
              </w:rPr>
              <w:t xml:space="preserve">REH or focused-scope transition; cross-border coordination; rehabilitation COE</w:t>
            </w:r>
          </w:p>
        </w:tc>
      </w:tr>
      <w:tr>
        <w:trPr/>
        <w:tc>
          <w:tcPr>
            <w:tcW w:w="918" w:type="dxa"/>
          </w:tcPr>
          <w:p>
            <w:pPr>
              <w:pStyle w:val="Compact"/>
              <w:jc w:val="left"/>
            </w:pPr>
            <w:r>
              <w:rPr>
                <w:sz w:val="16"/>
              </w:rPr>
              <w:t xml:space="preserve">St. Albans</w:t>
            </w:r>
          </w:p>
        </w:tc>
        <w:tc>
          <w:tcPr>
            <w:tcW w:w="2181" w:type="dxa"/>
          </w:tcPr>
          <w:p>
            <w:pPr>
              <w:pStyle w:val="Compact"/>
              <w:jc w:val="left"/>
            </w:pPr>
            <w:r>
              <w:rPr>
                <w:sz w:val="16"/>
              </w:rPr>
              <w:t xml:space="preserve">Northwestern Medical Center</w:t>
            </w:r>
          </w:p>
        </w:tc>
        <w:tc>
          <w:tcPr>
            <w:tcW w:w="2526" w:type="dxa"/>
          </w:tcPr>
          <w:p>
            <w:pPr>
              <w:pStyle w:val="Compact"/>
              <w:jc w:val="left"/>
            </w:pPr>
            <w:r>
              <w:rPr>
                <w:sz w:val="16"/>
              </w:rPr>
              <w:t xml:space="preserve">~53K, rural, Franklin/Grand Isle</w:t>
            </w:r>
          </w:p>
        </w:tc>
        <w:tc>
          <w:tcPr>
            <w:tcW w:w="3445" w:type="dxa"/>
          </w:tcPr>
          <w:p>
            <w:pPr>
              <w:pStyle w:val="Compact"/>
              <w:jc w:val="left"/>
            </w:pPr>
            <w:r>
              <w:rPr>
                <w:sz w:val="16"/>
              </w:rPr>
              <w:t xml:space="preserve">Cancer-surgery and radiation COEs; workforce recruitment; northern-border needs</w:t>
            </w:r>
          </w:p>
        </w:tc>
      </w:tr>
      <w:tr>
        <w:trPr/>
        <w:tc>
          <w:tcPr>
            <w:tcW w:w="918" w:type="dxa"/>
          </w:tcPr>
          <w:p>
            <w:pPr>
              <w:pStyle w:val="Compact"/>
              <w:jc w:val="left"/>
            </w:pPr>
            <w:r>
              <w:rPr>
                <w:sz w:val="16"/>
              </w:rPr>
              <w:t xml:space="preserve">Bennington</w:t>
            </w:r>
          </w:p>
        </w:tc>
        <w:tc>
          <w:tcPr>
            <w:tcW w:w="2181" w:type="dxa"/>
          </w:tcPr>
          <w:p>
            <w:pPr>
              <w:pStyle w:val="Compact"/>
              <w:jc w:val="left"/>
            </w:pPr>
            <w:r>
              <w:rPr>
                <w:sz w:val="16"/>
              </w:rPr>
              <w:t xml:space="preserve">Southwestern Vermont Medical Center</w:t>
            </w:r>
          </w:p>
        </w:tc>
        <w:tc>
          <w:tcPr>
            <w:tcW w:w="2526" w:type="dxa"/>
          </w:tcPr>
          <w:p>
            <w:pPr>
              <w:pStyle w:val="Compact"/>
              <w:jc w:val="left"/>
            </w:pPr>
            <w:r>
              <w:rPr>
                <w:sz w:val="16"/>
              </w:rPr>
              <w:t xml:space="preserve">~48K, aging, most rural</w:t>
            </w:r>
          </w:p>
        </w:tc>
        <w:tc>
          <w:tcPr>
            <w:tcW w:w="3445" w:type="dxa"/>
          </w:tcPr>
          <w:p>
            <w:pPr>
              <w:pStyle w:val="Compact"/>
              <w:jc w:val="left"/>
            </w:pPr>
            <w:r>
              <w:rPr>
                <w:sz w:val="16"/>
              </w:rPr>
              <w:t xml:space="preserve">9 COEs — secondary RSC role; critical psych services; Berkshire/Taconic coordination</w:t>
            </w:r>
          </w:p>
        </w:tc>
      </w:tr>
      <w:tr>
        <w:trPr/>
        <w:tc>
          <w:tcPr>
            <w:tcW w:w="918" w:type="dxa"/>
          </w:tcPr>
          <w:p>
            <w:pPr>
              <w:pStyle w:val="Compact"/>
              <w:jc w:val="left"/>
            </w:pPr>
            <w:r>
              <w:rPr>
                <w:sz w:val="16"/>
              </w:rPr>
              <w:t xml:space="preserve">Middlebury</w:t>
            </w:r>
          </w:p>
        </w:tc>
        <w:tc>
          <w:tcPr>
            <w:tcW w:w="2181" w:type="dxa"/>
          </w:tcPr>
          <w:p>
            <w:pPr>
              <w:pStyle w:val="Compact"/>
              <w:jc w:val="left"/>
            </w:pPr>
            <w:r>
              <w:rPr>
                <w:sz w:val="16"/>
              </w:rPr>
              <w:t xml:space="preserve">Porter Medical Center</w:t>
            </w:r>
          </w:p>
        </w:tc>
        <w:tc>
          <w:tcPr>
            <w:tcW w:w="2526" w:type="dxa"/>
          </w:tcPr>
          <w:p>
            <w:pPr>
              <w:pStyle w:val="Compact"/>
              <w:jc w:val="left"/>
            </w:pPr>
            <w:r>
              <w:rPr>
                <w:sz w:val="16"/>
              </w:rPr>
              <w:t xml:space="preserve">~46K, aging, Addison County</w:t>
            </w:r>
          </w:p>
        </w:tc>
        <w:tc>
          <w:tcPr>
            <w:tcW w:w="3445" w:type="dxa"/>
          </w:tcPr>
          <w:p>
            <w:pPr>
              <w:pStyle w:val="Compact"/>
              <w:jc w:val="left"/>
            </w:pPr>
            <w:r>
              <w:rPr>
                <w:sz w:val="16"/>
              </w:rPr>
              <w:t xml:space="preserve">TBD tier; UVM-network affiliation; shared-service opportunities with UVMMC</w:t>
            </w:r>
          </w:p>
        </w:tc>
      </w:tr>
      <w:tr>
        <w:trPr/>
        <w:tc>
          <w:tcPr>
            <w:tcW w:w="918" w:type="dxa"/>
          </w:tcPr>
          <w:p>
            <w:pPr>
              <w:pStyle w:val="Compact"/>
              <w:jc w:val="left"/>
            </w:pPr>
            <w:r>
              <w:rPr>
                <w:sz w:val="16"/>
              </w:rPr>
              <w:t xml:space="preserve">Brattleboro</w:t>
            </w:r>
          </w:p>
        </w:tc>
        <w:tc>
          <w:tcPr>
            <w:tcW w:w="2181" w:type="dxa"/>
          </w:tcPr>
          <w:p>
            <w:pPr>
              <w:pStyle w:val="Compact"/>
              <w:jc w:val="left"/>
            </w:pPr>
            <w:r>
              <w:rPr>
                <w:sz w:val="16"/>
              </w:rPr>
              <w:t xml:space="preserve">Brattleboro Memorial Hospital</w:t>
            </w:r>
          </w:p>
        </w:tc>
        <w:tc>
          <w:tcPr>
            <w:tcW w:w="2526" w:type="dxa"/>
          </w:tcPr>
          <w:p>
            <w:pPr>
              <w:pStyle w:val="Compact"/>
              <w:jc w:val="left"/>
            </w:pPr>
            <w:r>
              <w:rPr>
                <w:sz w:val="16"/>
              </w:rPr>
              <w:t xml:space="preserve">~42K, aging, high SUD/MH burden</w:t>
            </w:r>
          </w:p>
        </w:tc>
        <w:tc>
          <w:tcPr>
            <w:tcW w:w="3445" w:type="dxa"/>
          </w:tcPr>
          <w:p>
            <w:pPr>
              <w:pStyle w:val="Compact"/>
              <w:jc w:val="left"/>
            </w:pPr>
            <w:r>
              <w:rPr>
                <w:sz w:val="16"/>
              </w:rPr>
              <w:t xml:space="preserve">Acute general-surgery COE; high suicide/self-harm rates; Brattleboro Retreat coordination</w:t>
            </w:r>
          </w:p>
        </w:tc>
      </w:tr>
      <w:tr>
        <w:trPr/>
        <w:tc>
          <w:tcPr>
            <w:tcW w:w="918" w:type="dxa"/>
          </w:tcPr>
          <w:p>
            <w:pPr>
              <w:pStyle w:val="Compact"/>
              <w:jc w:val="left"/>
            </w:pPr>
            <w:r>
              <w:rPr>
                <w:sz w:val="16"/>
              </w:rPr>
              <w:t xml:space="preserve">Newport</w:t>
            </w:r>
          </w:p>
        </w:tc>
        <w:tc>
          <w:tcPr>
            <w:tcW w:w="2181" w:type="dxa"/>
          </w:tcPr>
          <w:p>
            <w:pPr>
              <w:pStyle w:val="Compact"/>
              <w:jc w:val="left"/>
            </w:pPr>
            <w:r>
              <w:rPr>
                <w:sz w:val="16"/>
              </w:rPr>
              <w:t xml:space="preserve">North Country Hospital</w:t>
            </w:r>
          </w:p>
        </w:tc>
        <w:tc>
          <w:tcPr>
            <w:tcW w:w="2526" w:type="dxa"/>
          </w:tcPr>
          <w:p>
            <w:pPr>
              <w:pStyle w:val="Compact"/>
              <w:jc w:val="left"/>
            </w:pPr>
            <w:r>
              <w:rPr>
                <w:sz w:val="16"/>
              </w:rPr>
              <w:t xml:space="preserve">~41K, very rural, NEK</w:t>
            </w:r>
          </w:p>
        </w:tc>
        <w:tc>
          <w:tcPr>
            <w:tcW w:w="3445" w:type="dxa"/>
          </w:tcPr>
          <w:p>
            <w:pPr>
              <w:pStyle w:val="Compact"/>
              <w:jc w:val="left"/>
            </w:pPr>
            <w:r>
              <w:rPr>
                <w:sz w:val="16"/>
              </w:rPr>
              <w:t xml:space="preserve">Among most financially vulnerable; REH candidacy; high Essex/Orleans uninsurance</w:t>
            </w:r>
          </w:p>
        </w:tc>
      </w:tr>
      <w:tr>
        <w:trPr/>
        <w:tc>
          <w:tcPr>
            <w:tcW w:w="918" w:type="dxa"/>
          </w:tcPr>
          <w:p>
            <w:pPr>
              <w:pStyle w:val="Compact"/>
              <w:jc w:val="left"/>
            </w:pPr>
            <w:r>
              <w:rPr>
                <w:sz w:val="16"/>
              </w:rPr>
              <w:t xml:space="preserve">St. Johnsbury</w:t>
            </w:r>
          </w:p>
        </w:tc>
        <w:tc>
          <w:tcPr>
            <w:tcW w:w="2181" w:type="dxa"/>
          </w:tcPr>
          <w:p>
            <w:pPr>
              <w:pStyle w:val="Compact"/>
              <w:jc w:val="left"/>
            </w:pPr>
            <w:r>
              <w:rPr>
                <w:sz w:val="16"/>
              </w:rPr>
              <w:t xml:space="preserve">Northeastern Vermont Regional Hospital</w:t>
            </w:r>
          </w:p>
        </w:tc>
        <w:tc>
          <w:tcPr>
            <w:tcW w:w="2526" w:type="dxa"/>
          </w:tcPr>
          <w:p>
            <w:pPr>
              <w:pStyle w:val="Compact"/>
              <w:jc w:val="left"/>
            </w:pPr>
            <w:r>
              <w:rPr>
                <w:sz w:val="16"/>
              </w:rPr>
              <w:t xml:space="preserve">~39K, very rural, NEK</w:t>
            </w:r>
          </w:p>
        </w:tc>
        <w:tc>
          <w:tcPr>
            <w:tcW w:w="3445" w:type="dxa"/>
          </w:tcPr>
          <w:p>
            <w:pPr>
              <w:pStyle w:val="Compact"/>
              <w:jc w:val="left"/>
            </w:pPr>
            <w:r>
              <w:rPr>
                <w:sz w:val="16"/>
              </w:rPr>
              <w:t xml:space="preserve">Cancer-surgery and infusion COEs; highest poverty (Caledonia/Essex); broadband/telehealth priority</w:t>
            </w:r>
          </w:p>
        </w:tc>
      </w:tr>
      <w:tr>
        <w:trPr/>
        <w:tc>
          <w:tcPr>
            <w:tcW w:w="918" w:type="dxa"/>
          </w:tcPr>
          <w:p>
            <w:pPr>
              <w:pStyle w:val="Compact"/>
              <w:jc w:val="left"/>
            </w:pPr>
            <w:r>
              <w:rPr>
                <w:sz w:val="16"/>
              </w:rPr>
              <w:t xml:space="preserve">Springfield</w:t>
            </w:r>
          </w:p>
        </w:tc>
        <w:tc>
          <w:tcPr>
            <w:tcW w:w="2181" w:type="dxa"/>
          </w:tcPr>
          <w:p>
            <w:pPr>
              <w:pStyle w:val="Compact"/>
              <w:jc w:val="left"/>
            </w:pPr>
            <w:r>
              <w:rPr>
                <w:sz w:val="16"/>
              </w:rPr>
              <w:t xml:space="preserve">Springfield Hospital</w:t>
            </w:r>
          </w:p>
        </w:tc>
        <w:tc>
          <w:tcPr>
            <w:tcW w:w="2526" w:type="dxa"/>
          </w:tcPr>
          <w:p>
            <w:pPr>
              <w:pStyle w:val="Compact"/>
              <w:jc w:val="left"/>
            </w:pPr>
            <w:r>
              <w:rPr>
                <w:sz w:val="16"/>
              </w:rPr>
              <w:t xml:space="preserve">~31K, rural, Windsor/Windham border</w:t>
            </w:r>
          </w:p>
        </w:tc>
        <w:tc>
          <w:tcPr>
            <w:tcW w:w="3445" w:type="dxa"/>
          </w:tcPr>
          <w:p>
            <w:pPr>
              <w:pStyle w:val="Compact"/>
              <w:jc w:val="left"/>
            </w:pPr>
            <w:r>
              <w:rPr>
                <w:sz w:val="16"/>
              </w:rPr>
              <w:t xml:space="preserve">Memory-care and adult-psych COEs; SUD corridor; most complex plan given financial position</w:t>
            </w:r>
          </w:p>
        </w:tc>
      </w:tr>
      <w:tr>
        <w:trPr/>
        <w:tc>
          <w:tcPr>
            <w:tcW w:w="918" w:type="dxa"/>
          </w:tcPr>
          <w:p>
            <w:pPr>
              <w:pStyle w:val="Compact"/>
              <w:jc w:val="left"/>
            </w:pPr>
            <w:r>
              <w:rPr>
                <w:sz w:val="16"/>
              </w:rPr>
              <w:t xml:space="preserve">Morrisville</w:t>
            </w:r>
          </w:p>
        </w:tc>
        <w:tc>
          <w:tcPr>
            <w:tcW w:w="2181" w:type="dxa"/>
          </w:tcPr>
          <w:p>
            <w:pPr>
              <w:pStyle w:val="Compact"/>
              <w:jc w:val="left"/>
            </w:pPr>
            <w:r>
              <w:rPr>
                <w:sz w:val="16"/>
              </w:rPr>
              <w:t xml:space="preserve">Copley Hospital</w:t>
            </w:r>
          </w:p>
        </w:tc>
        <w:tc>
          <w:tcPr>
            <w:tcW w:w="2526" w:type="dxa"/>
          </w:tcPr>
          <w:p>
            <w:pPr>
              <w:pStyle w:val="Compact"/>
              <w:jc w:val="left"/>
            </w:pPr>
            <w:r>
              <w:rPr>
                <w:sz w:val="16"/>
              </w:rPr>
              <w:t xml:space="preserve">~31K, rural, Lamoille/Orleans</w:t>
            </w:r>
          </w:p>
        </w:tc>
        <w:tc>
          <w:tcPr>
            <w:tcW w:w="3445" w:type="dxa"/>
          </w:tcPr>
          <w:p>
            <w:pPr>
              <w:pStyle w:val="Compact"/>
              <w:jc w:val="left"/>
            </w:pPr>
            <w:r>
              <w:rPr>
                <w:sz w:val="16"/>
              </w:rPr>
              <w:t xml:space="preserve">Orthopedics/rheumatology COEs; Stowe seasonal population; critical workforce housing</w:t>
            </w:r>
          </w:p>
        </w:tc>
      </w:tr>
      <w:tr>
        <w:trPr/>
        <w:tc>
          <w:tcPr>
            <w:tcW w:w="918" w:type="dxa"/>
          </w:tcPr>
          <w:p>
            <w:pPr>
              <w:pStyle w:val="Compact"/>
              <w:jc w:val="left"/>
            </w:pPr>
            <w:r>
              <w:rPr>
                <w:sz w:val="16"/>
              </w:rPr>
              <w:t xml:space="preserve">Randolph</w:t>
            </w:r>
          </w:p>
        </w:tc>
        <w:tc>
          <w:tcPr>
            <w:tcW w:w="2181" w:type="dxa"/>
          </w:tcPr>
          <w:p>
            <w:pPr>
              <w:pStyle w:val="Compact"/>
              <w:jc w:val="left"/>
            </w:pPr>
            <w:r>
              <w:rPr>
                <w:sz w:val="16"/>
              </w:rPr>
              <w:t xml:space="preserve">Gifford Medical Center</w:t>
            </w:r>
          </w:p>
        </w:tc>
        <w:tc>
          <w:tcPr>
            <w:tcW w:w="2526" w:type="dxa"/>
          </w:tcPr>
          <w:p>
            <w:pPr>
              <w:pStyle w:val="Compact"/>
              <w:jc w:val="left"/>
            </w:pPr>
            <w:r>
              <w:rPr>
                <w:sz w:val="16"/>
              </w:rPr>
              <w:t xml:space="preserve">~28K, very rural, Orange County</w:t>
            </w:r>
          </w:p>
        </w:tc>
        <w:tc>
          <w:tcPr>
            <w:tcW w:w="3445" w:type="dxa"/>
          </w:tcPr>
          <w:p>
            <w:pPr>
              <w:pStyle w:val="Compact"/>
              <w:jc w:val="left"/>
            </w:pPr>
            <w:r>
              <w:rPr>
                <w:sz w:val="16"/>
              </w:rPr>
              <w:t xml:space="preserve">TBD tier — among most vulnerable; comprehensive assessment needed; AHEAD CAH protections</w:t>
            </w:r>
          </w:p>
        </w:tc>
      </w:tr>
      <w:tr>
        <w:trPr/>
        <w:tc>
          <w:tcPr>
            <w:tcW w:w="918" w:type="dxa"/>
          </w:tcPr>
          <w:p>
            <w:pPr>
              <w:pStyle w:val="Compact"/>
              <w:jc w:val="left"/>
            </w:pPr>
            <w:r>
              <w:rPr>
                <w:sz w:val="16"/>
              </w:rPr>
              <w:t xml:space="preserve">Townshend</w:t>
            </w:r>
          </w:p>
        </w:tc>
        <w:tc>
          <w:tcPr>
            <w:tcW w:w="2181" w:type="dxa"/>
          </w:tcPr>
          <w:p>
            <w:pPr>
              <w:pStyle w:val="Compact"/>
              <w:jc w:val="left"/>
            </w:pPr>
            <w:r>
              <w:rPr>
                <w:sz w:val="16"/>
              </w:rPr>
              <w:t xml:space="preserve">Grace Cottage Hospital</w:t>
            </w:r>
          </w:p>
        </w:tc>
        <w:tc>
          <w:tcPr>
            <w:tcW w:w="2526" w:type="dxa"/>
          </w:tcPr>
          <w:p>
            <w:pPr>
              <w:pStyle w:val="Compact"/>
              <w:jc w:val="left"/>
            </w:pPr>
            <w:r>
              <w:rPr>
                <w:sz w:val="16"/>
              </w:rPr>
              <w:t xml:space="preserve">~14K, very rural; 19-bed, Vermont’s smallest</w:t>
            </w:r>
          </w:p>
        </w:tc>
        <w:tc>
          <w:tcPr>
            <w:tcW w:w="3445" w:type="dxa"/>
          </w:tcPr>
          <w:p>
            <w:pPr>
              <w:pStyle w:val="Compact"/>
              <w:jc w:val="left"/>
            </w:pPr>
            <w:r>
              <w:rPr>
                <w:sz w:val="16"/>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16.3.3  </w:t>
      </w:r>
      <w:bookmarkStart w:id="1416" w:name="_Toc1415"/>
      <w:r>
        <w:rPr>
          <w:b/>
          <w:bCs/>
          <w:color w:val="161B22"/>
        </w:rPr>
        <w:t xml:space="preserve">Level 3 — Program Delivery Operator</w:t>
      </w:r>
      <w:bookmarkEnd w:id="1416"/>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17" w:name="_Toc1416"/>
      <w:r>
        <w:rPr>
          <w:b/>
          <w:bCs/>
          <w:color w:val="161B22"/>
        </w:rPr>
        <w:t xml:space="preserve">The Six-Pillar Framework Applied to AHS’s Mandate</w:t>
      </w:r>
      <w:bookmarkEnd w:id="1417"/>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pPr>
      <w:r>
        <w:rPr>
          <w:color w:val="161B22"/>
        </w:rPr>
        <w:t xml:space="preserve">16.5  </w:t>
      </w:r>
      <w:bookmarkStart w:id="1418" w:name="_Toc1417"/>
      <w:r>
        <w:rPr>
          <w:b/>
          <w:bCs/>
          <w:color w:val="161B22"/>
        </w:rPr>
        <w:t xml:space="preserve">The AHS Restructuring Implementation Timeline</w:t>
      </w:r>
      <w:bookmarkEnd w:id="1418"/>
    </w:p>
    <w:tbl>
      <w:tblPr>
        <w:tblStyle w:val="HTRTable"/>
        <w:tblLook w:firstRow="1" w:lastRow="0" w:firstColumn="0" w:lastColumn="0" w:noHBand="0" w:noVBand="1" w:val="0020"/>
        <w:tblW w:w="9072" w:type="dxa"/>
        <w:tblLayout w:type="autofit"/>
      </w:tblPr>
      <w:tblGrid>
        <w:gridCol w:w="918"/>
        <w:gridCol w:w="3240"/>
        <w:gridCol w:w="1890"/>
        <w:gridCol w:w="3024"/>
      </w:tblGrid>
      <w:tr>
        <w:trPr>
          <w:tblHeader w:val="on"/>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19" w:name="_Toc1418"/>
      <w:r>
        <w:rPr>
          <w:b/>
          <w:bCs/>
          <w:color w:val="161B22"/>
        </w:rPr>
        <w:t xml:space="preserve">A Framework for the 2028 Statewide Strategic Plan</w:t>
      </w:r>
      <w:bookmarkEnd w:id="1419"/>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4"/>
        </w:numPr>
        <w:keepLines w:val="true"/>
        <w:keepNext w:val="true"/>
      </w:pPr>
    </w:p>
    <w:p>
      <w:pPr>
        <w:pStyle w:val="Compact"/>
        <w:numPr>
          <w:ilvl w:val="1"/>
          <w:numId w:val="1035"/>
        </w:numPr>
        <w:keepLines w:val="true"/>
        <w:keepNext w:val="true"/>
      </w:pPr>
      <w:r>
        <w:t xml:space="preserve">Executive Summary (5–8 pp) — the crisis in 2028; what changed since 2022; the five goals and progress; the plan’s central 2028–2031 commitments.</w:t>
      </w:r>
    </w:p>
    <w:p>
      <w:pPr>
        <w:pStyle w:val="Compact"/>
        <w:numPr>
          <w:ilvl w:val="0"/>
          <w:numId w:val="1034"/>
        </w:numPr>
        <w:keepLines w:val="true"/>
      </w:pPr>
    </w:p>
    <w:p>
      <w:pPr>
        <w:pStyle w:val="Compact"/>
        <w:numPr>
          <w:ilvl w:val="1"/>
          <w:numId w:val="1036"/>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4"/>
        </w:numPr>
        <w:keepLines w:val="true"/>
      </w:pPr>
    </w:p>
    <w:p>
      <w:pPr>
        <w:pStyle w:val="Compact"/>
        <w:numPr>
          <w:ilvl w:val="1"/>
          <w:numId w:val="1037"/>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4"/>
        </w:numPr>
        <w:keepLines w:val="true"/>
      </w:pPr>
    </w:p>
    <w:p>
      <w:pPr>
        <w:pStyle w:val="Compact"/>
        <w:numPr>
          <w:ilvl w:val="1"/>
          <w:numId w:val="1038"/>
        </w:numPr>
        <w:keepLines w:val="true"/>
      </w:pPr>
      <w:r>
        <w:t xml:space="preserve">Primary Care and Behavioral Health — Clinical (15–20 pp) — Blueprint enrollment/performance; CCBHC coverage; CoCM status; BH access indicators and 2028–2031 targets.</w:t>
      </w:r>
    </w:p>
    <w:p>
      <w:pPr>
        <w:pStyle w:val="Compact"/>
        <w:numPr>
          <w:ilvl w:val="0"/>
          <w:numId w:val="1034"/>
        </w:numPr>
        <w:keepLines w:val="true"/>
      </w:pPr>
    </w:p>
    <w:p>
      <w:pPr>
        <w:pStyle w:val="Compact"/>
        <w:numPr>
          <w:ilvl w:val="1"/>
          <w:numId w:val="1039"/>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4"/>
        </w:numPr>
        <w:keepLines w:val="true"/>
      </w:pPr>
    </w:p>
    <w:p>
      <w:pPr>
        <w:pStyle w:val="Compact"/>
        <w:numPr>
          <w:ilvl w:val="1"/>
          <w:numId w:val="1040"/>
        </w:numPr>
        <w:keepLines w:val="true"/>
      </w:pPr>
      <w:r>
        <w:t xml:space="preserve">Data and Technology Infrastructure — Technology (10–15 pp) — VHCURES enhancement; HIE connectivity; statewide-EHR decision; analytics capabilities; interoperability.</w:t>
      </w:r>
    </w:p>
    <w:p>
      <w:pPr>
        <w:pStyle w:val="Compact"/>
        <w:numPr>
          <w:ilvl w:val="0"/>
          <w:numId w:val="1034"/>
        </w:numPr>
        <w:keepLines w:val="true"/>
      </w:pPr>
    </w:p>
    <w:p>
      <w:pPr>
        <w:pStyle w:val="Compact"/>
        <w:numPr>
          <w:ilvl w:val="1"/>
          <w:numId w:val="1041"/>
        </w:numPr>
        <w:keepLines w:val="true"/>
      </w:pPr>
      <w:r>
        <w:t xml:space="preserve">Health Equity Strategy — Equity (15–20 pp) — geographic-equity indicators by HSA; disparity measures; SDOH coordination; culturally competent care; 2028–2031 targets.</w:t>
      </w:r>
    </w:p>
    <w:p>
      <w:pPr>
        <w:pStyle w:val="Compact"/>
        <w:numPr>
          <w:ilvl w:val="0"/>
          <w:numId w:val="1034"/>
        </w:numPr>
        <w:keepLines w:val="true"/>
      </w:pPr>
    </w:p>
    <w:p>
      <w:pPr>
        <w:pStyle w:val="Compact"/>
        <w:numPr>
          <w:ilvl w:val="1"/>
          <w:numId w:val="1042"/>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4"/>
        </w:numPr>
        <w:keepLines w:val="true"/>
      </w:pPr>
    </w:p>
    <w:p>
      <w:pPr>
        <w:pStyle w:val="Compact"/>
        <w:numPr>
          <w:ilvl w:val="1"/>
          <w:numId w:val="1043"/>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4"/>
        </w:numPr>
        <w:keepLines w:val="true"/>
      </w:pPr>
    </w:p>
    <w:p>
      <w:pPr>
        <w:pStyle w:val="Compact"/>
        <w:numPr>
          <w:ilvl w:val="1"/>
          <w:numId w:val="1044"/>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4"/>
        </w:numPr>
        <w:keepLines w:val="true"/>
      </w:pPr>
    </w:p>
    <w:p>
      <w:pPr>
        <w:pStyle w:val="Compact"/>
        <w:numPr>
          <w:ilvl w:val="1"/>
          <w:numId w:val="1045"/>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pPr>
      <w:r>
        <w:rPr>
          <w:color w:val="161B22"/>
        </w:rPr>
        <w:t xml:space="preserve">16.6.1  </w:t>
      </w:r>
      <w:bookmarkStart w:id="1420" w:name="_Toc1419"/>
      <w:r>
        <w:rPr>
          <w:b/>
          <w:bCs/>
          <w:color w:val="161B22"/>
        </w:rPr>
        <w:t xml:space="preserve">The Central Commitment the Plan Must Make</w:t>
      </w:r>
      <w:bookmarkEnd w:id="1420"/>
    </w:p>
    <w:p>
      <w:pPr>
        <w:pStyle w:val="FirstParagraph"/>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autofit"/>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cantSplit/>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cantSplit/>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21" w:name="_Toc1420"/>
      <w:r>
        <w:rPr>
          <w:b/>
          <w:bCs/>
          <w:color w:val="161B22"/>
        </w:rPr>
        <w:t xml:space="preserve">Vermont as National Template — Why This Restructuring Matters Beyond Vermont</w:t>
      </w:r>
      <w:bookmarkEnd w:id="1421"/>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3"/>
      </w:pPr>
      <w:r>
        <w:rPr>
          <w:color w:val="161B22"/>
        </w:rPr>
        <w:t xml:space="preserve">16.7.1  </w:t>
      </w:r>
      <w:bookmarkStart w:id="1422" w:name="_Toc1421"/>
      <w:r>
        <w:rPr>
          <w:b/>
          <w:bCs/>
          <w:color w:val="161B22"/>
        </w:rPr>
        <w:t xml:space="preserve">Key Concepts</w:t>
      </w:r>
      <w:bookmarkEnd w:id="1422"/>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23" w:name="_Toc1422"/>
      <w:r>
        <w:rPr>
          <w:b/>
          <w:bCs/>
          <w:color w:val="161B22"/>
        </w:rPr>
        <w:t xml:space="preserve">Conclusion — What Vermont Proves, and What Remains to Be Proven</w:t>
      </w:r>
      <w:bookmarkEnd w:id="1423"/>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24" w:name="_Toc1423"/>
      <w:r>
        <w:rPr>
          <w:b/>
          <w:bCs/>
          <w:color w:val="161B22"/>
        </w:rPr>
        <w:t xml:space="preserve">What Failure Actually Looks Like</w:t>
      </w:r>
      <w:bookmarkEnd w:id="1424"/>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25" w:name="_Toc1424"/>
      <w:r>
        <w:rPr>
          <w:b/>
          <w:bCs/>
          <w:color w:val="161B22"/>
        </w:rPr>
        <w:t xml:space="preserve">The Three Decisions That Are Not Yet Made</w:t>
      </w:r>
      <w:bookmarkEnd w:id="1425"/>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26" w:name="_Toc1425"/>
      <w:r>
        <w:rPr>
          <w:b/>
          <w:bCs/>
          <w:color w:val="161B22"/>
        </w:rPr>
        <w:t xml:space="preserve">Decision 1: Will the Statewide Strategic Plan Be Binding or Descriptive?</w:t>
      </w:r>
      <w:bookmarkEnd w:id="1426"/>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27" w:name="_Toc1426"/>
      <w:r>
        <w:rPr>
          <w:b/>
          <w:bCs/>
          <w:color w:val="161B22"/>
        </w:rPr>
        <w:t xml:space="preserve">Decision 2: Will the Analytics Vendor Be Operational Before AHEAD’s Financial Accountability Begins?</w:t>
      </w:r>
      <w:bookmarkEnd w:id="1427"/>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28" w:name="_Toc1427"/>
      <w:r>
        <w:rPr>
          <w:b/>
          <w:bCs/>
          <w:color w:val="161B22"/>
        </w:rPr>
        <w:t xml:space="preserve">Decision 3: Will H.R. 1’s Medicaid Cuts Force a Contraction or Accelerate a Transformation?</w:t>
      </w:r>
      <w:bookmarkEnd w:id="1428"/>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29" w:name="_Toc1428"/>
      <w:r>
        <w:rPr>
          <w:b/>
          <w:bCs/>
          <w:color w:val="161B22"/>
        </w:rPr>
        <w:t xml:space="preserve">What Vermont Has Proved — As of April 2026</w:t>
      </w:r>
      <w:bookmarkEnd w:id="1429"/>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30" w:name="_Toc1429"/>
      <w:r>
        <w:rPr>
          <w:b/>
          <w:bCs/>
          <w:color w:val="161B22"/>
        </w:rPr>
        <w:t xml:space="preserve">The People This Book Cannot Reach</w:t>
      </w:r>
      <w:bookmarkEnd w:id="1430"/>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31" w:name="_Toc1430"/>
      <w:r>
        <w:rPr>
          <w:b/>
          <w:bCs/>
          <w:color w:val="161B22"/>
        </w:rPr>
        <w:t xml:space="preserve">The Call</w:t>
      </w:r>
      <w:bookmarkEnd w:id="1431"/>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32" w:name="_Toc1431"/>
      <w:r>
        <w:rPr>
          <w:b/>
          <w:bCs/>
          <w:color w:val="161B22"/>
        </w:rPr>
        <w:t xml:space="preserve">Key Concepts</w:t>
      </w:r>
      <w:bookmarkEnd w:id="1432"/>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Bdr>
          <w:top w:val="single" w:sz="4" w:space="8" w:color="B8B8B8"/>
        </w:pBdr>
        <w:spacing w:before="160" w:after="120"/>
      </w:pPr>
      <w:r>
        <w:rPr>
          <w:rFonts w:ascii="Calibri" w:hAnsi="Calibri"/>
          <w:b/>
          <w:bCs/>
          <w:i w:val="0"/>
          <w:color w:val="2E74B5"/>
          <w:sz w:val="20"/>
        </w:rPr>
        <w:t>Sources</w:t>
      </w:r>
    </w:p>
    <w:p>
      <w:pPr>
        <w:pStyle w:val="FirstParagraph"/>
        <w:spacing w:before="160" w:after="120"/>
      </w:pPr>
      <w:r>
        <w:rPr>
          <w:rFonts w:ascii="Calibri" w:hAnsi="Calibri"/>
          <w:color w:val="000000"/>
          <w:sz w:val="18"/>
        </w:rPr>
        <w:t xml:space="preserve">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33" w:name="_Toc1432"/>
      <w:r>
        <w:rPr>
          <w:b/>
          <w:bCs/>
          <w:color w:val="161B22"/>
        </w:rPr>
        <w:t xml:space="preserve">Appendix A — Vermont System Portrait</w:t>
      </w:r>
      <w:bookmarkEnd w:id="1433"/>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34" w:name="_Toc1433"/>
      <w:r>
        <w:rPr>
          <w:b/>
          <w:bCs/>
          <w:color w:val="161B22"/>
        </w:rPr>
        <w:t xml:space="preserve">A.1 Vermont: The State</w:t>
      </w:r>
      <w:bookmarkEnd w:id="1434"/>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pPr>
      <w:r>
        <w:rPr>
          <w:color w:val="161B22"/>
        </w:rPr>
        <w:t xml:space="preserve">A.2  </w:t>
      </w:r>
      <w:bookmarkStart w:id="1435" w:name="_Toc1434"/>
      <w:r>
        <w:rPr>
          <w:b/>
          <w:bCs/>
          <w:color w:val="161B22"/>
        </w:rPr>
        <w:t xml:space="preserve">A.2 Demographics and Population Projections</w:t>
      </w:r>
      <w:bookmarkEnd w:id="1435"/>
    </w:p>
    <w:p>
      <w:pPr>
        <w:pStyle w:val="FirstParagraph"/>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autofit"/>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cantSplit/>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cantSplit/>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cantSplit/>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cantSplit/>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pPr>
      <w:r>
        <w:rPr>
          <w:color w:val="161B22"/>
        </w:rPr>
        <w:t xml:space="preserve">A.3  </w:t>
      </w:r>
      <w:bookmarkStart w:id="1436" w:name="_Toc1435"/>
      <w:r>
        <w:rPr>
          <w:b/>
          <w:bCs/>
          <w:color w:val="161B22"/>
        </w:rPr>
        <w:t xml:space="preserve">A.3 Regulatory Architecture: The Green Mountain Care Board</w:t>
      </w:r>
      <w:bookmarkEnd w:id="1436"/>
    </w:p>
    <w:p>
      <w:pPr>
        <w:pStyle w:val="FirstParagraph"/>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cantSplit/>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cantSplit/>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cantSplit/>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cantSplit/>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37" w:name="_Toc1436"/>
      <w:r>
        <w:rPr>
          <w:b/>
          <w:bCs/>
          <w:color w:val="161B22"/>
        </w:rPr>
        <w:t xml:space="preserve">A.4 The Hospital System</w:t>
      </w:r>
      <w:bookmarkEnd w:id="1437"/>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pPr>
      <w:r>
        <w:rPr>
          <w:color w:val="161B22"/>
        </w:rPr>
        <w:t xml:space="preserve">A.4.1  </w:t>
      </w:r>
      <w:bookmarkStart w:id="1438" w:name="_Toc1437"/>
      <w:r>
        <w:rPr>
          <w:b/>
          <w:bCs/>
          <w:color w:val="161B22"/>
        </w:rPr>
        <w:t xml:space="preserve">The Fourteen Hospitals (January 2026 transformation plans)</w:t>
      </w:r>
      <w:bookmarkEnd w:id="1438"/>
    </w:p>
    <w:tbl>
      <w:tblPr>
        <w:tblStyle w:val="HTRTable"/>
        <w:tblLook w:firstRow="1" w:lastRow="0" w:firstColumn="0" w:lastColumn="0" w:noHBand="0" w:noVBand="1" w:val="0020"/>
        <w:tblW w:w="9072" w:type="dxa"/>
        <w:tblLayout w:type="autofit"/>
      </w:tblPr>
      <w:tblGrid>
        <w:gridCol w:w="1863"/>
        <w:gridCol w:w="588"/>
        <w:gridCol w:w="735"/>
        <w:gridCol w:w="2942"/>
        <w:gridCol w:w="2942"/>
      </w:tblGrid>
      <w:tr>
        <w:trPr>
          <w:tblHeader w:val="on"/>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39" w:name="_Toc1438"/>
      <w:r>
        <w:rPr>
          <w:b/>
          <w:bCs/>
          <w:color w:val="161B22"/>
        </w:rPr>
        <w:t xml:space="preserve">Patterns in the Data</w:t>
      </w:r>
      <w:bookmarkEnd w:id="1439"/>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pPr>
      <w:r>
        <w:rPr>
          <w:color w:val="161B22"/>
        </w:rPr>
        <w:t xml:space="preserve">A.5  </w:t>
      </w:r>
      <w:bookmarkStart w:id="1440" w:name="_Toc1439"/>
      <w:r>
        <w:rPr>
          <w:b/>
          <w:bCs/>
          <w:color w:val="161B22"/>
        </w:rPr>
        <w:t xml:space="preserve">A.5 The Transformation Plans: A System in Motion</w:t>
      </w:r>
      <w:bookmarkEnd w:id="1440"/>
    </w:p>
    <w:p>
      <w:pPr>
        <w:pStyle w:val="FirstParagraph"/>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autofit"/>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cantSplit/>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cantSplit/>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cantSplit/>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cantSplit/>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41" w:name="_Toc1440"/>
      <w:r>
        <w:rPr>
          <w:b/>
          <w:bCs/>
          <w:color w:val="161B22"/>
        </w:rPr>
        <w:t xml:space="preserve">A.6 The Insurance and Premium Crisis</w:t>
      </w:r>
      <w:bookmarkEnd w:id="1441"/>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42" w:name="_Toc1441"/>
      <w:r>
        <w:rPr>
          <w:b/>
          <w:bCs/>
          <w:color w:val="161B22"/>
        </w:rPr>
        <w:t xml:space="preserve">A.7 Healthcare Workforce</w:t>
      </w:r>
      <w:bookmarkEnd w:id="1442"/>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43" w:name="_Toc1442"/>
      <w:r>
        <w:rPr>
          <w:b/>
          <w:bCs/>
          <w:color w:val="161B22"/>
        </w:rPr>
        <w:t xml:space="preserve">A.8 Clinical Quality Indicators</w:t>
      </w:r>
      <w:bookmarkEnd w:id="1443"/>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pBdr>
          <w:top w:val="single" w:sz="4" w:space="8" w:color="B8B8B8"/>
        </w:pBdr>
        <w:spacing w:before="360" w:after="0"/>
      </w:pPr>
      <w:r>
        <w:rPr>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pPr>
      <w:bookmarkStart w:id="1444" w:name="_Toc1443"/>
      <w:r>
        <w:rPr>
          <w:b/>
          <w:bCs/>
          <w:color w:val="161B22"/>
        </w:rPr>
        <w:t xml:space="preserve">Appendix B — Act 68 Statutory Timeline and Milestones</w:t>
      </w:r>
      <w:bookmarkEnd w:id="1444"/>
    </w:p>
    <w:p>
      <w:pPr>
        <w:pStyle w:val="FirstParagraph"/>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autofit"/>
      </w:tblPr>
      <w:tblGrid>
        <w:gridCol w:w="1256"/>
        <w:gridCol w:w="3279"/>
        <w:gridCol w:w="1256"/>
        <w:gridCol w:w="3279"/>
      </w:tblGrid>
      <w:tr>
        <w:trPr>
          <w:tblHeader w:val="on"/>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pPr>
      <w:r>
        <w:rPr>
          <w:color w:val="161B22"/>
        </w:rPr>
        <w:t xml:space="preserve">B.0.1  </w:t>
      </w:r>
      <w:bookmarkStart w:id="1445" w:name="_Toc1444"/>
      <w:r>
        <w:rPr>
          <w:b/>
          <w:bCs/>
          <w:color w:val="161B22"/>
        </w:rPr>
        <w:t xml:space="preserve">Policy-Pillar Implementation Matrix</w:t>
      </w:r>
      <w:bookmarkEnd w:id="1445"/>
    </w:p>
    <w:p>
      <w:pPr>
        <w:pStyle w:val="FirstParagraph"/>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autofit"/>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cantSplit/>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cantSplit/>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cantSplit/>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pPr>
      <w:bookmarkStart w:id="1446" w:name="_Toc1445"/>
      <w:r>
        <w:rPr>
          <w:b/>
          <w:bCs/>
          <w:color w:val="161B22"/>
        </w:rPr>
        <w:t xml:space="preserve">Appendix C — The 14-Hospital Centers of Excellence Assignment Framework</w:t>
      </w:r>
      <w:bookmarkEnd w:id="1446"/>
    </w:p>
    <w:p>
      <w:pPr>
        <w:pStyle w:val="FirstParagraph"/>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p>
      <w:pPr>
        <w:pStyle w:val="BodyText"/>
      </w:pPr>
      <w:r>
        <w:t xml:space="preserve">Source: Oliver Wyman, Act 167 Community Engagement: Recommendations (August 2024, revised October 2024 and January 2025). COE designations are proposed; final designations subject to the AHS and hospital transformation planning process.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266"/>
        <w:gridCol w:w="710"/>
        <w:gridCol w:w="4740"/>
        <w:gridCol w:w="2370"/>
        <w:gridCol w:w="1737"/>
      </w:tblGrid>
      <w:tr>
        <w:trPr>
          <w:tblHeader w:val="on"/>
        </w:trPr>
        <w:tc>
          <w:tcPr>
            <w:shd w:val="clear" w:color="auto" w:fill="1B3A6B"/>
            <w:tcW w:w="2799" w:type="dxa"/>
          </w:tcPr>
          <w:p>
            <w:pPr>
              <w:pStyle w:val="Compact"/>
              <w:jc w:val="left"/>
            </w:pPr>
            <w:r>
              <w:rPr>
                <w:b/>
                <w:color w:val="FFFFFF"/>
                <w:sz w:val="16"/>
              </w:rPr>
              <w:t xml:space="preserve">Hospital (HSA)</w:t>
            </w:r>
          </w:p>
        </w:tc>
        <w:tc>
          <w:tcPr>
            <w:shd w:val="clear" w:color="auto" w:fill="1B3A6B"/>
            <w:tcW w:w="466" w:type="dxa"/>
          </w:tcPr>
          <w:p>
            <w:pPr>
              <w:pStyle w:val="Compact"/>
              <w:jc w:val="left"/>
            </w:pPr>
            <w:r>
              <w:rPr>
                <w:b/>
                <w:color w:val="FFFFFF"/>
                <w:sz w:val="16"/>
              </w:rPr>
              <w:t xml:space="preserve">COE count</w:t>
            </w:r>
          </w:p>
        </w:tc>
        <w:tc>
          <w:tcPr>
            <w:shd w:val="clear" w:color="auto" w:fill="1B3A6B"/>
            <w:tcW w:w="3110" w:type="dxa"/>
          </w:tcPr>
          <w:p>
            <w:pPr>
              <w:pStyle w:val="Compact"/>
              <w:jc w:val="left"/>
            </w:pPr>
            <w:r>
              <w:rPr>
                <w:b/>
                <w:color w:val="FFFFFF"/>
                <w:sz w:val="16"/>
              </w:rPr>
              <w:t xml:space="preserve">Key COE specialties</w:t>
            </w:r>
          </w:p>
        </w:tc>
        <w:tc>
          <w:tcPr>
            <w:shd w:val="clear" w:color="auto" w:fill="1B3A6B"/>
            <w:tcW w:w="1555" w:type="dxa"/>
          </w:tcPr>
          <w:p>
            <w:pPr>
              <w:pStyle w:val="Compact"/>
              <w:jc w:val="left"/>
            </w:pPr>
            <w:r>
              <w:rPr>
                <w:b/>
                <w:color w:val="FFFFFF"/>
                <w:sz w:val="16"/>
              </w:rPr>
              <w:t xml:space="preserve">Tier</w:t>
            </w:r>
          </w:p>
        </w:tc>
        <w:tc>
          <w:tcPr>
            <w:shd w:val="clear" w:color="auto" w:fill="1B3A6B"/>
            <w:tcW w:w="1140" w:type="dxa"/>
          </w:tcPr>
          <w:p>
            <w:pPr>
              <w:pStyle w:val="Compact"/>
              <w:jc w:val="left"/>
            </w:pPr>
            <w:r>
              <w:rPr>
                <w:b/>
                <w:color w:val="FFFFFF"/>
                <w:sz w:val="16"/>
              </w:rPr>
              <w:t xml:space="preserve">RHT rural status</w:t>
            </w:r>
          </w:p>
        </w:tc>
      </w:tr>
      <w:tr>
        <w:trPr/>
        <w:tc>
          <w:tcPr>
            <w:tcW w:w="2799" w:type="dxa"/>
          </w:tcPr>
          <w:p>
            <w:pPr>
              <w:pStyle w:val="Compact"/>
              <w:jc w:val="left"/>
            </w:pPr>
            <w:r>
              <w:rPr>
                <w:sz w:val="16"/>
              </w:rPr>
              <w:t xml:space="preserve">University of Vermont Medical Center (Burlington)</w:t>
            </w:r>
          </w:p>
        </w:tc>
        <w:tc>
          <w:tcPr>
            <w:tcW w:w="466" w:type="dxa"/>
          </w:tcPr>
          <w:p>
            <w:pPr>
              <w:pStyle w:val="Compact"/>
              <w:jc w:val="left"/>
            </w:pPr>
            <w:r>
              <w:rPr>
                <w:sz w:val="16"/>
              </w:rPr>
              <w:t xml:space="preserve">16</w:t>
            </w:r>
          </w:p>
        </w:tc>
        <w:tc>
          <w:tcPr>
            <w:tcW w:w="3110" w:type="dxa"/>
          </w:tcPr>
          <w:p>
            <w:pPr>
              <w:pStyle w:val="Compact"/>
              <w:jc w:val="left"/>
            </w:pPr>
            <w:r>
              <w:rPr>
                <w:sz w:val="16"/>
              </w:rPr>
              <w:t xml:space="preserve">All major specialties incl. cardiac surgery, neurosurgery, complex oncology, NICU, transplant, trauma</w:t>
            </w:r>
          </w:p>
        </w:tc>
        <w:tc>
          <w:tcPr>
            <w:tcW w:w="1555" w:type="dxa"/>
          </w:tcPr>
          <w:p>
            <w:pPr>
              <w:pStyle w:val="Compact"/>
              <w:jc w:val="left"/>
            </w:pPr>
            <w:r>
              <w:rPr>
                <w:sz w:val="16"/>
              </w:rPr>
              <w:t xml:space="preserve">Tier 1 — Primary RSC</w:t>
            </w:r>
          </w:p>
        </w:tc>
        <w:tc>
          <w:tcPr>
            <w:tcW w:w="1140" w:type="dxa"/>
          </w:tcPr>
          <w:p>
            <w:pPr>
              <w:pStyle w:val="Compact"/>
              <w:jc w:val="left"/>
            </w:pPr>
            <w:r>
              <w:rPr>
                <w:sz w:val="16"/>
              </w:rPr>
              <w:t xml:space="preserve">Non-rural (Chittenden)</w:t>
            </w:r>
          </w:p>
        </w:tc>
      </w:tr>
      <w:tr>
        <w:trPr/>
        <w:tc>
          <w:tcPr>
            <w:tcW w:w="2799" w:type="dxa"/>
          </w:tcPr>
          <w:p>
            <w:pPr>
              <w:pStyle w:val="Compact"/>
              <w:jc w:val="left"/>
            </w:pPr>
            <w:r>
              <w:rPr>
                <w:sz w:val="16"/>
              </w:rPr>
              <w:t xml:space="preserve">Southwestern Vermont Medical Center (Bennington)</w:t>
            </w:r>
          </w:p>
        </w:tc>
        <w:tc>
          <w:tcPr>
            <w:tcW w:w="466" w:type="dxa"/>
          </w:tcPr>
          <w:p>
            <w:pPr>
              <w:pStyle w:val="Compact"/>
              <w:jc w:val="left"/>
            </w:pPr>
            <w:r>
              <w:rPr>
                <w:sz w:val="16"/>
              </w:rPr>
              <w:t xml:space="preserve">9</w:t>
            </w:r>
          </w:p>
        </w:tc>
        <w:tc>
          <w:tcPr>
            <w:tcW w:w="3110" w:type="dxa"/>
          </w:tcPr>
          <w:p>
            <w:pPr>
              <w:pStyle w:val="Compact"/>
              <w:jc w:val="left"/>
            </w:pPr>
            <w:r>
              <w:rPr>
                <w:sz w:val="16"/>
              </w:rPr>
              <w:t xml:space="preserve">Acute general surgery, cardiology, orthopedics, psychiatry (adult &amp; adolescent), rehab, dermatology, endocrinology, GI, pain</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Brattleboro Memorial Hospital (Brattleboro)</w:t>
            </w:r>
          </w:p>
        </w:tc>
        <w:tc>
          <w:tcPr>
            <w:tcW w:w="466" w:type="dxa"/>
          </w:tcPr>
          <w:p>
            <w:pPr>
              <w:pStyle w:val="Compact"/>
              <w:jc w:val="left"/>
            </w:pPr>
            <w:r>
              <w:rPr>
                <w:sz w:val="16"/>
              </w:rPr>
              <w:t xml:space="preserve">6</w:t>
            </w:r>
          </w:p>
        </w:tc>
        <w:tc>
          <w:tcPr>
            <w:tcW w:w="3110" w:type="dxa"/>
          </w:tcPr>
          <w:p>
            <w:pPr>
              <w:pStyle w:val="Compact"/>
              <w:jc w:val="left"/>
            </w:pPr>
            <w:r>
              <w:rPr>
                <w:sz w:val="16"/>
              </w:rPr>
              <w:t xml:space="preserve">Acute general surgery, cardiology, OB/high-risk OB, adult psychiatry, outpatient oncology, GI</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Rutland Regional Medical Center (Rutland)</w:t>
            </w:r>
          </w:p>
        </w:tc>
        <w:tc>
          <w:tcPr>
            <w:tcW w:w="466" w:type="dxa"/>
          </w:tcPr>
          <w:p>
            <w:pPr>
              <w:pStyle w:val="Compact"/>
              <w:jc w:val="left"/>
            </w:pPr>
            <w:r>
              <w:rPr>
                <w:sz w:val="16"/>
              </w:rPr>
              <w:t xml:space="preserve">5</w:t>
            </w:r>
          </w:p>
        </w:tc>
        <w:tc>
          <w:tcPr>
            <w:tcW w:w="3110" w:type="dxa"/>
          </w:tcPr>
          <w:p>
            <w:pPr>
              <w:pStyle w:val="Compact"/>
              <w:jc w:val="left"/>
            </w:pPr>
            <w:r>
              <w:rPr>
                <w:sz w:val="16"/>
              </w:rPr>
              <w:t xml:space="preserve">Neurology, adult psychiatry, cancer surgery, radiation therapy, orthopedics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Central Vermont Medical Center (Barre)</w:t>
            </w:r>
          </w:p>
        </w:tc>
        <w:tc>
          <w:tcPr>
            <w:tcW w:w="466" w:type="dxa"/>
          </w:tcPr>
          <w:p>
            <w:pPr>
              <w:pStyle w:val="Compact"/>
              <w:jc w:val="left"/>
            </w:pPr>
            <w:r>
              <w:rPr>
                <w:sz w:val="16"/>
              </w:rPr>
              <w:t xml:space="preserve">5</w:t>
            </w:r>
          </w:p>
        </w:tc>
        <w:tc>
          <w:tcPr>
            <w:tcW w:w="3110" w:type="dxa"/>
          </w:tcPr>
          <w:p>
            <w:pPr>
              <w:pStyle w:val="Compact"/>
              <w:jc w:val="left"/>
            </w:pPr>
            <w:r>
              <w:rPr>
                <w:sz w:val="16"/>
              </w:rPr>
              <w:t xml:space="preserve">Radiation therapy, neurology, cardiac, general surgery, obstetrics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Northwestern Medical Center (St. Albans)</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radiation oncology, orthopedics, cardiology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Northeastern Vermont Regional Hospital (St. Johnsbury)</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infusion/chemotherapy, orthopedics, general surgery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Springfield Hospital (Springfield)</w:t>
            </w:r>
          </w:p>
        </w:tc>
        <w:tc>
          <w:tcPr>
            <w:tcW w:w="466" w:type="dxa"/>
          </w:tcPr>
          <w:p>
            <w:pPr>
              <w:pStyle w:val="Compact"/>
              <w:jc w:val="left"/>
            </w:pPr>
            <w:r>
              <w:rPr>
                <w:sz w:val="16"/>
              </w:rPr>
              <w:t xml:space="preserve">2</w:t>
            </w:r>
          </w:p>
        </w:tc>
        <w:tc>
          <w:tcPr>
            <w:tcW w:w="3110" w:type="dxa"/>
          </w:tcPr>
          <w:p>
            <w:pPr>
              <w:pStyle w:val="Compact"/>
              <w:jc w:val="left"/>
            </w:pPr>
            <w:r>
              <w:rPr>
                <w:sz w:val="16"/>
              </w:rPr>
              <w:t xml:space="preserve">Memory care/dementia, adult psychiatry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Copley Hospital (Morrisville)</w:t>
            </w:r>
          </w:p>
        </w:tc>
        <w:tc>
          <w:tcPr>
            <w:tcW w:w="466" w:type="dxa"/>
          </w:tcPr>
          <w:p>
            <w:pPr>
              <w:pStyle w:val="Compact"/>
              <w:jc w:val="left"/>
            </w:pPr>
            <w:r>
              <w:rPr>
                <w:sz w:val="16"/>
              </w:rPr>
              <w:t xml:space="preserve">2</w:t>
            </w:r>
          </w:p>
        </w:tc>
        <w:tc>
          <w:tcPr>
            <w:tcW w:w="3110" w:type="dxa"/>
          </w:tcPr>
          <w:p>
            <w:pPr>
              <w:pStyle w:val="Compact"/>
              <w:jc w:val="left"/>
            </w:pPr>
            <w:r>
              <w:rPr>
                <w:sz w:val="16"/>
              </w:rPr>
              <w:t xml:space="preserve">Orthopedics, rheumatology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Mount Ascutney Hospital (White River Junction)</w:t>
            </w:r>
          </w:p>
        </w:tc>
        <w:tc>
          <w:tcPr>
            <w:tcW w:w="466" w:type="dxa"/>
          </w:tcPr>
          <w:p>
            <w:pPr>
              <w:pStyle w:val="Compact"/>
              <w:jc w:val="left"/>
            </w:pPr>
            <w:r>
              <w:rPr>
                <w:sz w:val="16"/>
              </w:rPr>
              <w:t xml:space="preserve">1</w:t>
            </w:r>
          </w:p>
        </w:tc>
        <w:tc>
          <w:tcPr>
            <w:tcW w:w="3110" w:type="dxa"/>
          </w:tcPr>
          <w:p>
            <w:pPr>
              <w:pStyle w:val="Compact"/>
              <w:jc w:val="left"/>
            </w:pPr>
            <w:r>
              <w:rPr>
                <w:sz w:val="16"/>
              </w:rPr>
              <w:t xml:space="preserve">Rehabilitation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Porter Medical Center (Middlebury)</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Assessment ongoing — UVM-network affiliation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Grace Cottage Hospital (Townshend)</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Palliative-care specialty worth preserving; 19-bed, Vermont’s smallest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Gifford Medical Center (Randolph)</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Among most financially vulnerable — comprehensive assessment needed</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 Country Hospital (Newport)</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Northeast Kingdom anchor; REH candidacy under assessment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bl>
    <w:p>
      <w:pPr>
        <w:sectPr>
          <w:footerReference w:type="default" r:id="rId10"/>
          <w:pgSz w:w="15840" w:h="12240" w:orient="landscape"/>
          <w:pgMar w:top="720" w:bottom="720" w:left="1008" w:right="1008" w:header="360" w:footer="360" w:gutter="0"/>
        </w:sectPr>
      </w:pPr>
    </w:p>
    <w:p>
      <w:r>
        <w:br w:type="page"/>
      </w:r>
    </w:p>
    <w:p>
      <w:pPr>
        <w:pStyle w:val="Heading1"/>
      </w:pPr>
      <w:bookmarkStart w:id="1447" w:name="_Toc1446"/>
      <w:r>
        <w:rPr>
          <w:b/>
          <w:bCs/>
          <w:color w:val="161B22"/>
        </w:rPr>
        <w:t xml:space="preserve">Appendix D — AHEAD State Agreement: Key Terms and Provisions</w:t>
      </w:r>
      <w:bookmarkEnd w:id="1447"/>
    </w:p>
    <w:p>
      <w:pPr>
        <w:pStyle w:val="FirstParagraph"/>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autofit"/>
      </w:tblPr>
      <w:tblGrid>
        <w:gridCol w:w="3628"/>
        <w:gridCol w:w="5443"/>
      </w:tblGrid>
      <w:tr>
        <w:trPr>
          <w:tblHeader w:val="on"/>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48" w:name="_Toc1447"/>
      <w:r>
        <w:rPr>
          <w:b/>
          <w:bCs/>
          <w:color w:val="161B22"/>
        </w:rPr>
        <w:t xml:space="preserve">Appendix E — HTR Platform Tools and Methodology Overview</w:t>
      </w:r>
      <w:bookmarkEnd w:id="1448"/>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49" w:name="_Toc1448"/>
      <w:r>
        <w:rPr>
          <w:b/>
          <w:bCs/>
          <w:color w:val="161B22"/>
        </w:rPr>
        <w:t xml:space="preserve">Appendix F — Vermont Transformation Scorecard: 2022 Baseline, 2026 Status, 2028 Target</w:t>
      </w:r>
      <w:bookmarkEnd w:id="1449"/>
    </w:p>
    <w:p>
      <w:pPr>
        <w:pStyle w:val="FirstParagraph"/>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pPr>
      <w:r>
        <w:rPr>
          <w:color w:val="161B22"/>
        </w:rPr>
        <w:t xml:space="preserve">F.0.1  </w:t>
      </w:r>
      <w:bookmarkStart w:id="1450" w:name="_Toc1449"/>
      <w:r>
        <w:rPr>
          <w:b/>
          <w:bCs/>
          <w:color w:val="161B22"/>
        </w:rPr>
        <w:t xml:space="preserve">Policy Pillar</w:t>
      </w:r>
      <w:bookmarkEnd w:id="1450"/>
    </w:p>
    <w:tbl>
      <w:tblPr>
        <w:tblStyle w:val="HTRTable"/>
        <w:tblLook w:firstRow="1" w:lastRow="0" w:firstColumn="0" w:lastColumn="0" w:noHBand="0" w:noVBand="1" w:val="0020"/>
        <w:tblW w:w="9072" w:type="dxa"/>
        <w:tblLayout w:type="autofit"/>
      </w:tblPr>
      <w:tblGrid>
        <w:gridCol w:w="1081"/>
        <w:gridCol w:w="1456"/>
        <w:gridCol w:w="2496"/>
        <w:gridCol w:w="2455"/>
        <w:gridCol w:w="1581"/>
      </w:tblGrid>
      <w:tr>
        <w:trPr>
          <w:tblHeader w:val="on"/>
          <w:cantSplit/>
        </w:trPr>
        <w:tc>
          <w:tcPr>
            <w:shd w:val="clear" w:color="auto" w:fill="1B3A6B"/>
            <w:tcW w:w="1081" w:type="dxa"/>
          </w:tcPr>
          <w:p>
            <w:pPr>
              <w:pStyle w:val="Compact"/>
              <w:jc w:val="left"/>
            </w:pPr>
            <w:r>
              <w:rPr>
                <w:b/>
                <w:color w:val="FFFFFF"/>
                <w:sz w:val="18"/>
              </w:rPr>
              <w:t xml:space="preserve">Metric</w:t>
            </w:r>
          </w:p>
        </w:tc>
        <w:tc>
          <w:tcPr>
            <w:shd w:val="clear" w:color="auto" w:fill="1B3A6B"/>
            <w:tcW w:w="1456" w:type="dxa"/>
          </w:tcPr>
          <w:p>
            <w:pPr>
              <w:pStyle w:val="Compact"/>
              <w:jc w:val="left"/>
            </w:pPr>
            <w:r>
              <w:rPr>
                <w:b/>
                <w:color w:val="FFFFFF"/>
                <w:sz w:val="18"/>
              </w:rPr>
              <w:t xml:space="preserve">2022 baseline</w:t>
            </w:r>
          </w:p>
        </w:tc>
        <w:tc>
          <w:tcPr>
            <w:shd w:val="clear" w:color="auto" w:fill="1B3A6B"/>
            <w:tcW w:w="2496" w:type="dxa"/>
          </w:tcPr>
          <w:p>
            <w:pPr>
              <w:pStyle w:val="Compact"/>
              <w:jc w:val="left"/>
            </w:pPr>
            <w:r>
              <w:rPr>
                <w:b/>
                <w:color w:val="FFFFFF"/>
                <w:sz w:val="18"/>
              </w:rPr>
              <w:t xml:space="preserve">2026 status</w:t>
            </w:r>
          </w:p>
        </w:tc>
        <w:tc>
          <w:tcPr>
            <w:shd w:val="clear" w:color="auto" w:fill="1B3A6B"/>
            <w:tcW w:w="2455" w:type="dxa"/>
          </w:tcPr>
          <w:p>
            <w:pPr>
              <w:pStyle w:val="Compact"/>
              <w:jc w:val="left"/>
            </w:pPr>
            <w:r>
              <w:rPr>
                <w:b/>
                <w:color w:val="FFFFFF"/>
                <w:sz w:val="18"/>
              </w:rPr>
              <w:t xml:space="preserve">2028 target</w:t>
            </w:r>
          </w:p>
        </w:tc>
        <w:tc>
          <w:tcPr>
            <w:shd w:val="clear" w:color="auto" w:fill="1B3A6B"/>
            <w:tcW w:w="1581" w:type="dxa"/>
          </w:tcPr>
          <w:p>
            <w:pPr>
              <w:pStyle w:val="Compact"/>
              <w:jc w:val="left"/>
            </w:pPr>
            <w:r>
              <w:rPr>
                <w:b/>
                <w:color w:val="FFFFFF"/>
                <w:sz w:val="18"/>
              </w:rPr>
              <w:t xml:space="preserve">Source</w:t>
            </w:r>
          </w:p>
        </w:tc>
      </w:tr>
      <w:tr>
        <w:trPr>
          <w:cantSplit/>
        </w:trPr>
        <w:tc>
          <w:tcPr>
            <w:tcW w:w="1081" w:type="dxa"/>
          </w:tcPr>
          <w:p>
            <w:pPr>
              <w:pStyle w:val="Compact"/>
              <w:jc w:val="left"/>
            </w:pPr>
            <w:r>
              <w:rPr>
                <w:sz w:val="18"/>
              </w:rPr>
              <w:t xml:space="preserve">Payment-reform mandate</w:t>
            </w:r>
          </w:p>
        </w:tc>
        <w:tc>
          <w:tcPr>
            <w:tcW w:w="1456" w:type="dxa"/>
          </w:tcPr>
          <w:p>
            <w:pPr>
              <w:pStyle w:val="Compact"/>
              <w:jc w:val="left"/>
            </w:pPr>
            <w:r>
              <w:rPr>
                <w:sz w:val="18"/>
              </w:rPr>
              <w:t xml:space="preserve">Voluntary only (OneCare ACO)</w:t>
            </w:r>
          </w:p>
        </w:tc>
        <w:tc>
          <w:tcPr>
            <w:tcW w:w="2496" w:type="dxa"/>
          </w:tcPr>
          <w:p>
            <w:pPr>
              <w:pStyle w:val="Compact"/>
              <w:jc w:val="left"/>
            </w:pPr>
            <w:r>
              <w:rPr>
                <w:sz w:val="18"/>
              </w:rPr>
              <w:t xml:space="preserve">Mandatory RBP (FY2027) and global budgets (FY2028) enacted</w:t>
            </w:r>
          </w:p>
        </w:tc>
        <w:tc>
          <w:tcPr>
            <w:tcW w:w="2455" w:type="dxa"/>
          </w:tcPr>
          <w:p>
            <w:pPr>
              <w:pStyle w:val="Compact"/>
              <w:jc w:val="left"/>
            </w:pPr>
            <w:r>
              <w:rPr>
                <w:sz w:val="18"/>
              </w:rPr>
              <w:t xml:space="preserve">All hospitals under mandatory global budgets</w:t>
            </w:r>
          </w:p>
        </w:tc>
        <w:tc>
          <w:tcPr>
            <w:tcW w:w="1581" w:type="dxa"/>
          </w:tcPr>
          <w:p>
            <w:pPr>
              <w:pStyle w:val="Compact"/>
              <w:jc w:val="left"/>
            </w:pPr>
            <w:r>
              <w:rPr>
                <w:sz w:val="18"/>
              </w:rPr>
              <w:t xml:space="preserve">Act 68; statutory</w:t>
            </w:r>
          </w:p>
        </w:tc>
      </w:tr>
      <w:tr>
        <w:trPr>
          <w:cantSplit/>
        </w:trPr>
        <w:tc>
          <w:tcPr>
            <w:tcW w:w="1081" w:type="dxa"/>
          </w:tcPr>
          <w:p>
            <w:pPr>
              <w:pStyle w:val="Compact"/>
              <w:jc w:val="left"/>
            </w:pPr>
            <w:r>
              <w:rPr>
                <w:sz w:val="18"/>
              </w:rPr>
              <w:t xml:space="preserve">Hospital-system diagnostic</w:t>
            </w:r>
          </w:p>
        </w:tc>
        <w:tc>
          <w:tcPr>
            <w:tcW w:w="1456" w:type="dxa"/>
          </w:tcPr>
          <w:p>
            <w:pPr>
              <w:pStyle w:val="Compact"/>
              <w:jc w:val="left"/>
            </w:pPr>
            <w:r>
              <w:rPr>
                <w:sz w:val="18"/>
              </w:rPr>
              <w:t xml:space="preserve">No comprehensive analysis</w:t>
            </w:r>
          </w:p>
        </w:tc>
        <w:tc>
          <w:tcPr>
            <w:tcW w:w="2496" w:type="dxa"/>
          </w:tcPr>
          <w:p>
            <w:pPr>
              <w:pStyle w:val="Compact"/>
              <w:jc w:val="left"/>
            </w:pPr>
            <w:r>
              <w:rPr>
                <w:sz w:val="18"/>
              </w:rPr>
              <w:t xml:space="preserve">Oliver Wyman Act 167 analysis complete; 230+ meetings, 3,100+ participants</w:t>
            </w:r>
          </w:p>
        </w:tc>
        <w:tc>
          <w:tcPr>
            <w:tcW w:w="2455" w:type="dxa"/>
          </w:tcPr>
          <w:p>
            <w:pPr>
              <w:pStyle w:val="Compact"/>
              <w:jc w:val="left"/>
            </w:pPr>
            <w:r>
              <w:rPr>
                <w:sz w:val="18"/>
              </w:rPr>
              <w:t xml:space="preserve">Annual updates to diagnostic methodology</w:t>
            </w:r>
          </w:p>
        </w:tc>
        <w:tc>
          <w:tcPr>
            <w:tcW w:w="1581" w:type="dxa"/>
          </w:tcPr>
          <w:p>
            <w:pPr>
              <w:pStyle w:val="Compact"/>
              <w:jc w:val="left"/>
            </w:pPr>
            <w:r>
              <w:rPr>
                <w:sz w:val="18"/>
              </w:rPr>
              <w:t xml:space="preserve">Oliver Wyman Act 167 Report (Aug 2024)</w:t>
            </w:r>
          </w:p>
        </w:tc>
      </w:tr>
      <w:tr>
        <w:trPr>
          <w:cantSplit/>
        </w:trPr>
        <w:tc>
          <w:tcPr>
            <w:tcW w:w="1081" w:type="dxa"/>
          </w:tcPr>
          <w:p>
            <w:pPr>
              <w:pStyle w:val="Compact"/>
              <w:jc w:val="left"/>
            </w:pPr>
            <w:r>
              <w:rPr>
                <w:sz w:val="18"/>
              </w:rPr>
              <w:t xml:space="preserve">Statewide Strategic Plan</w:t>
            </w:r>
          </w:p>
        </w:tc>
        <w:tc>
          <w:tcPr>
            <w:tcW w:w="1456" w:type="dxa"/>
          </w:tcPr>
          <w:p>
            <w:pPr>
              <w:pStyle w:val="Compact"/>
              <w:jc w:val="left"/>
            </w:pPr>
            <w:r>
              <w:rPr>
                <w:sz w:val="18"/>
              </w:rPr>
              <w:t xml:space="preserve">Does not exist</w:t>
            </w:r>
          </w:p>
        </w:tc>
        <w:tc>
          <w:tcPr>
            <w:tcW w:w="2496" w:type="dxa"/>
          </w:tcPr>
          <w:p>
            <w:pPr>
              <w:pStyle w:val="Compact"/>
              <w:jc w:val="left"/>
            </w:pPr>
            <w:r>
              <w:rPr>
                <w:sz w:val="18"/>
              </w:rPr>
              <w:t xml:space="preserve">Framework under development; HCAC convened</w:t>
            </w:r>
          </w:p>
        </w:tc>
        <w:tc>
          <w:tcPr>
            <w:tcW w:w="2455" w:type="dxa"/>
          </w:tcPr>
          <w:p>
            <w:pPr>
              <w:pStyle w:val="Compact"/>
              <w:jc w:val="left"/>
            </w:pPr>
            <w:r>
              <w:rPr>
                <w:sz w:val="18"/>
              </w:rPr>
              <w:t xml:space="preserve">Plan delivered to legislature December 2028</w:t>
            </w:r>
          </w:p>
        </w:tc>
        <w:tc>
          <w:tcPr>
            <w:tcW w:w="1581" w:type="dxa"/>
          </w:tcPr>
          <w:p>
            <w:pPr>
              <w:pStyle w:val="Compact"/>
              <w:jc w:val="left"/>
            </w:pPr>
            <w:r>
              <w:rPr>
                <w:sz w:val="18"/>
              </w:rPr>
              <w:t xml:space="preserve">Act 68; statutory deadline</w:t>
            </w:r>
          </w:p>
        </w:tc>
      </w:tr>
      <w:tr>
        <w:trPr>
          <w:cantSplit/>
        </w:trPr>
        <w:tc>
          <w:tcPr>
            <w:tcW w:w="1081" w:type="dxa"/>
          </w:tcPr>
          <w:p>
            <w:pPr>
              <w:pStyle w:val="Compact"/>
              <w:jc w:val="left"/>
            </w:pPr>
            <w:r>
              <w:rPr>
                <w:sz w:val="18"/>
              </w:rPr>
              <w:t xml:space="preserve">Federal-state alignment</w:t>
            </w:r>
          </w:p>
        </w:tc>
        <w:tc>
          <w:tcPr>
            <w:tcW w:w="1456" w:type="dxa"/>
          </w:tcPr>
          <w:p>
            <w:pPr>
              <w:pStyle w:val="Compact"/>
              <w:jc w:val="left"/>
            </w:pPr>
            <w:r>
              <w:rPr>
                <w:sz w:val="18"/>
              </w:rPr>
              <w:t xml:space="preserve">No all-payer agreement</w:t>
            </w:r>
          </w:p>
        </w:tc>
        <w:tc>
          <w:tcPr>
            <w:tcW w:w="2496" w:type="dxa"/>
          </w:tcPr>
          <w:p>
            <w:pPr>
              <w:pStyle w:val="Compact"/>
              <w:jc w:val="left"/>
            </w:pPr>
            <w:r>
              <w:rPr>
                <w:sz w:val="18"/>
              </w:rPr>
              <w:t xml:space="preserve">AHEAD State Agreement signed Jan 2025; nine-year term</w:t>
            </w:r>
          </w:p>
        </w:tc>
        <w:tc>
          <w:tcPr>
            <w:tcW w:w="2455" w:type="dxa"/>
          </w:tcPr>
          <w:p>
            <w:pPr>
              <w:pStyle w:val="Compact"/>
              <w:jc w:val="left"/>
            </w:pPr>
            <w:r>
              <w:rPr>
                <w:sz w:val="18"/>
              </w:rPr>
              <w:t xml:space="preserve">Full AHEAD compliance; second agreement negotiated</w:t>
            </w:r>
          </w:p>
        </w:tc>
        <w:tc>
          <w:tcPr>
            <w:tcW w:w="1581" w:type="dxa"/>
          </w:tcPr>
          <w:p>
            <w:pPr>
              <w:pStyle w:val="Compact"/>
              <w:jc w:val="left"/>
            </w:pPr>
            <w:r>
              <w:rPr>
                <w:sz w:val="18"/>
              </w:rPr>
              <w:t xml:space="preserve">CMS AHEAD State Agreement</w:t>
            </w:r>
          </w:p>
        </w:tc>
      </w:tr>
      <w:tr>
        <w:trPr>
          <w:cantSplit/>
        </w:trPr>
        <w:tc>
          <w:tcPr>
            <w:tcW w:w="1081" w:type="dxa"/>
          </w:tcPr>
          <w:p>
            <w:pPr>
              <w:pStyle w:val="Compact"/>
              <w:jc w:val="left"/>
            </w:pPr>
            <w:r>
              <w:rPr>
                <w:sz w:val="18"/>
              </w:rPr>
              <w:t xml:space="preserve">Capital investment</w:t>
            </w:r>
          </w:p>
        </w:tc>
        <w:tc>
          <w:tcPr>
            <w:tcW w:w="1456" w:type="dxa"/>
          </w:tcPr>
          <w:p>
            <w:pPr>
              <w:pStyle w:val="Compact"/>
              <w:jc w:val="left"/>
            </w:pPr>
            <w:r>
              <w:rPr>
                <w:sz w:val="18"/>
              </w:rPr>
              <w:t xml:space="preserve">No dedicated transformation capital</w:t>
            </w:r>
          </w:p>
        </w:tc>
        <w:tc>
          <w:tcPr>
            <w:tcW w:w="2496" w:type="dxa"/>
          </w:tcPr>
          <w:p>
            <w:pPr>
              <w:pStyle w:val="Compact"/>
              <w:jc w:val="left"/>
            </w:pPr>
            <w:r>
              <w:rPr>
                <w:sz w:val="18"/>
              </w:rPr>
              <w:t xml:space="preserve">RHT Program: $195M over 5 years awarded</w:t>
            </w:r>
          </w:p>
        </w:tc>
        <w:tc>
          <w:tcPr>
            <w:tcW w:w="2455" w:type="dxa"/>
          </w:tcPr>
          <w:p>
            <w:pPr>
              <w:pStyle w:val="Compact"/>
              <w:jc w:val="left"/>
            </w:pPr>
            <w:r>
              <w:rPr>
                <w:sz w:val="18"/>
              </w:rPr>
              <w:t xml:space="preserve">$195M deployed; CIN operational; IT infrastructure complete</w:t>
            </w:r>
          </w:p>
        </w:tc>
        <w:tc>
          <w:tcPr>
            <w:tcW w:w="1581" w:type="dxa"/>
          </w:tcPr>
          <w:p>
            <w:pPr>
              <w:pStyle w:val="Compact"/>
              <w:jc w:val="left"/>
            </w:pPr>
            <w:r>
              <w:rPr>
                <w:sz w:val="18"/>
              </w:rPr>
              <w:t xml:space="preserve">Vermont RHT Application (Nov 2025)</w:t>
            </w:r>
          </w:p>
        </w:tc>
      </w:tr>
    </w:tbl>
    <w:p>
      <w:pPr>
        <w:pStyle w:val="Caption"/>
      </w:pPr>
      <w:r>
        <w:rPr>
          <w:i/>
          <w:iCs/>
        </w:rPr>
        <w:t xml:space="preserve">Figure F.1 — Policy-pillar scorecard. Sources: Act 68 of 2025; Oliver Wyman Act 167 Report; CMS AHEAD documentation; Vermont RHT Program Application.</w:t>
      </w:r>
    </w:p>
    <w:p>
      <w:pPr>
        <w:pStyle w:val="Heading3"/>
      </w:pPr>
      <w:r>
        <w:rPr>
          <w:color w:val="161B22"/>
        </w:rPr>
        <w:t xml:space="preserve">F.0.2  </w:t>
      </w:r>
      <w:bookmarkStart w:id="1451" w:name="_Toc1450"/>
      <w:r>
        <w:rPr>
          <w:b/>
          <w:bCs/>
          <w:color w:val="161B22"/>
        </w:rPr>
        <w:t xml:space="preserve">Technology Pillar</w:t>
      </w:r>
      <w:bookmarkEnd w:id="1451"/>
    </w:p>
    <w:tbl>
      <w:tblPr>
        <w:tblStyle w:val="HTRTable"/>
        <w:tblLook w:firstRow="1" w:lastRow="0" w:firstColumn="0" w:lastColumn="0" w:noHBand="0" w:noVBand="1" w:val="0020"/>
        <w:tblW w:w="9072" w:type="dxa"/>
        <w:tblLayout w:type="autofit"/>
      </w:tblPr>
      <w:tblGrid>
        <w:gridCol w:w="995"/>
        <w:gridCol w:w="1880"/>
        <w:gridCol w:w="2212"/>
        <w:gridCol w:w="2212"/>
        <w:gridCol w:w="1770"/>
      </w:tblGrid>
      <w:tr>
        <w:trPr>
          <w:tblHeader w:val="on"/>
          <w:cantSplit/>
        </w:trPr>
        <w:tc>
          <w:tcPr>
            <w:shd w:val="clear" w:color="auto" w:fill="1B3A6B"/>
            <w:tcW w:w="995" w:type="dxa"/>
          </w:tcPr>
          <w:p>
            <w:pPr>
              <w:pStyle w:val="Compact"/>
              <w:jc w:val="left"/>
            </w:pPr>
            <w:r>
              <w:rPr>
                <w:b/>
                <w:color w:val="FFFFFF"/>
                <w:sz w:val="18"/>
              </w:rPr>
              <w:t xml:space="preserve">Metric</w:t>
            </w:r>
          </w:p>
        </w:tc>
        <w:tc>
          <w:tcPr>
            <w:shd w:val="clear" w:color="auto" w:fill="1B3A6B"/>
            <w:tcW w:w="1880"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770" w:type="dxa"/>
          </w:tcPr>
          <w:p>
            <w:pPr>
              <w:pStyle w:val="Compact"/>
              <w:jc w:val="left"/>
            </w:pPr>
            <w:r>
              <w:rPr>
                <w:b/>
                <w:color w:val="FFFFFF"/>
                <w:sz w:val="18"/>
              </w:rPr>
              <w:t xml:space="preserve">Source</w:t>
            </w:r>
          </w:p>
        </w:tc>
      </w:tr>
      <w:tr>
        <w:trPr>
          <w:cantSplit/>
        </w:trPr>
        <w:tc>
          <w:tcPr>
            <w:tcW w:w="995" w:type="dxa"/>
          </w:tcPr>
          <w:p>
            <w:pPr>
              <w:pStyle w:val="Compact"/>
              <w:jc w:val="left"/>
            </w:pPr>
            <w:r>
              <w:rPr>
                <w:sz w:val="18"/>
              </w:rPr>
              <w:t xml:space="preserve">All-payer claims database</w:t>
            </w:r>
          </w:p>
        </w:tc>
        <w:tc>
          <w:tcPr>
            <w:tcW w:w="1880" w:type="dxa"/>
          </w:tcPr>
          <w:p>
            <w:pPr>
              <w:pStyle w:val="Compact"/>
              <w:jc w:val="left"/>
            </w:pPr>
            <w:r>
              <w:rPr>
                <w:sz w:val="18"/>
              </w:rPr>
              <w:t xml:space="preserve">VHCURES operational; 2-year data lag</w:t>
            </w:r>
          </w:p>
        </w:tc>
        <w:tc>
          <w:tcPr>
            <w:tcW w:w="2212" w:type="dxa"/>
          </w:tcPr>
          <w:p>
            <w:pPr>
              <w:pStyle w:val="Compact"/>
              <w:jc w:val="left"/>
            </w:pPr>
            <w:r>
              <w:rPr>
                <w:sz w:val="18"/>
              </w:rPr>
              <w:t xml:space="preserve">VHCURES solid; attribution modeling in progress; analytics-vendor procurement underway</w:t>
            </w:r>
          </w:p>
        </w:tc>
        <w:tc>
          <w:tcPr>
            <w:tcW w:w="2212" w:type="dxa"/>
          </w:tcPr>
          <w:p>
            <w:pPr>
              <w:pStyle w:val="Compact"/>
              <w:jc w:val="left"/>
            </w:pPr>
            <w:r>
              <w:rPr>
                <w:sz w:val="18"/>
              </w:rPr>
              <w:t xml:space="preserve">VHCURES real-time/near-real-time; vendor fully deployed</w:t>
            </w:r>
          </w:p>
        </w:tc>
        <w:tc>
          <w:tcPr>
            <w:tcW w:w="1770" w:type="dxa"/>
          </w:tcPr>
          <w:p>
            <w:pPr>
              <w:pStyle w:val="Compact"/>
              <w:jc w:val="left"/>
            </w:pPr>
            <w:r>
              <w:rPr>
                <w:sz w:val="18"/>
              </w:rPr>
              <w:t xml:space="preserve">GMCB VHCURES documentation</w:t>
            </w:r>
          </w:p>
        </w:tc>
      </w:tr>
      <w:tr>
        <w:trPr>
          <w:cantSplit/>
        </w:trPr>
        <w:tc>
          <w:tcPr>
            <w:tcW w:w="995" w:type="dxa"/>
          </w:tcPr>
          <w:p>
            <w:pPr>
              <w:pStyle w:val="Compact"/>
              <w:jc w:val="left"/>
            </w:pPr>
            <w:r>
              <w:rPr>
                <w:sz w:val="18"/>
              </w:rPr>
              <w:t xml:space="preserve">Health information exchange</w:t>
            </w:r>
          </w:p>
        </w:tc>
        <w:tc>
          <w:tcPr>
            <w:tcW w:w="1880" w:type="dxa"/>
          </w:tcPr>
          <w:p>
            <w:pPr>
              <w:pStyle w:val="Compact"/>
              <w:jc w:val="left"/>
            </w:pPr>
            <w:r>
              <w:rPr>
                <w:sz w:val="18"/>
              </w:rPr>
              <w:t xml:space="preserve">VITL operational but voluntary; incomplete adoption</w:t>
            </w:r>
          </w:p>
        </w:tc>
        <w:tc>
          <w:tcPr>
            <w:tcW w:w="2212" w:type="dxa"/>
          </w:tcPr>
          <w:p>
            <w:pPr>
              <w:pStyle w:val="Compact"/>
              <w:jc w:val="left"/>
            </w:pPr>
            <w:r>
              <w:rPr>
                <w:sz w:val="18"/>
              </w:rPr>
              <w:t xml:space="preserve">VITL voluntary; CIN under development; small providers disconnected</w:t>
            </w:r>
          </w:p>
        </w:tc>
        <w:tc>
          <w:tcPr>
            <w:tcW w:w="2212" w:type="dxa"/>
          </w:tcPr>
          <w:p>
            <w:pPr>
              <w:pStyle w:val="Compact"/>
              <w:jc w:val="left"/>
            </w:pPr>
            <w:r>
              <w:rPr>
                <w:sz w:val="18"/>
              </w:rPr>
              <w:t xml:space="preserve">VITL connectivity required for all Blueprint practices; CIN operational</w:t>
            </w:r>
          </w:p>
        </w:tc>
        <w:tc>
          <w:tcPr>
            <w:tcW w:w="1770" w:type="dxa"/>
          </w:tcPr>
          <w:p>
            <w:pPr>
              <w:pStyle w:val="Compact"/>
              <w:jc w:val="left"/>
            </w:pPr>
            <w:r>
              <w:rPr>
                <w:sz w:val="18"/>
              </w:rPr>
              <w:t xml:space="preserve">VITL annual report; Act 62 of 2025</w:t>
            </w:r>
          </w:p>
        </w:tc>
      </w:tr>
      <w:tr>
        <w:trPr>
          <w:cantSplit/>
        </w:trPr>
        <w:tc>
          <w:tcPr>
            <w:tcW w:w="995" w:type="dxa"/>
          </w:tcPr>
          <w:p>
            <w:pPr>
              <w:pStyle w:val="Compact"/>
              <w:jc w:val="left"/>
            </w:pPr>
            <w:r>
              <w:rPr>
                <w:sz w:val="18"/>
              </w:rPr>
              <w:t xml:space="preserve">FHIR compliance</w:t>
            </w:r>
          </w:p>
        </w:tc>
        <w:tc>
          <w:tcPr>
            <w:tcW w:w="1880" w:type="dxa"/>
          </w:tcPr>
          <w:p>
            <w:pPr>
              <w:pStyle w:val="Compact"/>
              <w:jc w:val="left"/>
            </w:pPr>
            <w:r>
              <w:rPr>
                <w:sz w:val="18"/>
              </w:rPr>
              <w:t xml:space="preserve">Minimal across the system</w:t>
            </w:r>
          </w:p>
        </w:tc>
        <w:tc>
          <w:tcPr>
            <w:tcW w:w="2212" w:type="dxa"/>
          </w:tcPr>
          <w:p>
            <w:pPr>
              <w:pStyle w:val="Compact"/>
              <w:jc w:val="left"/>
            </w:pPr>
            <w:r>
              <w:rPr>
                <w:sz w:val="18"/>
              </w:rPr>
              <w:t xml:space="preserve">CMS interoperability rule driving compliance; RHT grants funding upgrades</w:t>
            </w:r>
          </w:p>
        </w:tc>
        <w:tc>
          <w:tcPr>
            <w:tcW w:w="2212" w:type="dxa"/>
          </w:tcPr>
          <w:p>
            <w:pPr>
              <w:pStyle w:val="Compact"/>
              <w:jc w:val="left"/>
            </w:pPr>
            <w:r>
              <w:rPr>
                <w:sz w:val="18"/>
              </w:rPr>
              <w:t xml:space="preserve">Full FHIR R4 compliance at all AHEAD-participating hospitals</w:t>
            </w:r>
          </w:p>
        </w:tc>
        <w:tc>
          <w:tcPr>
            <w:tcW w:w="1770" w:type="dxa"/>
          </w:tcPr>
          <w:p>
            <w:pPr>
              <w:pStyle w:val="Compact"/>
              <w:jc w:val="left"/>
            </w:pPr>
            <w:r>
              <w:rPr>
                <w:sz w:val="18"/>
              </w:rPr>
              <w:t xml:space="preserve">CMS interoperability rule; RHT IT grants</w:t>
            </w:r>
          </w:p>
        </w:tc>
      </w:tr>
      <w:tr>
        <w:trPr>
          <w:cantSplit/>
        </w:trPr>
        <w:tc>
          <w:tcPr>
            <w:tcW w:w="995" w:type="dxa"/>
          </w:tcPr>
          <w:p>
            <w:pPr>
              <w:pStyle w:val="Compact"/>
              <w:jc w:val="left"/>
            </w:pPr>
            <w:r>
              <w:rPr>
                <w:sz w:val="18"/>
              </w:rPr>
              <w:t xml:space="preserve">AI-governance framework</w:t>
            </w:r>
          </w:p>
        </w:tc>
        <w:tc>
          <w:tcPr>
            <w:tcW w:w="1880" w:type="dxa"/>
          </w:tcPr>
          <w:p>
            <w:pPr>
              <w:pStyle w:val="Compact"/>
              <w:jc w:val="left"/>
            </w:pPr>
            <w:r>
              <w:rPr>
                <w:sz w:val="18"/>
              </w:rPr>
              <w:t xml:space="preserve">Does not exist</w:t>
            </w:r>
          </w:p>
        </w:tc>
        <w:tc>
          <w:tcPr>
            <w:tcW w:w="2212" w:type="dxa"/>
          </w:tcPr>
          <w:p>
            <w:pPr>
              <w:pStyle w:val="Compact"/>
              <w:jc w:val="left"/>
            </w:pPr>
            <w:r>
              <w:rPr>
                <w:sz w:val="18"/>
              </w:rPr>
              <w:t xml:space="preserve">AI-scribe grants deployed; governance absent in most institutions</w:t>
            </w:r>
          </w:p>
        </w:tc>
        <w:tc>
          <w:tcPr>
            <w:tcW w:w="2212" w:type="dxa"/>
          </w:tcPr>
          <w:p>
            <w:pPr>
              <w:pStyle w:val="Compact"/>
              <w:jc w:val="left"/>
            </w:pPr>
            <w:r>
              <w:rPr>
                <w:sz w:val="18"/>
              </w:rPr>
              <w:t xml:space="preserve">Statewide AI-governance framework; bias testing required</w:t>
            </w:r>
          </w:p>
        </w:tc>
        <w:tc>
          <w:tcPr>
            <w:tcW w:w="1770" w:type="dxa"/>
          </w:tcPr>
          <w:p>
            <w:pPr>
              <w:pStyle w:val="Compact"/>
              <w:jc w:val="left"/>
            </w:pPr>
            <w:r>
              <w:rPr>
                <w:sz w:val="18"/>
              </w:rPr>
              <w:t xml:space="preserve">Vermont RHT Program; HTR AI Governance Checklist</w:t>
            </w:r>
          </w:p>
        </w:tc>
      </w:tr>
      <w:tr>
        <w:trPr>
          <w:cantSplit/>
        </w:trPr>
        <w:tc>
          <w:tcPr>
            <w:tcW w:w="995" w:type="dxa"/>
          </w:tcPr>
          <w:p>
            <w:pPr>
              <w:pStyle w:val="Compact"/>
              <w:jc w:val="left"/>
            </w:pPr>
            <w:r>
              <w:rPr>
                <w:sz w:val="18"/>
              </w:rPr>
              <w:t xml:space="preserve">Race/ethnicity data quality</w:t>
            </w:r>
          </w:p>
        </w:tc>
        <w:tc>
          <w:tcPr>
            <w:tcW w:w="1880" w:type="dxa"/>
          </w:tcPr>
          <w:p>
            <w:pPr>
              <w:pStyle w:val="Compact"/>
              <w:jc w:val="left"/>
            </w:pPr>
            <w:r>
              <w:rPr>
                <w:sz w:val="18"/>
              </w:rPr>
              <w:t xml:space="preserve">Incomplete VHCURES demographic fields</w:t>
            </w:r>
          </w:p>
        </w:tc>
        <w:tc>
          <w:tcPr>
            <w:tcW w:w="2212" w:type="dxa"/>
          </w:tcPr>
          <w:p>
            <w:pPr>
              <w:pStyle w:val="Compact"/>
              <w:jc w:val="left"/>
            </w:pPr>
            <w:r>
              <w:rPr>
                <w:sz w:val="18"/>
              </w:rPr>
              <w:t xml:space="preserve">Acknowledged gap; improvement underway</w:t>
            </w:r>
          </w:p>
        </w:tc>
        <w:tc>
          <w:tcPr>
            <w:tcW w:w="2212" w:type="dxa"/>
          </w:tcPr>
          <w:p>
            <w:pPr>
              <w:pStyle w:val="Compact"/>
              <w:jc w:val="left"/>
            </w:pPr>
            <w:r>
              <w:rPr>
                <w:sz w:val="18"/>
              </w:rPr>
              <w:t xml:space="preserve">Complete stratification for 90%+ of encounters</w:t>
            </w:r>
          </w:p>
        </w:tc>
        <w:tc>
          <w:tcPr>
            <w:tcW w:w="1770" w:type="dxa"/>
          </w:tcPr>
          <w:p>
            <w:pPr>
              <w:pStyle w:val="Compact"/>
              <w:jc w:val="left"/>
            </w:pPr>
            <w:r>
              <w:rPr>
                <w:sz w:val="18"/>
              </w:rPr>
              <w:t xml:space="preserve">Vermont DOH Health Equity Data Report (Jan 2025)</w:t>
            </w:r>
          </w:p>
        </w:tc>
      </w:tr>
    </w:tbl>
    <w:p>
      <w:pPr>
        <w:pStyle w:val="Caption"/>
      </w:pPr>
      <w:r>
        <w:rPr>
          <w:i/>
          <w:iCs/>
        </w:rPr>
        <w:t xml:space="preserve">Figure F.2 — Technology-pillar scorecard. Sources: GMCB VHCURES; VITL; Vermont DOH Health Equity Data Report (January 2025); Vermont RHT Application.</w:t>
      </w:r>
    </w:p>
    <w:p>
      <w:pPr>
        <w:pStyle w:val="Heading3"/>
      </w:pPr>
      <w:r>
        <w:rPr>
          <w:color w:val="161B22"/>
        </w:rPr>
        <w:t xml:space="preserve">F.0.3  </w:t>
      </w:r>
      <w:bookmarkStart w:id="1452" w:name="_Toc1451"/>
      <w:r>
        <w:rPr>
          <w:b/>
          <w:bCs/>
          <w:color w:val="161B22"/>
        </w:rPr>
        <w:t xml:space="preserve">Economics Pillar</w:t>
      </w:r>
      <w:bookmarkEnd w:id="1452"/>
    </w:p>
    <w:tbl>
      <w:tblPr>
        <w:tblStyle w:val="HTRTable"/>
        <w:tblLook w:firstRow="1" w:lastRow="0" w:firstColumn="0" w:lastColumn="0" w:noHBand="0" w:noVBand="1" w:val="0020"/>
        <w:tblW w:w="9072" w:type="dxa"/>
        <w:tblLayout w:type="autofit"/>
      </w:tblPr>
      <w:tblGrid>
        <w:gridCol w:w="1548"/>
        <w:gridCol w:w="1696"/>
        <w:gridCol w:w="2212"/>
        <w:gridCol w:w="2212"/>
        <w:gridCol w:w="1401"/>
      </w:tblGrid>
      <w:tr>
        <w:trPr>
          <w:tblHeader w:val="on"/>
          <w:cantSplit/>
        </w:trPr>
        <w:tc>
          <w:tcPr>
            <w:shd w:val="clear" w:color="auto" w:fill="1B3A6B"/>
            <w:tcW w:w="1548" w:type="dxa"/>
          </w:tcPr>
          <w:p>
            <w:pPr>
              <w:pStyle w:val="Compact"/>
              <w:jc w:val="left"/>
            </w:pPr>
            <w:r>
              <w:rPr>
                <w:b/>
                <w:color w:val="FFFFFF"/>
                <w:sz w:val="18"/>
              </w:rPr>
              <w:t xml:space="preserve">Metric</w:t>
            </w:r>
          </w:p>
        </w:tc>
        <w:tc>
          <w:tcPr>
            <w:shd w:val="clear" w:color="auto" w:fill="1B3A6B"/>
            <w:tcW w:w="1696"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401" w:type="dxa"/>
          </w:tcPr>
          <w:p>
            <w:pPr>
              <w:pStyle w:val="Compact"/>
              <w:jc w:val="left"/>
            </w:pPr>
            <w:r>
              <w:rPr>
                <w:b/>
                <w:color w:val="FFFFFF"/>
                <w:sz w:val="18"/>
              </w:rPr>
              <w:t xml:space="preserve">Source</w:t>
            </w:r>
          </w:p>
        </w:tc>
      </w:tr>
      <w:tr>
        <w:trPr>
          <w:cantSplit/>
        </w:trPr>
        <w:tc>
          <w:tcPr>
            <w:tcW w:w="1548" w:type="dxa"/>
          </w:tcPr>
          <w:p>
            <w:pPr>
              <w:pStyle w:val="Compact"/>
              <w:jc w:val="left"/>
            </w:pPr>
            <w:r>
              <w:rPr>
                <w:sz w:val="18"/>
              </w:rPr>
              <w:t xml:space="preserve">Hospital operating margins</w:t>
            </w:r>
          </w:p>
        </w:tc>
        <w:tc>
          <w:tcPr>
            <w:tcW w:w="1696" w:type="dxa"/>
          </w:tcPr>
          <w:p>
            <w:pPr>
              <w:pStyle w:val="Compact"/>
              <w:jc w:val="left"/>
            </w:pPr>
            <w:r>
              <w:rPr>
                <w:sz w:val="18"/>
              </w:rPr>
              <w:t xml:space="preserve">9 of 14 reporting losses (FY2023); worst −8.9%</w:t>
            </w:r>
          </w:p>
        </w:tc>
        <w:tc>
          <w:tcPr>
            <w:tcW w:w="2212" w:type="dxa"/>
          </w:tcPr>
          <w:p>
            <w:pPr>
              <w:pStyle w:val="Compact"/>
              <w:jc w:val="left"/>
            </w:pPr>
            <w:r>
              <w:rPr>
                <w:sz w:val="18"/>
              </w:rPr>
              <w:t xml:space="preserve">9 of 14 in losses; CAH operating profit $938/discharge vs. $2,784 benchmark</w:t>
            </w:r>
          </w:p>
        </w:tc>
        <w:tc>
          <w:tcPr>
            <w:tcW w:w="2212" w:type="dxa"/>
          </w:tcPr>
          <w:p>
            <w:pPr>
              <w:pStyle w:val="Compact"/>
              <w:jc w:val="left"/>
            </w:pPr>
            <w:r>
              <w:rPr>
                <w:sz w:val="18"/>
              </w:rPr>
              <w:t xml:space="preserve">13 of 14 within sustainable margin range</w:t>
            </w:r>
          </w:p>
        </w:tc>
        <w:tc>
          <w:tcPr>
            <w:tcW w:w="1401" w:type="dxa"/>
          </w:tcPr>
          <w:p>
            <w:pPr>
              <w:pStyle w:val="Compact"/>
              <w:jc w:val="left"/>
            </w:pPr>
            <w:r>
              <w:rPr>
                <w:sz w:val="18"/>
              </w:rPr>
              <w:t xml:space="preserve">Oliver Wyman; AHS Nov 2025 Report</w:t>
            </w:r>
          </w:p>
        </w:tc>
      </w:tr>
      <w:tr>
        <w:trPr>
          <w:cantSplit/>
        </w:trPr>
        <w:tc>
          <w:tcPr>
            <w:tcW w:w="1548" w:type="dxa"/>
          </w:tcPr>
          <w:p>
            <w:pPr>
              <w:pStyle w:val="Compact"/>
              <w:jc w:val="left"/>
            </w:pPr>
            <w:r>
              <w:rPr>
                <w:sz w:val="18"/>
              </w:rPr>
              <w:t xml:space="preserve">Commercial-to-Medicare price ratio</w:t>
            </w:r>
          </w:p>
        </w:tc>
        <w:tc>
          <w:tcPr>
            <w:tcW w:w="1696" w:type="dxa"/>
          </w:tcPr>
          <w:p>
            <w:pPr>
              <w:pStyle w:val="Compact"/>
              <w:jc w:val="left"/>
            </w:pPr>
            <w:r>
              <w:rPr>
                <w:sz w:val="18"/>
              </w:rPr>
              <w:t xml:space="preserve">UVMMC 300%+; system average 250–300%</w:t>
            </w:r>
          </w:p>
        </w:tc>
        <w:tc>
          <w:tcPr>
            <w:tcW w:w="2212" w:type="dxa"/>
          </w:tcPr>
          <w:p>
            <w:pPr>
              <w:pStyle w:val="Compact"/>
              <w:jc w:val="left"/>
            </w:pPr>
            <w:r>
              <w:rPr>
                <w:sz w:val="18"/>
              </w:rPr>
              <w:t xml:space="preserve">Mandatory RBP (FY2027) enacted; methodology under design</w:t>
            </w:r>
          </w:p>
        </w:tc>
        <w:tc>
          <w:tcPr>
            <w:tcW w:w="2212" w:type="dxa"/>
          </w:tcPr>
          <w:p>
            <w:pPr>
              <w:pStyle w:val="Compact"/>
              <w:jc w:val="left"/>
            </w:pPr>
            <w:r>
              <w:rPr>
                <w:sz w:val="18"/>
              </w:rPr>
              <w:t xml:space="preserve">All hospitals at or below statutory RBP ceiling; cross-subsidy reduced 40%+</w:t>
            </w:r>
          </w:p>
        </w:tc>
        <w:tc>
          <w:tcPr>
            <w:tcW w:w="1401" w:type="dxa"/>
          </w:tcPr>
          <w:p>
            <w:pPr>
              <w:pStyle w:val="Compact"/>
              <w:jc w:val="left"/>
            </w:pPr>
            <w:r>
              <w:rPr>
                <w:sz w:val="18"/>
              </w:rPr>
              <w:t xml:space="preserve">GMCB price-transparency data; Act 68</w:t>
            </w:r>
          </w:p>
        </w:tc>
      </w:tr>
      <w:tr>
        <w:trPr>
          <w:cantSplit/>
        </w:trPr>
        <w:tc>
          <w:tcPr>
            <w:tcW w:w="1548" w:type="dxa"/>
          </w:tcPr>
          <w:p>
            <w:pPr>
              <w:pStyle w:val="Compact"/>
              <w:jc w:val="left"/>
            </w:pPr>
            <w:r>
              <w:rPr>
                <w:sz w:val="18"/>
              </w:rPr>
              <w:t xml:space="preserve">Administrative cost per adjusted discharge</w:t>
            </w:r>
          </w:p>
        </w:tc>
        <w:tc>
          <w:tcPr>
            <w:tcW w:w="1696" w:type="dxa"/>
          </w:tcPr>
          <w:p>
            <w:pPr>
              <w:pStyle w:val="Compact"/>
              <w:jc w:val="left"/>
            </w:pPr>
            <w:r>
              <w:rPr>
                <w:sz w:val="18"/>
              </w:rPr>
              <w:t xml:space="preserve">UVMMC $3,826 (267% of $1,427 benchmark)</w:t>
            </w:r>
          </w:p>
        </w:tc>
        <w:tc>
          <w:tcPr>
            <w:tcW w:w="2212" w:type="dxa"/>
          </w:tcPr>
          <w:p>
            <w:pPr>
              <w:pStyle w:val="Compact"/>
              <w:jc w:val="left"/>
            </w:pPr>
            <w:r>
              <w:rPr>
                <w:sz w:val="18"/>
              </w:rPr>
              <w:t xml:space="preserve">$3,826 (unchanged); RHRC engagement underway</w:t>
            </w:r>
          </w:p>
        </w:tc>
        <w:tc>
          <w:tcPr>
            <w:tcW w:w="2212" w:type="dxa"/>
          </w:tcPr>
          <w:p>
            <w:pPr>
              <w:pStyle w:val="Compact"/>
              <w:jc w:val="left"/>
            </w:pPr>
            <w:r>
              <w:rPr>
                <w:sz w:val="18"/>
              </w:rPr>
              <w:t xml:space="preserve">System average below 150% of benchmark</w:t>
            </w:r>
          </w:p>
        </w:tc>
        <w:tc>
          <w:tcPr>
            <w:tcW w:w="1401" w:type="dxa"/>
          </w:tcPr>
          <w:p>
            <w:pPr>
              <w:pStyle w:val="Compact"/>
              <w:jc w:val="left"/>
            </w:pPr>
            <w:r>
              <w:rPr>
                <w:sz w:val="18"/>
              </w:rPr>
              <w:t xml:space="preserve">AHS Nov 2025 Report; NASHP</w:t>
            </w:r>
          </w:p>
        </w:tc>
      </w:tr>
      <w:tr>
        <w:trPr>
          <w:cantSplit/>
        </w:trPr>
        <w:tc>
          <w:tcPr>
            <w:tcW w:w="1548" w:type="dxa"/>
          </w:tcPr>
          <w:p>
            <w:pPr>
              <w:pStyle w:val="Compact"/>
              <w:jc w:val="left"/>
            </w:pPr>
            <w:r>
              <w:rPr>
                <w:sz w:val="18"/>
              </w:rPr>
              <w:t xml:space="preserve">VBC contract penetration</w:t>
            </w:r>
          </w:p>
        </w:tc>
        <w:tc>
          <w:tcPr>
            <w:tcW w:w="1696" w:type="dxa"/>
          </w:tcPr>
          <w:p>
            <w:pPr>
              <w:pStyle w:val="Compact"/>
              <w:jc w:val="left"/>
            </w:pPr>
            <w:r>
              <w:rPr>
                <w:sz w:val="18"/>
              </w:rPr>
              <w:t xml:space="preserve">AHEAD not launched; commercial VBC minimal</w:t>
            </w:r>
          </w:p>
        </w:tc>
        <w:tc>
          <w:tcPr>
            <w:tcW w:w="2212" w:type="dxa"/>
          </w:tcPr>
          <w:p>
            <w:pPr>
              <w:pStyle w:val="Compact"/>
              <w:jc w:val="left"/>
            </w:pPr>
            <w:r>
              <w:rPr>
                <w:sz w:val="18"/>
              </w:rPr>
              <w:t xml:space="preserve">AHEAD launches January 2028 (Medicare); commercial VBC growing</w:t>
            </w:r>
          </w:p>
        </w:tc>
        <w:tc>
          <w:tcPr>
            <w:tcW w:w="2212" w:type="dxa"/>
          </w:tcPr>
          <w:p>
            <w:pPr>
              <w:pStyle w:val="Compact"/>
              <w:jc w:val="left"/>
            </w:pPr>
            <w:r>
              <w:rPr>
                <w:sz w:val="18"/>
              </w:rPr>
              <w:t xml:space="preserve">Medicare: 100% under AHEAD; commercial: 40%+ VBC</w:t>
            </w:r>
          </w:p>
        </w:tc>
        <w:tc>
          <w:tcPr>
            <w:tcW w:w="1401" w:type="dxa"/>
          </w:tcPr>
          <w:p>
            <w:pPr>
              <w:pStyle w:val="Compact"/>
              <w:jc w:val="left"/>
            </w:pPr>
            <w:r>
              <w:rPr>
                <w:sz w:val="18"/>
              </w:rPr>
              <w:t xml:space="preserve">CMS AHEAD; GMCB commercial reports</w:t>
            </w:r>
          </w:p>
        </w:tc>
      </w:tr>
      <w:tr>
        <w:trPr>
          <w:cantSplit/>
        </w:trPr>
        <w:tc>
          <w:tcPr>
            <w:tcW w:w="1548" w:type="dxa"/>
          </w:tcPr>
          <w:p>
            <w:pPr>
              <w:pStyle w:val="Compact"/>
              <w:jc w:val="left"/>
            </w:pPr>
            <w:r>
              <w:rPr>
                <w:sz w:val="18"/>
              </w:rPr>
              <w:t xml:space="preserve">5-year cumulative deficit projection</w:t>
            </w:r>
          </w:p>
        </w:tc>
        <w:tc>
          <w:tcPr>
            <w:tcW w:w="1696" w:type="dxa"/>
          </w:tcPr>
          <w:p>
            <w:pPr>
              <w:pStyle w:val="Compact"/>
              <w:jc w:val="left"/>
            </w:pPr>
            <w:r>
              <w:rPr>
                <w:sz w:val="18"/>
              </w:rPr>
              <w:t xml:space="preserve">$700M–$2.4B (Oliver Wyman 2024)</w:t>
            </w:r>
          </w:p>
        </w:tc>
        <w:tc>
          <w:tcPr>
            <w:tcW w:w="2212" w:type="dxa"/>
          </w:tcPr>
          <w:p>
            <w:pPr>
              <w:pStyle w:val="Compact"/>
              <w:jc w:val="left"/>
            </w:pPr>
            <w:r>
              <w:rPr>
                <w:sz w:val="18"/>
              </w:rPr>
              <w:t xml:space="preserve">Trajectory unchanged without RBP/global-budget implementation</w:t>
            </w:r>
          </w:p>
        </w:tc>
        <w:tc>
          <w:tcPr>
            <w:tcW w:w="2212" w:type="dxa"/>
          </w:tcPr>
          <w:p>
            <w:pPr>
              <w:pStyle w:val="Compact"/>
              <w:jc w:val="left"/>
            </w:pPr>
            <w:r>
              <w:rPr>
                <w:sz w:val="18"/>
              </w:rPr>
              <w:t xml:space="preserve">Deficit trajectory reversed; system break-even by FY2030</w:t>
            </w:r>
          </w:p>
        </w:tc>
        <w:tc>
          <w:tcPr>
            <w:tcW w:w="1401" w:type="dxa"/>
          </w:tcPr>
          <w:p>
            <w:pPr>
              <w:pStyle w:val="Compact"/>
              <w:jc w:val="left"/>
            </w:pPr>
            <w:r>
              <w:rPr>
                <w:sz w:val="18"/>
              </w:rPr>
              <w:t xml:space="preserve">Oliver Wyman; Act 68 financial targets</w:t>
            </w:r>
          </w:p>
        </w:tc>
      </w:tr>
    </w:tbl>
    <w:p>
      <w:pPr>
        <w:pStyle w:val="Caption"/>
      </w:pPr>
      <w:r>
        <w:rPr>
          <w:i/>
          <w:iCs/>
        </w:rPr>
        <w:t xml:space="preserve">Figure F.3 — Economics-pillar scorecard. Sources: Oliver Wyman Act 167 Report; AHS November 2025 Report; GMCB price-transparency data; CMS AHEAD.</w:t>
      </w:r>
    </w:p>
    <w:p>
      <w:pPr>
        <w:pStyle w:val="Heading3"/>
      </w:pPr>
      <w:r>
        <w:rPr>
          <w:color w:val="161B22"/>
        </w:rPr>
        <w:t xml:space="preserve">F.0.4  </w:t>
      </w:r>
      <w:bookmarkStart w:id="1453" w:name="_Toc1452"/>
      <w:r>
        <w:rPr>
          <w:b/>
          <w:bCs/>
          <w:color w:val="161B22"/>
        </w:rPr>
        <w:t xml:space="preserve">Clinical Pillar</w:t>
      </w:r>
      <w:bookmarkEnd w:id="1453"/>
    </w:p>
    <w:tbl>
      <w:tblPr>
        <w:tblStyle w:val="HTRTable"/>
        <w:tblLook w:firstRow="1" w:lastRow="0" w:firstColumn="0" w:lastColumn="0" w:noHBand="0" w:noVBand="1" w:val="0020"/>
        <w:tblW w:w="9072" w:type="dxa"/>
        <w:tblLayout w:type="autofit"/>
      </w:tblPr>
      <w:tblGrid>
        <w:gridCol w:w="1579"/>
        <w:gridCol w:w="1458"/>
        <w:gridCol w:w="2349"/>
        <w:gridCol w:w="1984"/>
        <w:gridCol w:w="1701"/>
      </w:tblGrid>
      <w:tr>
        <w:trPr>
          <w:tblHeader w:val="on"/>
          <w:cantSplit/>
        </w:trPr>
        <w:tc>
          <w:tcPr>
            <w:shd w:val="clear" w:color="auto" w:fill="1B3A6B"/>
            <w:tcW w:w="1579" w:type="dxa"/>
          </w:tcPr>
          <w:p>
            <w:pPr>
              <w:pStyle w:val="Compact"/>
              <w:jc w:val="left"/>
            </w:pPr>
            <w:r>
              <w:rPr>
                <w:b/>
                <w:color w:val="FFFFFF"/>
                <w:sz w:val="18"/>
              </w:rPr>
              <w:t xml:space="preserve">Metric</w:t>
            </w:r>
          </w:p>
        </w:tc>
        <w:tc>
          <w:tcPr>
            <w:shd w:val="clear" w:color="auto" w:fill="1B3A6B"/>
            <w:tcW w:w="1458" w:type="dxa"/>
          </w:tcPr>
          <w:p>
            <w:pPr>
              <w:pStyle w:val="Compact"/>
              <w:jc w:val="left"/>
            </w:pPr>
            <w:r>
              <w:rPr>
                <w:b/>
                <w:color w:val="FFFFFF"/>
                <w:sz w:val="18"/>
              </w:rPr>
              <w:t xml:space="preserve">2022 baseline</w:t>
            </w:r>
          </w:p>
        </w:tc>
        <w:tc>
          <w:tcPr>
            <w:shd w:val="clear" w:color="auto" w:fill="1B3A6B"/>
            <w:tcW w:w="2349" w:type="dxa"/>
          </w:tcPr>
          <w:p>
            <w:pPr>
              <w:pStyle w:val="Compact"/>
              <w:jc w:val="left"/>
            </w:pPr>
            <w:r>
              <w:rPr>
                <w:b/>
                <w:color w:val="FFFFFF"/>
                <w:sz w:val="18"/>
              </w:rPr>
              <w:t xml:space="preserve">2026 status</w:t>
            </w:r>
          </w:p>
        </w:tc>
        <w:tc>
          <w:tcPr>
            <w:shd w:val="clear" w:color="auto" w:fill="1B3A6B"/>
            <w:tcW w:w="1984" w:type="dxa"/>
          </w:tcPr>
          <w:p>
            <w:pPr>
              <w:pStyle w:val="Compact"/>
              <w:jc w:val="left"/>
            </w:pPr>
            <w:r>
              <w:rPr>
                <w:b/>
                <w:color w:val="FFFFFF"/>
                <w:sz w:val="18"/>
              </w:rPr>
              <w:t xml:space="preserve">2028 target</w:t>
            </w:r>
          </w:p>
        </w:tc>
        <w:tc>
          <w:tcPr>
            <w:shd w:val="clear" w:color="auto" w:fill="1B3A6B"/>
            <w:tcW w:w="1701" w:type="dxa"/>
          </w:tcPr>
          <w:p>
            <w:pPr>
              <w:pStyle w:val="Compact"/>
              <w:jc w:val="left"/>
            </w:pPr>
            <w:r>
              <w:rPr>
                <w:b/>
                <w:color w:val="FFFFFF"/>
                <w:sz w:val="18"/>
              </w:rPr>
              <w:t xml:space="preserve">Source</w:t>
            </w:r>
          </w:p>
        </w:tc>
      </w:tr>
      <w:tr>
        <w:trPr>
          <w:cantSplit/>
        </w:trPr>
        <w:tc>
          <w:tcPr>
            <w:tcW w:w="1579" w:type="dxa"/>
          </w:tcPr>
          <w:p>
            <w:pPr>
              <w:pStyle w:val="Compact"/>
              <w:jc w:val="left"/>
            </w:pPr>
            <w:r>
              <w:rPr>
                <w:sz w:val="18"/>
              </w:rPr>
              <w:t xml:space="preserve">Primary-care PCMH coverage</w:t>
            </w:r>
          </w:p>
        </w:tc>
        <w:tc>
          <w:tcPr>
            <w:tcW w:w="1458" w:type="dxa"/>
          </w:tcPr>
          <w:p>
            <w:pPr>
              <w:pStyle w:val="Compact"/>
              <w:jc w:val="left"/>
            </w:pPr>
            <w:r>
              <w:rPr>
                <w:sz w:val="18"/>
              </w:rPr>
              <w:t xml:space="preserve">Blueprint: 90% of PCPs participating</w:t>
            </w:r>
          </w:p>
        </w:tc>
        <w:tc>
          <w:tcPr>
            <w:tcW w:w="2349" w:type="dxa"/>
          </w:tcPr>
          <w:p>
            <w:pPr>
              <w:pStyle w:val="Compact"/>
              <w:jc w:val="left"/>
            </w:pPr>
            <w:r>
              <w:rPr>
                <w:sz w:val="18"/>
              </w:rPr>
              <w:t xml:space="preserve">Blueprint 90%+; AHEAD transition beginning</w:t>
            </w:r>
          </w:p>
        </w:tc>
        <w:tc>
          <w:tcPr>
            <w:tcW w:w="1984" w:type="dxa"/>
          </w:tcPr>
          <w:p>
            <w:pPr>
              <w:pStyle w:val="Compact"/>
              <w:jc w:val="left"/>
            </w:pPr>
            <w:r>
              <w:rPr>
                <w:sz w:val="18"/>
              </w:rPr>
              <w:t xml:space="preserve">100% PCMH; Primary Care AHEAD fully deployed</w:t>
            </w:r>
          </w:p>
        </w:tc>
        <w:tc>
          <w:tcPr>
            <w:tcW w:w="1701" w:type="dxa"/>
          </w:tcPr>
          <w:p>
            <w:pPr>
              <w:pStyle w:val="Compact"/>
              <w:jc w:val="left"/>
            </w:pPr>
            <w:r>
              <w:rPr>
                <w:sz w:val="18"/>
              </w:rPr>
              <w:t xml:space="preserve">Vermont Blueprint Annual Report 2024</w:t>
            </w:r>
          </w:p>
        </w:tc>
      </w:tr>
      <w:tr>
        <w:trPr>
          <w:cantSplit/>
        </w:trPr>
        <w:tc>
          <w:tcPr>
            <w:tcW w:w="1579" w:type="dxa"/>
          </w:tcPr>
          <w:p>
            <w:pPr>
              <w:pStyle w:val="Compact"/>
              <w:jc w:val="left"/>
            </w:pPr>
            <w:r>
              <w:rPr>
                <w:sz w:val="18"/>
              </w:rPr>
              <w:t xml:space="preserve">BH ED follow-up (mental health, 30-day)</w:t>
            </w:r>
          </w:p>
        </w:tc>
        <w:tc>
          <w:tcPr>
            <w:tcW w:w="1458" w:type="dxa"/>
          </w:tcPr>
          <w:p>
            <w:pPr>
              <w:pStyle w:val="Compact"/>
              <w:jc w:val="left"/>
            </w:pPr>
            <w:r>
              <w:rPr>
                <w:sz w:val="18"/>
              </w:rPr>
              <w:t xml:space="preserve">76%</w:t>
            </w:r>
          </w:p>
        </w:tc>
        <w:tc>
          <w:tcPr>
            <w:tcW w:w="2349" w:type="dxa"/>
          </w:tcPr>
          <w:p>
            <w:pPr>
              <w:pStyle w:val="Compact"/>
              <w:jc w:val="left"/>
            </w:pPr>
            <w:r>
              <w:rPr>
                <w:sz w:val="18"/>
              </w:rPr>
              <w:t xml:space="preserve">76% (unchanged); MHI pilot in progress</w:t>
            </w:r>
          </w:p>
        </w:tc>
        <w:tc>
          <w:tcPr>
            <w:tcW w:w="1984" w:type="dxa"/>
          </w:tcPr>
          <w:p>
            <w:pPr>
              <w:pStyle w:val="Compact"/>
              <w:jc w:val="left"/>
            </w:pPr>
            <w:r>
              <w:rPr>
                <w:sz w:val="18"/>
              </w:rPr>
              <w:t xml:space="preserve">90%+; CoCM deployed at all PCMH practices</w:t>
            </w:r>
          </w:p>
        </w:tc>
        <w:tc>
          <w:tcPr>
            <w:tcW w:w="1701" w:type="dxa"/>
          </w:tcPr>
          <w:p>
            <w:pPr>
              <w:pStyle w:val="Compact"/>
              <w:jc w:val="left"/>
            </w:pPr>
            <w:r>
              <w:rPr>
                <w:sz w:val="18"/>
              </w:rPr>
              <w:t xml:space="preserve">Blueprint data; HEDIS FUM</w:t>
            </w:r>
          </w:p>
        </w:tc>
      </w:tr>
      <w:tr>
        <w:trPr>
          <w:cantSplit/>
        </w:trPr>
        <w:tc>
          <w:tcPr>
            <w:tcW w:w="1579" w:type="dxa"/>
          </w:tcPr>
          <w:p>
            <w:pPr>
              <w:pStyle w:val="Compact"/>
              <w:jc w:val="left"/>
            </w:pPr>
            <w:r>
              <w:rPr>
                <w:sz w:val="18"/>
              </w:rPr>
              <w:t xml:space="preserve">BH ED follow-up (SUD, 30-day)</w:t>
            </w:r>
          </w:p>
        </w:tc>
        <w:tc>
          <w:tcPr>
            <w:tcW w:w="1458" w:type="dxa"/>
          </w:tcPr>
          <w:p>
            <w:pPr>
              <w:pStyle w:val="Compact"/>
              <w:jc w:val="left"/>
            </w:pPr>
            <w:r>
              <w:rPr>
                <w:sz w:val="18"/>
              </w:rPr>
              <w:t xml:space="preserve">68%</w:t>
            </w:r>
          </w:p>
        </w:tc>
        <w:tc>
          <w:tcPr>
            <w:tcW w:w="2349" w:type="dxa"/>
          </w:tcPr>
          <w:p>
            <w:pPr>
              <w:pStyle w:val="Compact"/>
              <w:jc w:val="left"/>
            </w:pPr>
            <w:r>
              <w:rPr>
                <w:sz w:val="18"/>
              </w:rPr>
              <w:t xml:space="preserve">68% (improving slowly); Hub-and-Spoke operational</w:t>
            </w:r>
          </w:p>
        </w:tc>
        <w:tc>
          <w:tcPr>
            <w:tcW w:w="1984" w:type="dxa"/>
          </w:tcPr>
          <w:p>
            <w:pPr>
              <w:pStyle w:val="Compact"/>
              <w:jc w:val="left"/>
            </w:pPr>
            <w:r>
              <w:rPr>
                <w:sz w:val="18"/>
              </w:rPr>
              <w:t xml:space="preserve">85%+; CCBHC network operational</w:t>
            </w:r>
          </w:p>
        </w:tc>
        <w:tc>
          <w:tcPr>
            <w:tcW w:w="1701" w:type="dxa"/>
          </w:tcPr>
          <w:p>
            <w:pPr>
              <w:pStyle w:val="Compact"/>
              <w:jc w:val="left"/>
            </w:pPr>
            <w:r>
              <w:rPr>
                <w:sz w:val="18"/>
              </w:rPr>
              <w:t xml:space="preserve">Blueprint data; HEDIS FUA</w:t>
            </w:r>
          </w:p>
        </w:tc>
      </w:tr>
      <w:tr>
        <w:trPr>
          <w:cantSplit/>
        </w:trPr>
        <w:tc>
          <w:tcPr>
            <w:tcW w:w="1579" w:type="dxa"/>
          </w:tcPr>
          <w:p>
            <w:pPr>
              <w:pStyle w:val="Compact"/>
              <w:jc w:val="left"/>
            </w:pPr>
            <w:r>
              <w:rPr>
                <w:sz w:val="18"/>
              </w:rPr>
              <w:t xml:space="preserve">CCBHC network</w:t>
            </w:r>
          </w:p>
        </w:tc>
        <w:tc>
          <w:tcPr>
            <w:tcW w:w="1458" w:type="dxa"/>
          </w:tcPr>
          <w:p>
            <w:pPr>
              <w:pStyle w:val="Compact"/>
              <w:jc w:val="left"/>
            </w:pPr>
            <w:r>
              <w:rPr>
                <w:sz w:val="18"/>
              </w:rPr>
              <w:t xml:space="preserve">0 certified</w:t>
            </w:r>
          </w:p>
        </w:tc>
        <w:tc>
          <w:tcPr>
            <w:tcW w:w="2349" w:type="dxa"/>
          </w:tcPr>
          <w:p>
            <w:pPr>
              <w:pStyle w:val="Compact"/>
              <w:jc w:val="left"/>
            </w:pPr>
            <w:r>
              <w:rPr>
                <w:sz w:val="18"/>
              </w:rPr>
              <w:t xml:space="preserve">5 planned by 2026; certification in progress</w:t>
            </w:r>
          </w:p>
        </w:tc>
        <w:tc>
          <w:tcPr>
            <w:tcW w:w="1984" w:type="dxa"/>
          </w:tcPr>
          <w:p>
            <w:pPr>
              <w:pStyle w:val="Compact"/>
              <w:jc w:val="left"/>
            </w:pPr>
            <w:r>
              <w:rPr>
                <w:sz w:val="18"/>
              </w:rPr>
              <w:t xml:space="preserve">7 certified; statewide BH coverage</w:t>
            </w:r>
          </w:p>
        </w:tc>
        <w:tc>
          <w:tcPr>
            <w:tcW w:w="1701" w:type="dxa"/>
          </w:tcPr>
          <w:p>
            <w:pPr>
              <w:pStyle w:val="Compact"/>
              <w:jc w:val="left"/>
            </w:pPr>
            <w:r>
              <w:rPr>
                <w:sz w:val="18"/>
              </w:rPr>
              <w:t xml:space="preserve">Vermont AHS; SAMHSA</w:t>
            </w:r>
          </w:p>
        </w:tc>
      </w:tr>
      <w:tr>
        <w:trPr>
          <w:cantSplit/>
        </w:trPr>
        <w:tc>
          <w:tcPr>
            <w:tcW w:w="1579" w:type="dxa"/>
          </w:tcPr>
          <w:p>
            <w:pPr>
              <w:pStyle w:val="Compact"/>
              <w:jc w:val="left"/>
            </w:pPr>
            <w:r>
              <w:rPr>
                <w:sz w:val="18"/>
              </w:rPr>
              <w:t xml:space="preserve">Primary-care workforce</w:t>
            </w:r>
          </w:p>
        </w:tc>
        <w:tc>
          <w:tcPr>
            <w:tcW w:w="1458" w:type="dxa"/>
          </w:tcPr>
          <w:p>
            <w:pPr>
              <w:pStyle w:val="Compact"/>
              <w:jc w:val="left"/>
            </w:pPr>
            <w:r>
              <w:rPr>
                <w:sz w:val="18"/>
              </w:rPr>
              <w:t xml:space="preserve">370-FTE gap projected by 2030</w:t>
            </w:r>
          </w:p>
        </w:tc>
        <w:tc>
          <w:tcPr>
            <w:tcW w:w="2349" w:type="dxa"/>
          </w:tcPr>
          <w:p>
            <w:pPr>
              <w:pStyle w:val="Compact"/>
              <w:jc w:val="left"/>
            </w:pPr>
            <w:r>
              <w:rPr>
                <w:sz w:val="18"/>
              </w:rPr>
              <w:t xml:space="preserve">Shortage intensifying; team-based care deployment underway</w:t>
            </w:r>
          </w:p>
        </w:tc>
        <w:tc>
          <w:tcPr>
            <w:tcW w:w="1984" w:type="dxa"/>
          </w:tcPr>
          <w:p>
            <w:pPr>
              <w:pStyle w:val="Compact"/>
              <w:jc w:val="left"/>
            </w:pPr>
            <w:r>
              <w:rPr>
                <w:sz w:val="18"/>
              </w:rPr>
              <w:t xml:space="preserve">FTE gap &lt;200 via team-based care and telehealth</w:t>
            </w:r>
          </w:p>
        </w:tc>
        <w:tc>
          <w:tcPr>
            <w:tcW w:w="1701" w:type="dxa"/>
          </w:tcPr>
          <w:p>
            <w:pPr>
              <w:pStyle w:val="Compact"/>
              <w:jc w:val="left"/>
            </w:pPr>
            <w:r>
              <w:rPr>
                <w:sz w:val="18"/>
              </w:rPr>
              <w:t xml:space="preserve">Blueprint; Oliver Wyman workforce analysis</w:t>
            </w:r>
          </w:p>
        </w:tc>
      </w:tr>
      <w:tr>
        <w:trPr>
          <w:cantSplit/>
        </w:trPr>
        <w:tc>
          <w:tcPr>
            <w:tcW w:w="1579" w:type="dxa"/>
          </w:tcPr>
          <w:p>
            <w:pPr>
              <w:pStyle w:val="Compact"/>
              <w:jc w:val="left"/>
            </w:pPr>
            <w:r>
              <w:rPr>
                <w:sz w:val="18"/>
              </w:rPr>
              <w:t xml:space="preserve">30-day readmission rate</w:t>
            </w:r>
          </w:p>
        </w:tc>
        <w:tc>
          <w:tcPr>
            <w:tcW w:w="1458" w:type="dxa"/>
          </w:tcPr>
          <w:p>
            <w:pPr>
              <w:pStyle w:val="Compact"/>
              <w:jc w:val="left"/>
            </w:pPr>
            <w:r>
              <w:rPr>
                <w:sz w:val="18"/>
              </w:rPr>
              <w:t xml:space="preserve">14.8% statewide</w:t>
            </w:r>
          </w:p>
        </w:tc>
        <w:tc>
          <w:tcPr>
            <w:tcW w:w="2349" w:type="dxa"/>
          </w:tcPr>
          <w:p>
            <w:pPr>
              <w:pStyle w:val="Compact"/>
              <w:jc w:val="left"/>
            </w:pPr>
            <w:r>
              <w:rPr>
                <w:sz w:val="18"/>
              </w:rPr>
              <w:t xml:space="preserve">14.8% (minimal change)</w:t>
            </w:r>
          </w:p>
        </w:tc>
        <w:tc>
          <w:tcPr>
            <w:tcW w:w="1984" w:type="dxa"/>
          </w:tcPr>
          <w:p>
            <w:pPr>
              <w:pStyle w:val="Compact"/>
              <w:jc w:val="left"/>
            </w:pPr>
            <w:r>
              <w:rPr>
                <w:sz w:val="18"/>
              </w:rPr>
              <w:t xml:space="preserve">Below 12%; CHT care-transition protocol statewide</w:t>
            </w:r>
          </w:p>
        </w:tc>
        <w:tc>
          <w:tcPr>
            <w:tcW w:w="1701" w:type="dxa"/>
          </w:tcPr>
          <w:p>
            <w:pPr>
              <w:pStyle w:val="Compact"/>
              <w:jc w:val="left"/>
            </w:pPr>
            <w:r>
              <w:rPr>
                <w:sz w:val="18"/>
              </w:rPr>
              <w:t xml:space="preserve">GMCB quality data; Blueprint</w:t>
            </w:r>
          </w:p>
        </w:tc>
      </w:tr>
    </w:tbl>
    <w:p>
      <w:pPr>
        <w:pStyle w:val="Caption"/>
      </w:pPr>
      <w:r>
        <w:rPr>
          <w:i/>
          <w:iCs/>
        </w:rPr>
        <w:t xml:space="preserve">Figure F.4 — Clinical-pillar scorecard. Sources: Vermont Blueprint Annual Report 2024; Vermont AHS; GMCB quality reporting; Oliver Wyman workforce analysis.</w:t>
      </w:r>
    </w:p>
    <w:p>
      <w:pPr>
        <w:pStyle w:val="Heading3"/>
      </w:pPr>
      <w:r>
        <w:rPr>
          <w:color w:val="161B22"/>
        </w:rPr>
        <w:t xml:space="preserve">F.0.5  </w:t>
      </w:r>
      <w:bookmarkStart w:id="1454" w:name="_Toc1453"/>
      <w:r>
        <w:rPr>
          <w:b/>
          <w:bCs/>
          <w:color w:val="161B22"/>
        </w:rPr>
        <w:t xml:space="preserve">Equity Pillar</w:t>
      </w:r>
      <w:bookmarkEnd w:id="1454"/>
    </w:p>
    <w:tbl>
      <w:tblPr>
        <w:tblStyle w:val="HTRTable"/>
        <w:tblLook w:firstRow="1" w:lastRow="0" w:firstColumn="0" w:lastColumn="0" w:noHBand="0" w:noVBand="1" w:val="0020"/>
        <w:tblW w:w="9072" w:type="dxa"/>
        <w:tblLayout w:type="autofit"/>
      </w:tblPr>
      <w:tblGrid>
        <w:gridCol w:w="1641"/>
        <w:gridCol w:w="1559"/>
        <w:gridCol w:w="1970"/>
        <w:gridCol w:w="2175"/>
        <w:gridCol w:w="1724"/>
      </w:tblGrid>
      <w:tr>
        <w:trPr>
          <w:tblHeader w:val="on"/>
          <w:cantSplit/>
        </w:trPr>
        <w:tc>
          <w:tcPr>
            <w:shd w:val="clear" w:color="auto" w:fill="1B3A6B"/>
            <w:tcW w:w="1641" w:type="dxa"/>
          </w:tcPr>
          <w:p>
            <w:pPr>
              <w:pStyle w:val="Compact"/>
              <w:jc w:val="left"/>
            </w:pPr>
            <w:r>
              <w:rPr>
                <w:b/>
                <w:color w:val="FFFFFF"/>
                <w:sz w:val="18"/>
              </w:rPr>
              <w:t xml:space="preserve">Metric</w:t>
            </w:r>
          </w:p>
        </w:tc>
        <w:tc>
          <w:tcPr>
            <w:shd w:val="clear" w:color="auto" w:fill="1B3A6B"/>
            <w:tcW w:w="1559" w:type="dxa"/>
          </w:tcPr>
          <w:p>
            <w:pPr>
              <w:pStyle w:val="Compact"/>
              <w:jc w:val="left"/>
            </w:pPr>
            <w:r>
              <w:rPr>
                <w:b/>
                <w:color w:val="FFFFFF"/>
                <w:sz w:val="18"/>
              </w:rPr>
              <w:t xml:space="preserve">2022 baseline</w:t>
            </w:r>
          </w:p>
        </w:tc>
        <w:tc>
          <w:tcPr>
            <w:shd w:val="clear" w:color="auto" w:fill="1B3A6B"/>
            <w:tcW w:w="1970" w:type="dxa"/>
          </w:tcPr>
          <w:p>
            <w:pPr>
              <w:pStyle w:val="Compact"/>
              <w:jc w:val="left"/>
            </w:pPr>
            <w:r>
              <w:rPr>
                <w:b/>
                <w:color w:val="FFFFFF"/>
                <w:sz w:val="18"/>
              </w:rPr>
              <w:t xml:space="preserve">2026 status</w:t>
            </w:r>
          </w:p>
        </w:tc>
        <w:tc>
          <w:tcPr>
            <w:shd w:val="clear" w:color="auto" w:fill="1B3A6B"/>
            <w:tcW w:w="2175" w:type="dxa"/>
          </w:tcPr>
          <w:p>
            <w:pPr>
              <w:pStyle w:val="Compact"/>
              <w:jc w:val="left"/>
            </w:pPr>
            <w:r>
              <w:rPr>
                <w:b/>
                <w:color w:val="FFFFFF"/>
                <w:sz w:val="18"/>
              </w:rPr>
              <w:t xml:space="preserve">2028 target</w:t>
            </w:r>
          </w:p>
        </w:tc>
        <w:tc>
          <w:tcPr>
            <w:shd w:val="clear" w:color="auto" w:fill="1B3A6B"/>
            <w:tcW w:w="1724" w:type="dxa"/>
          </w:tcPr>
          <w:p>
            <w:pPr>
              <w:pStyle w:val="Compact"/>
              <w:jc w:val="left"/>
            </w:pPr>
            <w:r>
              <w:rPr>
                <w:b/>
                <w:color w:val="FFFFFF"/>
                <w:sz w:val="18"/>
              </w:rPr>
              <w:t xml:space="preserve">Source</w:t>
            </w:r>
          </w:p>
        </w:tc>
      </w:tr>
      <w:tr>
        <w:trPr>
          <w:cantSplit/>
        </w:trPr>
        <w:tc>
          <w:tcPr>
            <w:tcW w:w="1641" w:type="dxa"/>
          </w:tcPr>
          <w:p>
            <w:pPr>
              <w:pStyle w:val="Compact"/>
              <w:jc w:val="left"/>
            </w:pPr>
            <w:r>
              <w:rPr>
                <w:sz w:val="18"/>
              </w:rPr>
              <w:t xml:space="preserve">Primary-care access — statewide</w:t>
            </w:r>
          </w:p>
        </w:tc>
        <w:tc>
          <w:tcPr>
            <w:tcW w:w="1559" w:type="dxa"/>
          </w:tcPr>
          <w:p>
            <w:pPr>
              <w:pStyle w:val="Compact"/>
              <w:jc w:val="left"/>
            </w:pPr>
            <w:r>
              <w:rPr>
                <w:sz w:val="18"/>
              </w:rPr>
              <w:t xml:space="preserve">91% (4 pts above benchmark)</w:t>
            </w:r>
          </w:p>
        </w:tc>
        <w:tc>
          <w:tcPr>
            <w:tcW w:w="1970" w:type="dxa"/>
          </w:tcPr>
          <w:p>
            <w:pPr>
              <w:pStyle w:val="Compact"/>
              <w:jc w:val="left"/>
            </w:pPr>
            <w:r>
              <w:rPr>
                <w:sz w:val="18"/>
              </w:rPr>
              <w:t xml:space="preserve">91% (stable)</w:t>
            </w:r>
          </w:p>
        </w:tc>
        <w:tc>
          <w:tcPr>
            <w:tcW w:w="2175" w:type="dxa"/>
          </w:tcPr>
          <w:p>
            <w:pPr>
              <w:pStyle w:val="Compact"/>
              <w:jc w:val="left"/>
            </w:pPr>
            <w:r>
              <w:rPr>
                <w:sz w:val="18"/>
              </w:rPr>
              <w:t xml:space="preserve">93%+; gap to benchmark maintained</w:t>
            </w:r>
          </w:p>
        </w:tc>
        <w:tc>
          <w:tcPr>
            <w:tcW w:w="1724" w:type="dxa"/>
          </w:tcPr>
          <w:p>
            <w:pPr>
              <w:pStyle w:val="Compact"/>
              <w:jc w:val="left"/>
            </w:pPr>
            <w:r>
              <w:rPr>
                <w:sz w:val="18"/>
              </w:rPr>
              <w:t xml:space="preserve">Vermont DOH Health Equity Data Report 2025</w:t>
            </w:r>
          </w:p>
        </w:tc>
      </w:tr>
      <w:tr>
        <w:trPr>
          <w:cantSplit/>
        </w:trPr>
        <w:tc>
          <w:tcPr>
            <w:tcW w:w="1641" w:type="dxa"/>
          </w:tcPr>
          <w:p>
            <w:pPr>
              <w:pStyle w:val="Compact"/>
              <w:jc w:val="left"/>
            </w:pPr>
            <w:r>
              <w:rPr>
                <w:sz w:val="18"/>
              </w:rPr>
              <w:t xml:space="preserve">Primary-care access — BIPOC adults</w:t>
            </w:r>
          </w:p>
        </w:tc>
        <w:tc>
          <w:tcPr>
            <w:tcW w:w="1559" w:type="dxa"/>
          </w:tcPr>
          <w:p>
            <w:pPr>
              <w:pStyle w:val="Compact"/>
              <w:jc w:val="left"/>
            </w:pPr>
            <w:r>
              <w:rPr>
                <w:sz w:val="18"/>
              </w:rPr>
              <w:t xml:space="preserve">79–81% (11–12 pt gap vs. white adults)</w:t>
            </w:r>
          </w:p>
        </w:tc>
        <w:tc>
          <w:tcPr>
            <w:tcW w:w="1970" w:type="dxa"/>
          </w:tcPr>
          <w:p>
            <w:pPr>
              <w:pStyle w:val="Compact"/>
              <w:jc w:val="left"/>
            </w:pPr>
            <w:r>
              <w:rPr>
                <w:sz w:val="18"/>
              </w:rPr>
              <w:t xml:space="preserve">79–81% (gap unchanged)</w:t>
            </w:r>
          </w:p>
        </w:tc>
        <w:tc>
          <w:tcPr>
            <w:tcW w:w="2175" w:type="dxa"/>
          </w:tcPr>
          <w:p>
            <w:pPr>
              <w:pStyle w:val="Compact"/>
              <w:jc w:val="left"/>
            </w:pPr>
            <w:r>
              <w:rPr>
                <w:sz w:val="18"/>
              </w:rPr>
              <w:t xml:space="preserve">Gap &lt;6 pts; 87%+ BIPOC access</w:t>
            </w:r>
          </w:p>
        </w:tc>
        <w:tc>
          <w:tcPr>
            <w:tcW w:w="1724" w:type="dxa"/>
          </w:tcPr>
          <w:p>
            <w:pPr>
              <w:pStyle w:val="Compact"/>
              <w:jc w:val="left"/>
            </w:pPr>
            <w:r>
              <w:rPr>
                <w:sz w:val="18"/>
              </w:rPr>
              <w:t xml:space="preserve">Vermont DOH Health Equity Data Report 2025</w:t>
            </w:r>
          </w:p>
        </w:tc>
      </w:tr>
      <w:tr>
        <w:trPr>
          <w:cantSplit/>
        </w:trPr>
        <w:tc>
          <w:tcPr>
            <w:tcW w:w="1641" w:type="dxa"/>
          </w:tcPr>
          <w:p>
            <w:pPr>
              <w:pStyle w:val="Compact"/>
              <w:jc w:val="left"/>
            </w:pPr>
            <w:r>
              <w:rPr>
                <w:sz w:val="18"/>
              </w:rPr>
              <w:t xml:space="preserve">Essex County uninsurance</w:t>
            </w:r>
          </w:p>
        </w:tc>
        <w:tc>
          <w:tcPr>
            <w:tcW w:w="1559" w:type="dxa"/>
          </w:tcPr>
          <w:p>
            <w:pPr>
              <w:pStyle w:val="Compact"/>
              <w:jc w:val="left"/>
            </w:pPr>
            <w:r>
              <w:rPr>
                <w:sz w:val="18"/>
              </w:rPr>
              <w:t xml:space="preserve">8% (highest in Vermont)</w:t>
            </w:r>
          </w:p>
        </w:tc>
        <w:tc>
          <w:tcPr>
            <w:tcW w:w="1970" w:type="dxa"/>
          </w:tcPr>
          <w:p>
            <w:pPr>
              <w:pStyle w:val="Compact"/>
              <w:jc w:val="left"/>
            </w:pPr>
            <w:r>
              <w:rPr>
                <w:sz w:val="18"/>
              </w:rPr>
              <w:t xml:space="preserve">8% (unchanged)</w:t>
            </w:r>
          </w:p>
        </w:tc>
        <w:tc>
          <w:tcPr>
            <w:tcW w:w="2175" w:type="dxa"/>
          </w:tcPr>
          <w:p>
            <w:pPr>
              <w:pStyle w:val="Compact"/>
              <w:jc w:val="left"/>
            </w:pPr>
            <w:r>
              <w:rPr>
                <w:sz w:val="18"/>
              </w:rPr>
              <w:t xml:space="preserve">Below 5%; CCBHC/FQHC expansion in NEK</w:t>
            </w:r>
          </w:p>
        </w:tc>
        <w:tc>
          <w:tcPr>
            <w:tcW w:w="1724" w:type="dxa"/>
          </w:tcPr>
          <w:p>
            <w:pPr>
              <w:pStyle w:val="Compact"/>
              <w:jc w:val="left"/>
            </w:pPr>
            <w:r>
              <w:rPr>
                <w:sz w:val="18"/>
              </w:rPr>
              <w:t xml:space="preserve">Vermont DOH county data</w:t>
            </w:r>
          </w:p>
        </w:tc>
      </w:tr>
      <w:tr>
        <w:trPr>
          <w:cantSplit/>
        </w:trPr>
        <w:tc>
          <w:tcPr>
            <w:tcW w:w="1641" w:type="dxa"/>
          </w:tcPr>
          <w:p>
            <w:pPr>
              <w:pStyle w:val="Compact"/>
              <w:jc w:val="left"/>
            </w:pPr>
            <w:r>
              <w:rPr>
                <w:sz w:val="18"/>
              </w:rPr>
              <w:t xml:space="preserve">HEROI equity scoring</w:t>
            </w:r>
          </w:p>
        </w:tc>
        <w:tc>
          <w:tcPr>
            <w:tcW w:w="1559" w:type="dxa"/>
          </w:tcPr>
          <w:p>
            <w:pPr>
              <w:pStyle w:val="Compact"/>
              <w:jc w:val="left"/>
            </w:pPr>
            <w:r>
              <w:rPr>
                <w:sz w:val="18"/>
              </w:rPr>
              <w:t xml:space="preserve">No systematic HSA-level measurement</w:t>
            </w:r>
          </w:p>
        </w:tc>
        <w:tc>
          <w:tcPr>
            <w:tcW w:w="1970" w:type="dxa"/>
          </w:tcPr>
          <w:p>
            <w:pPr>
              <w:pStyle w:val="Compact"/>
              <w:jc w:val="left"/>
            </w:pPr>
            <w:r>
              <w:rPr>
                <w:sz w:val="18"/>
              </w:rPr>
              <w:t xml:space="preserve">HEROI framework developed; scoring underway</w:t>
            </w:r>
          </w:p>
        </w:tc>
        <w:tc>
          <w:tcPr>
            <w:tcW w:w="2175" w:type="dxa"/>
          </w:tcPr>
          <w:p>
            <w:pPr>
              <w:pStyle w:val="Compact"/>
              <w:jc w:val="left"/>
            </w:pPr>
            <w:r>
              <w:rPr>
                <w:sz w:val="18"/>
              </w:rPr>
              <w:t xml:space="preserve">HEROI scores for all 14 HSAs; gaps documented in plan</w:t>
            </w:r>
          </w:p>
        </w:tc>
        <w:tc>
          <w:tcPr>
            <w:tcW w:w="1724" w:type="dxa"/>
          </w:tcPr>
          <w:p>
            <w:pPr>
              <w:pStyle w:val="Compact"/>
              <w:jc w:val="left"/>
            </w:pPr>
            <w:r>
              <w:rPr>
                <w:sz w:val="18"/>
              </w:rPr>
              <w:t xml:space="preserve">HTR HEROI framework; GMCB equity reporting</w:t>
            </w:r>
          </w:p>
        </w:tc>
      </w:tr>
      <w:tr>
        <w:trPr>
          <w:cantSplit/>
        </w:trPr>
        <w:tc>
          <w:tcPr>
            <w:tcW w:w="1641" w:type="dxa"/>
          </w:tcPr>
          <w:p>
            <w:pPr>
              <w:pStyle w:val="Compact"/>
              <w:jc w:val="left"/>
            </w:pPr>
            <w:r>
              <w:rPr>
                <w:sz w:val="18"/>
              </w:rPr>
              <w:t xml:space="preserve">HRSN screening coverage</w:t>
            </w:r>
          </w:p>
        </w:tc>
        <w:tc>
          <w:tcPr>
            <w:tcW w:w="1559" w:type="dxa"/>
          </w:tcPr>
          <w:p>
            <w:pPr>
              <w:pStyle w:val="Compact"/>
              <w:jc w:val="left"/>
            </w:pPr>
            <w:r>
              <w:rPr>
                <w:sz w:val="18"/>
              </w:rPr>
              <w:t xml:space="preserve">Minimal systematic SDOH screening</w:t>
            </w:r>
          </w:p>
        </w:tc>
        <w:tc>
          <w:tcPr>
            <w:tcW w:w="1970" w:type="dxa"/>
          </w:tcPr>
          <w:p>
            <w:pPr>
              <w:pStyle w:val="Compact"/>
              <w:jc w:val="left"/>
            </w:pPr>
            <w:r>
              <w:rPr>
                <w:sz w:val="18"/>
              </w:rPr>
              <w:t xml:space="preserve">Blueprint HRSN screening: 60%+ of practices</w:t>
            </w:r>
          </w:p>
        </w:tc>
        <w:tc>
          <w:tcPr>
            <w:tcW w:w="2175" w:type="dxa"/>
          </w:tcPr>
          <w:p>
            <w:pPr>
              <w:pStyle w:val="Compact"/>
              <w:jc w:val="left"/>
            </w:pPr>
            <w:r>
              <w:rPr>
                <w:sz w:val="18"/>
              </w:rPr>
              <w:t xml:space="preserve">Universal HRSN screening at all Blueprint PCMHs</w:t>
            </w:r>
          </w:p>
        </w:tc>
        <w:tc>
          <w:tcPr>
            <w:tcW w:w="1724" w:type="dxa"/>
          </w:tcPr>
          <w:p>
            <w:pPr>
              <w:pStyle w:val="Compact"/>
              <w:jc w:val="left"/>
            </w:pPr>
            <w:r>
              <w:rPr>
                <w:sz w:val="18"/>
              </w:rPr>
              <w:t xml:space="preserve">Vermont Blueprint Annual Report 2024</w:t>
            </w:r>
          </w:p>
        </w:tc>
      </w:tr>
      <w:tr>
        <w:trPr>
          <w:cantSplit/>
        </w:trPr>
        <w:tc>
          <w:tcPr>
            <w:tcW w:w="1641" w:type="dxa"/>
          </w:tcPr>
          <w:p>
            <w:pPr>
              <w:pStyle w:val="Compact"/>
              <w:jc w:val="left"/>
            </w:pPr>
            <w:r>
              <w:rPr>
                <w:sz w:val="18"/>
              </w:rPr>
              <w:t xml:space="preserve">Social-risk adjustment in global budgets</w:t>
            </w:r>
          </w:p>
        </w:tc>
        <w:tc>
          <w:tcPr>
            <w:tcW w:w="1559" w:type="dxa"/>
          </w:tcPr>
          <w:p>
            <w:pPr>
              <w:pStyle w:val="Compact"/>
              <w:jc w:val="left"/>
            </w:pPr>
            <w:r>
              <w:rPr>
                <w:sz w:val="18"/>
              </w:rPr>
              <w:t xml:space="preserve">N/A (no global budgets)</w:t>
            </w:r>
          </w:p>
        </w:tc>
        <w:tc>
          <w:tcPr>
            <w:tcW w:w="1970" w:type="dxa"/>
          </w:tcPr>
          <w:p>
            <w:pPr>
              <w:pStyle w:val="Compact"/>
              <w:jc w:val="left"/>
            </w:pPr>
            <w:r>
              <w:rPr>
                <w:sz w:val="18"/>
              </w:rPr>
              <w:t xml:space="preserve">Methodology under design; active policy question</w:t>
            </w:r>
          </w:p>
        </w:tc>
        <w:tc>
          <w:tcPr>
            <w:tcW w:w="2175" w:type="dxa"/>
          </w:tcPr>
          <w:p>
            <w:pPr>
              <w:pStyle w:val="Compact"/>
              <w:jc w:val="left"/>
            </w:pPr>
            <w:r>
              <w:rPr>
                <w:sz w:val="18"/>
              </w:rPr>
              <w:t xml:space="preserve">SRA embedded in FY2028 global-budget methodology</w:t>
            </w:r>
          </w:p>
        </w:tc>
        <w:tc>
          <w:tcPr>
            <w:tcW w:w="1724" w:type="dxa"/>
          </w:tcPr>
          <w:p>
            <w:pPr>
              <w:pStyle w:val="Compact"/>
              <w:jc w:val="left"/>
            </w:pPr>
            <w:r>
              <w:rPr>
                <w:sz w:val="18"/>
              </w:rPr>
              <w:t xml:space="preserve">Act 68; GMCB design process</w:t>
            </w:r>
          </w:p>
        </w:tc>
      </w:tr>
    </w:tbl>
    <w:p>
      <w:pPr>
        <w:pStyle w:val="Caption"/>
      </w:pPr>
      <w:r>
        <w:rPr>
          <w:i/>
          <w:iCs/>
        </w:rPr>
        <w:t xml:space="preserve">Figure F.5 — Equity-pillar scorecard. Sources: Vermont DOH Health Equity Data Report (January 2025); Act 68; GMCB equity reporting; HTR HEROI framework.</w:t>
      </w:r>
    </w:p>
    <w:p>
      <w:pPr>
        <w:pStyle w:val="Heading3"/>
      </w:pPr>
      <w:r>
        <w:rPr>
          <w:color w:val="161B22"/>
        </w:rPr>
        <w:t xml:space="preserve">F.0.6  </w:t>
      </w:r>
      <w:bookmarkStart w:id="1455" w:name="_Toc1454"/>
      <w:r>
        <w:rPr>
          <w:b/>
          <w:bCs/>
          <w:color w:val="161B22"/>
        </w:rPr>
        <w:t xml:space="preserve">Operations Pillar</w:t>
      </w:r>
      <w:bookmarkEnd w:id="1455"/>
    </w:p>
    <w:tbl>
      <w:tblPr>
        <w:tblStyle w:val="HTRTable"/>
        <w:tblLook w:firstRow="1" w:lastRow="0" w:firstColumn="0" w:lastColumn="0" w:noHBand="0" w:noVBand="1" w:val="0020"/>
        <w:tblW w:w="9072" w:type="dxa"/>
        <w:tblLayout w:type="autofit"/>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cantSplit/>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cantSplit/>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cantSplit/>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cantSplit/>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56" w:name="_Toc1455"/>
      <w:r>
        <w:rPr>
          <w:b/>
          <w:bCs/>
          <w:color w:val="161B22"/>
        </w:rPr>
        <w:t xml:space="preserve">Appendix G — A Reader’s Guide to the Health Transformation Review Platform</w:t>
      </w:r>
      <w:bookmarkEnd w:id="1456"/>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57" w:name="_Toc1456"/>
      <w:r>
        <w:rPr>
          <w:b/>
          <w:bCs/>
          <w:color w:val="161B22"/>
        </w:rPr>
        <w:t xml:space="preserve">What This Platform Is</w:t>
      </w:r>
      <w:bookmarkEnd w:id="1457"/>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58" w:name="_Toc1457"/>
      <w:r>
        <w:rPr>
          <w:b/>
          <w:bCs/>
          <w:color w:val="161B22"/>
        </w:rPr>
        <w:t xml:space="preserve">Navigating the Platform</w:t>
      </w:r>
      <w:bookmarkEnd w:id="1458"/>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pPr>
      <w:r>
        <w:rPr>
          <w:color w:val="161B22"/>
        </w:rPr>
        <w:t xml:space="preserve">G.3  </w:t>
      </w:r>
      <w:bookmarkStart w:id="1459" w:name="_Toc1458"/>
      <w:r>
        <w:rPr>
          <w:b/>
          <w:bCs/>
          <w:color w:val="161B22"/>
        </w:rPr>
        <w:t xml:space="preserve">The Six Pillars of Intelligence</w:t>
      </w:r>
      <w:bookmarkEnd w:id="1459"/>
    </w:p>
    <w:p>
      <w:pPr>
        <w:pStyle w:val="FirstParagraph"/>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autofit"/>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cantSplit/>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cantSplit/>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cantSplit/>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cantSplit/>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60" w:name="_Toc1459"/>
      <w:r>
        <w:rPr>
          <w:b/>
          <w:bCs/>
          <w:color w:val="161B22"/>
        </w:rPr>
        <w:t xml:space="preserve">The Academy</w:t>
      </w:r>
      <w:bookmarkEnd w:id="1460"/>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61" w:name="_Toc1460"/>
      <w:r>
        <w:rPr>
          <w:b/>
          <w:bCs/>
          <w:color w:val="161B22"/>
        </w:rPr>
        <w:t xml:space="preserve">The Research Lab</w:t>
      </w:r>
      <w:bookmarkEnd w:id="1461"/>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62" w:name="_Toc1461"/>
      <w:r>
        <w:rPr>
          <w:b/>
          <w:bCs/>
          <w:color w:val="161B22"/>
        </w:rPr>
        <w:t xml:space="preserve">States &amp; Programs</w:t>
      </w:r>
      <w:bookmarkEnd w:id="1462"/>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63" w:name="_Toc1462"/>
      <w:r>
        <w:rPr>
          <w:b/>
          <w:bCs/>
          <w:color w:val="161B22"/>
        </w:rPr>
        <w:t xml:space="preserve">Advisory &amp; Services and the AI Analyst</w:t>
      </w:r>
      <w:bookmarkEnd w:id="1463"/>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64" w:name="_Toc1463"/>
      <w:r>
        <w:rPr>
          <w:b/>
          <w:bCs/>
          <w:color w:val="161B22"/>
        </w:rPr>
        <w:t xml:space="preserve">Reader Profiles and Recommended Paths</w:t>
      </w:r>
      <w:bookmarkEnd w:id="1464"/>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65" w:name="_Toc1464"/>
      <w:r>
        <w:rPr>
          <w:b/>
          <w:bCs/>
          <w:color w:val="161B22"/>
        </w:rPr>
        <w:t xml:space="preserve">Appendix H — Adapting and Stress-Testing the Framework</w:t>
      </w:r>
      <w:bookmarkEnd w:id="1465"/>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pPr>
      <w:r>
        <w:rPr>
          <w:color w:val="161B22"/>
        </w:rPr>
        <w:t xml:space="preserve">H.1  </w:t>
      </w:r>
      <w:bookmarkStart w:id="1466" w:name="_Toc1465"/>
      <w:r>
        <w:rPr>
          <w:b/>
          <w:bCs/>
          <w:color w:val="161B22"/>
        </w:rPr>
        <w:t xml:space="preserve">H.1 Glossary of Vermont-Specific Acronyms and Institutions</w:t>
      </w:r>
      <w:bookmarkEnd w:id="1466"/>
    </w:p>
    <w:p>
      <w:pPr>
        <w:pStyle w:val="FirstParagraph"/>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autofit"/>
      </w:tblPr>
      <w:tblGrid>
        <w:gridCol w:w="1765"/>
        <w:gridCol w:w="3653"/>
        <w:gridCol w:w="3653"/>
      </w:tblGrid>
      <w:tr>
        <w:trPr>
          <w:tblHeader w:val="on"/>
        </w:trPr>
        <w:tc>
          <w:tcPr>
            <w:shd w:val="clear" w:color="auto" w:fill="1B3A6B"/>
            <w:tcW w:w="1765" w:type="dxa"/>
          </w:tcPr>
          <w:p>
            <w:pPr>
              <w:pStyle w:val="Compact"/>
              <w:jc w:val="left"/>
            </w:pPr>
            <w:r>
              <w:rPr>
                <w:b/>
                <w:color w:val="FFFFFF"/>
                <w:sz w:val="18"/>
              </w:rPr>
              <w:t xml:space="preserve">Term</w:t>
            </w:r>
          </w:p>
        </w:tc>
        <w:tc>
          <w:tcPr>
            <w:shd w:val="clear" w:color="auto" w:fill="1B3A6B"/>
            <w:tcW w:w="3653" w:type="dxa"/>
          </w:tcPr>
          <w:p>
            <w:pPr>
              <w:pStyle w:val="Compact"/>
              <w:jc w:val="left"/>
            </w:pPr>
            <w:r>
              <w:rPr>
                <w:b/>
                <w:color w:val="FFFFFF"/>
                <w:sz w:val="18"/>
              </w:rPr>
              <w:t xml:space="preserve">What it is</w:t>
            </w:r>
          </w:p>
        </w:tc>
        <w:tc>
          <w:tcPr>
            <w:shd w:val="clear" w:color="auto" w:fill="1B3A6B"/>
            <w:tcW w:w="3653" w:type="dxa"/>
          </w:tcPr>
          <w:p>
            <w:pPr>
              <w:pStyle w:val="Compact"/>
              <w:jc w:val="left"/>
            </w:pPr>
            <w:r>
              <w:rPr>
                <w:b/>
                <w:color w:val="FFFFFF"/>
                <w:sz w:val="18"/>
              </w:rPr>
              <w:t xml:space="preserve">Generic equivalent</w:t>
            </w:r>
          </w:p>
        </w:tc>
      </w:tr>
      <w:tr>
        <w:trPr/>
        <w:tc>
          <w:tcPr>
            <w:tcW w:w="1765" w:type="dxa"/>
          </w:tcPr>
          <w:p>
            <w:pPr>
              <w:pStyle w:val="Compact"/>
              <w:jc w:val="left"/>
            </w:pPr>
            <w:r>
              <w:rPr>
                <w:b/>
                <w:bCs/>
                <w:sz w:val="18"/>
              </w:rPr>
              <w:t xml:space="preserve">AHS</w:t>
            </w:r>
          </w:p>
        </w:tc>
        <w:tc>
          <w:tcPr>
            <w:tcW w:w="3653" w:type="dxa"/>
          </w:tcPr>
          <w:p>
            <w:pPr>
              <w:pStyle w:val="Compact"/>
              <w:jc w:val="left"/>
            </w:pPr>
            <w:r>
              <w:rPr>
                <w:sz w:val="18"/>
              </w:rPr>
              <w:t xml:space="preserve">Vermont Agency of Human Services — the umbrella state agency now responsible for statewide healthcare transformation planning under Act 68.</w:t>
            </w:r>
          </w:p>
        </w:tc>
        <w:tc>
          <w:tcPr>
            <w:tcW w:w="3653" w:type="dxa"/>
          </w:tcPr>
          <w:p>
            <w:pPr>
              <w:pStyle w:val="Compact"/>
              <w:jc w:val="left"/>
            </w:pPr>
            <w:r>
              <w:rPr>
                <w:sz w:val="18"/>
              </w:rPr>
              <w:t xml:space="preserve">Your state’s health and human services department, or whichever agency holds the AHEAD/CMMI agreement.</w:t>
            </w:r>
          </w:p>
        </w:tc>
      </w:tr>
      <w:tr>
        <w:trPr/>
        <w:tc>
          <w:tcPr>
            <w:tcW w:w="1765" w:type="dxa"/>
          </w:tcPr>
          <w:p>
            <w:pPr>
              <w:pStyle w:val="Compact"/>
              <w:jc w:val="left"/>
            </w:pPr>
            <w:r>
              <w:rPr>
                <w:b/>
                <w:bCs/>
                <w:sz w:val="18"/>
              </w:rPr>
              <w:t xml:space="preserve">GMCB</w:t>
            </w:r>
          </w:p>
        </w:tc>
        <w:tc>
          <w:tcPr>
            <w:tcW w:w="3653" w:type="dxa"/>
          </w:tcPr>
          <w:p>
            <w:pPr>
              <w:pStyle w:val="Compact"/>
              <w:jc w:val="left"/>
            </w:pPr>
            <w:r>
              <w:rPr>
                <w:sz w:val="18"/>
              </w:rPr>
              <w:t xml:space="preserve">Green Mountain Care Board — Vermont’s independent hospital rate-setting and cost-growth-benchmark regulator.</w:t>
            </w:r>
          </w:p>
        </w:tc>
        <w:tc>
          <w:tcPr>
            <w:tcW w:w="3653" w:type="dxa"/>
          </w:tcPr>
          <w:p>
            <w:pPr>
              <w:pStyle w:val="Compact"/>
              <w:jc w:val="left"/>
            </w:pPr>
            <w:r>
              <w:rPr>
                <w:sz w:val="18"/>
              </w:rPr>
              <w:t xml:space="preserve">A hospital rate-review board or cost-growth-benchmark commission (e.g., Massachusetts HPC, Rhode Island OHIC, Connecticut OHS).</w:t>
            </w:r>
          </w:p>
        </w:tc>
      </w:tr>
      <w:tr>
        <w:trPr/>
        <w:tc>
          <w:tcPr>
            <w:tcW w:w="1765" w:type="dxa"/>
          </w:tcPr>
          <w:p>
            <w:pPr>
              <w:pStyle w:val="Compact"/>
              <w:jc w:val="left"/>
            </w:pPr>
            <w:r>
              <w:rPr>
                <w:b/>
                <w:bCs/>
                <w:sz w:val="18"/>
              </w:rPr>
              <w:t xml:space="preserve">VHCURES</w:t>
            </w:r>
          </w:p>
        </w:tc>
        <w:tc>
          <w:tcPr>
            <w:tcW w:w="3653" w:type="dxa"/>
          </w:tcPr>
          <w:p>
            <w:pPr>
              <w:pStyle w:val="Compact"/>
              <w:jc w:val="left"/>
            </w:pPr>
            <w:r>
              <w:rPr>
                <w:sz w:val="18"/>
              </w:rPr>
              <w:t xml:space="preserve">Vermont’s all-payer claims database (APCD).</w:t>
            </w:r>
          </w:p>
        </w:tc>
        <w:tc>
          <w:tcPr>
            <w:tcW w:w="3653" w:type="dxa"/>
          </w:tcPr>
          <w:p>
            <w:pPr>
              <w:pStyle w:val="Compact"/>
              <w:jc w:val="left"/>
            </w:pPr>
            <w:r>
              <w:rPr>
                <w:sz w:val="18"/>
              </w:rPr>
              <w:t xml:space="preserve">Your state’s APCD, if one exists; roughly 20 states have one.</w:t>
            </w:r>
          </w:p>
        </w:tc>
      </w:tr>
      <w:tr>
        <w:trPr/>
        <w:tc>
          <w:tcPr>
            <w:tcW w:w="1765" w:type="dxa"/>
          </w:tcPr>
          <w:p>
            <w:pPr>
              <w:pStyle w:val="Compact"/>
              <w:jc w:val="left"/>
            </w:pPr>
            <w:r>
              <w:rPr>
                <w:b/>
                <w:bCs/>
                <w:sz w:val="18"/>
              </w:rPr>
              <w:t xml:space="preserve">VITL</w:t>
            </w:r>
          </w:p>
        </w:tc>
        <w:tc>
          <w:tcPr>
            <w:tcW w:w="3653" w:type="dxa"/>
          </w:tcPr>
          <w:p>
            <w:pPr>
              <w:pStyle w:val="Compact"/>
              <w:jc w:val="left"/>
            </w:pPr>
            <w:r>
              <w:rPr>
                <w:sz w:val="18"/>
              </w:rPr>
              <w:t xml:space="preserve">Vermont Information Technology Leaders — operator of Vermont’s health information exchange.</w:t>
            </w:r>
          </w:p>
        </w:tc>
        <w:tc>
          <w:tcPr>
            <w:tcW w:w="3653" w:type="dxa"/>
          </w:tcPr>
          <w:p>
            <w:pPr>
              <w:pStyle w:val="Compact"/>
              <w:jc w:val="left"/>
            </w:pPr>
            <w:r>
              <w:rPr>
                <w:sz w:val="18"/>
              </w:rPr>
              <w:t xml:space="preserve">Your state’s designated HIE entity.</w:t>
            </w:r>
          </w:p>
        </w:tc>
      </w:tr>
      <w:tr>
        <w:trPr/>
        <w:tc>
          <w:tcPr>
            <w:tcW w:w="1765" w:type="dxa"/>
          </w:tcPr>
          <w:p>
            <w:pPr>
              <w:pStyle w:val="Compact"/>
              <w:jc w:val="left"/>
            </w:pPr>
            <w:r>
              <w:rPr>
                <w:b/>
                <w:bCs/>
                <w:sz w:val="18"/>
              </w:rPr>
              <w:t xml:space="preserve">OneCare (Vermont)</w:t>
            </w:r>
          </w:p>
        </w:tc>
        <w:tc>
          <w:tcPr>
            <w:tcW w:w="3653" w:type="dxa"/>
          </w:tcPr>
          <w:p>
            <w:pPr>
              <w:pStyle w:val="Compact"/>
              <w:jc w:val="left"/>
            </w:pPr>
            <w:r>
              <w:rPr>
                <w:sz w:val="18"/>
              </w:rPr>
              <w:t xml:space="preserve">Vermont’s primary ACO under the All-Payer ACO Model (2017–2025), now wound down.</w:t>
            </w:r>
          </w:p>
        </w:tc>
        <w:tc>
          <w:tcPr>
            <w:tcW w:w="3653" w:type="dxa"/>
          </w:tcPr>
          <w:p>
            <w:pPr>
              <w:pStyle w:val="Compact"/>
              <w:jc w:val="left"/>
            </w:pPr>
            <w:r>
              <w:rPr>
                <w:sz w:val="18"/>
              </w:rPr>
              <w:t xml:space="preserve">Any Medicaid ACO, MSSP ACO, or comparable total-cost-of-care entity in your state.</w:t>
            </w:r>
          </w:p>
        </w:tc>
      </w:tr>
      <w:tr>
        <w:trPr/>
        <w:tc>
          <w:tcPr>
            <w:tcW w:w="1765" w:type="dxa"/>
          </w:tcPr>
          <w:p>
            <w:pPr>
              <w:pStyle w:val="Compact"/>
              <w:jc w:val="left"/>
            </w:pPr>
            <w:r>
              <w:rPr>
                <w:b/>
                <w:bCs/>
                <w:sz w:val="18"/>
              </w:rPr>
              <w:t xml:space="preserve">AHEAD Model</w:t>
            </w:r>
          </w:p>
        </w:tc>
        <w:tc>
          <w:tcPr>
            <w:tcW w:w="3653" w:type="dxa"/>
          </w:tcPr>
          <w:p>
            <w:pPr>
              <w:pStyle w:val="Compact"/>
              <w:jc w:val="left"/>
            </w:pPr>
            <w:r>
              <w:rPr>
                <w:sz w:val="18"/>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jc w:val="left"/>
            </w:pPr>
            <w:r>
              <w:rPr>
                <w:sz w:val="18"/>
              </w:rPr>
              <w:t xml:space="preserve">Check whether your state has applied to or operates under AHEAD; if not, the generic equivalent is a CMMI state total-cost-of-care model or 1115 waiver.</w:t>
            </w:r>
          </w:p>
        </w:tc>
      </w:tr>
      <w:tr>
        <w:trPr/>
        <w:tc>
          <w:tcPr>
            <w:tcW w:w="1765" w:type="dxa"/>
          </w:tcPr>
          <w:p>
            <w:pPr>
              <w:pStyle w:val="Compact"/>
              <w:jc w:val="left"/>
            </w:pPr>
            <w:r>
              <w:rPr>
                <w:b/>
                <w:bCs/>
                <w:sz w:val="18"/>
              </w:rPr>
              <w:t xml:space="preserve">Act 167 (2022)</w:t>
            </w:r>
          </w:p>
        </w:tc>
        <w:tc>
          <w:tcPr>
            <w:tcW w:w="3653" w:type="dxa"/>
          </w:tcPr>
          <w:p>
            <w:pPr>
              <w:pStyle w:val="Compact"/>
              <w:jc w:val="left"/>
            </w:pPr>
            <w:r>
              <w:rPr>
                <w:sz w:val="18"/>
              </w:rPr>
              <w:t xml:space="preserve">Vermont’s diagnostic mandate — commissioned the Oliver Wyman system-wide financial analysis.</w:t>
            </w:r>
          </w:p>
        </w:tc>
        <w:tc>
          <w:tcPr>
            <w:tcW w:w="3653" w:type="dxa"/>
          </w:tcPr>
          <w:p>
            <w:pPr>
              <w:pStyle w:val="Compact"/>
              <w:jc w:val="left"/>
            </w:pPr>
            <w:r>
              <w:rPr>
                <w:sz w:val="18"/>
              </w:rPr>
              <w:t xml:space="preserve">A legislatively mandated independent system assessment or consultant study.</w:t>
            </w:r>
          </w:p>
        </w:tc>
      </w:tr>
      <w:tr>
        <w:trPr/>
        <w:tc>
          <w:tcPr>
            <w:tcW w:w="1765" w:type="dxa"/>
          </w:tcPr>
          <w:p>
            <w:pPr>
              <w:pStyle w:val="Compact"/>
              <w:jc w:val="left"/>
            </w:pPr>
            <w:r>
              <w:rPr>
                <w:b/>
                <w:bCs/>
                <w:sz w:val="18"/>
              </w:rPr>
              <w:t xml:space="preserve">Act 51 (2023)</w:t>
            </w:r>
          </w:p>
        </w:tc>
        <w:tc>
          <w:tcPr>
            <w:tcW w:w="3653" w:type="dxa"/>
          </w:tcPr>
          <w:p>
            <w:pPr>
              <w:pStyle w:val="Compact"/>
              <w:jc w:val="left"/>
            </w:pPr>
            <w:r>
              <w:rPr>
                <w:sz w:val="18"/>
              </w:rPr>
              <w:t xml:space="preserve">Defined the six-pillar transformation architecture and the AHS restructuring mandate.</w:t>
            </w:r>
          </w:p>
        </w:tc>
        <w:tc>
          <w:tcPr>
            <w:tcW w:w="3653" w:type="dxa"/>
          </w:tcPr>
          <w:p>
            <w:pPr>
              <w:pStyle w:val="Compact"/>
              <w:jc w:val="left"/>
            </w:pPr>
            <w:r>
              <w:rPr>
                <w:sz w:val="18"/>
              </w:rPr>
              <w:t xml:space="preserve">A reform-framework-establishing statute.</w:t>
            </w:r>
          </w:p>
        </w:tc>
      </w:tr>
      <w:tr>
        <w:trPr/>
        <w:tc>
          <w:tcPr>
            <w:tcW w:w="1765" w:type="dxa"/>
          </w:tcPr>
          <w:p>
            <w:pPr>
              <w:pStyle w:val="Compact"/>
              <w:jc w:val="left"/>
            </w:pPr>
            <w:r>
              <w:rPr>
                <w:b/>
                <w:bCs/>
                <w:sz w:val="18"/>
              </w:rPr>
              <w:t xml:space="preserve">Act 68 (2025)</w:t>
            </w:r>
          </w:p>
        </w:tc>
        <w:tc>
          <w:tcPr>
            <w:tcW w:w="3653" w:type="dxa"/>
          </w:tcPr>
          <w:p>
            <w:pPr>
              <w:pStyle w:val="Compact"/>
              <w:jc w:val="left"/>
            </w:pPr>
            <w:r>
              <w:rPr>
                <w:sz w:val="18"/>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jc w:val="left"/>
            </w:pPr>
            <w:r>
              <w:rPr>
                <w:sz w:val="18"/>
              </w:rPr>
              <w:t xml:space="preserve">A binding cost-control or payment-reform statute with statutory deadlines and enforcement authority.</w:t>
            </w:r>
          </w:p>
        </w:tc>
      </w:tr>
      <w:tr>
        <w:trPr/>
        <w:tc>
          <w:tcPr>
            <w:tcW w:w="1765" w:type="dxa"/>
          </w:tcPr>
          <w:p>
            <w:pPr>
              <w:pStyle w:val="Compact"/>
              <w:jc w:val="left"/>
            </w:pPr>
            <w:r>
              <w:rPr>
                <w:b/>
                <w:bCs/>
                <w:sz w:val="18"/>
              </w:rPr>
              <w:t xml:space="preserve">RBP (Reference-Based Pricing)</w:t>
            </w:r>
          </w:p>
        </w:tc>
        <w:tc>
          <w:tcPr>
            <w:tcW w:w="3653" w:type="dxa"/>
          </w:tcPr>
          <w:p>
            <w:pPr>
              <w:pStyle w:val="Compact"/>
              <w:jc w:val="left"/>
            </w:pPr>
            <w:r>
              <w:rPr>
                <w:sz w:val="18"/>
              </w:rPr>
              <w:t xml:space="preserve">Capping what hospitals may accept as payment in full, expressed as a percentage of Medicare rates.</w:t>
            </w:r>
          </w:p>
        </w:tc>
        <w:tc>
          <w:tcPr>
            <w:tcW w:w="3653" w:type="dxa"/>
          </w:tcPr>
          <w:p>
            <w:pPr>
              <w:pStyle w:val="Compact"/>
              <w:jc w:val="left"/>
            </w:pPr>
            <w:r>
              <w:rPr>
                <w:sz w:val="18"/>
              </w:rPr>
              <w:t xml:space="preserve">Same term used nationally; Oregon, Montana, Washington, and Maryland have prior or analogous programs.</w:t>
            </w:r>
          </w:p>
        </w:tc>
      </w:tr>
      <w:tr>
        <w:trPr/>
        <w:tc>
          <w:tcPr>
            <w:tcW w:w="1765" w:type="dxa"/>
          </w:tcPr>
          <w:p>
            <w:pPr>
              <w:pStyle w:val="Compact"/>
              <w:jc w:val="left"/>
            </w:pPr>
            <w:r>
              <w:rPr>
                <w:b/>
                <w:bCs/>
                <w:sz w:val="18"/>
              </w:rPr>
              <w:t xml:space="preserve">CCBHC</w:t>
            </w:r>
          </w:p>
        </w:tc>
        <w:tc>
          <w:tcPr>
            <w:tcW w:w="3653" w:type="dxa"/>
          </w:tcPr>
          <w:p>
            <w:pPr>
              <w:pStyle w:val="Compact"/>
              <w:jc w:val="left"/>
            </w:pPr>
            <w:r>
              <w:rPr>
                <w:sz w:val="18"/>
              </w:rPr>
              <w:t xml:space="preserve">Certified Community Behavioral Health Clinic — a federal model for integrated behavioral health and primary care.</w:t>
            </w:r>
          </w:p>
        </w:tc>
        <w:tc>
          <w:tcPr>
            <w:tcW w:w="3653" w:type="dxa"/>
          </w:tcPr>
          <w:p>
            <w:pPr>
              <w:pStyle w:val="Compact"/>
              <w:jc w:val="left"/>
            </w:pPr>
            <w:r>
              <w:rPr>
                <w:sz w:val="18"/>
              </w:rPr>
              <w:t xml:space="preserve">National model; check your state’s CCBHC participation under SAMHSA.</w:t>
            </w:r>
          </w:p>
        </w:tc>
      </w:tr>
      <w:tr>
        <w:trPr/>
        <w:tc>
          <w:tcPr>
            <w:tcW w:w="1765" w:type="dxa"/>
          </w:tcPr>
          <w:p>
            <w:pPr>
              <w:pStyle w:val="Compact"/>
              <w:jc w:val="left"/>
            </w:pPr>
            <w:r>
              <w:rPr>
                <w:b/>
                <w:bCs/>
                <w:sz w:val="18"/>
              </w:rPr>
              <w:t xml:space="preserve">RHRC</w:t>
            </w:r>
          </w:p>
        </w:tc>
        <w:tc>
          <w:tcPr>
            <w:tcW w:w="3653" w:type="dxa"/>
          </w:tcPr>
          <w:p>
            <w:pPr>
              <w:pStyle w:val="Compact"/>
              <w:jc w:val="left"/>
            </w:pPr>
            <w:r>
              <w:rPr>
                <w:sz w:val="18"/>
              </w:rPr>
              <w:t xml:space="preserve">Rural Health Redesign Center — provides the technical-assistance methodology referenced for Vermont’s rural hospital transformation.</w:t>
            </w:r>
          </w:p>
        </w:tc>
        <w:tc>
          <w:tcPr>
            <w:tcW w:w="3653" w:type="dxa"/>
          </w:tcPr>
          <w:p>
            <w:pPr>
              <w:pStyle w:val="Compact"/>
              <w:jc w:val="left"/>
            </w:pPr>
            <w:r>
              <w:rPr>
                <w:sz w:val="18"/>
              </w:rPr>
              <w:t xml:space="preserve">National technical-assistance provider, not Vermont-specific.</w:t>
            </w:r>
          </w:p>
        </w:tc>
      </w:tr>
      <w:tr>
        <w:trPr/>
        <w:tc>
          <w:tcPr>
            <w:tcW w:w="1765" w:type="dxa"/>
          </w:tcPr>
          <w:p>
            <w:pPr>
              <w:pStyle w:val="Compact"/>
              <w:jc w:val="left"/>
            </w:pPr>
            <w:r>
              <w:rPr>
                <w:b/>
                <w:bCs/>
                <w:sz w:val="18"/>
              </w:rPr>
              <w:t xml:space="preserve">RHT Program</w:t>
            </w:r>
          </w:p>
        </w:tc>
        <w:tc>
          <w:tcPr>
            <w:tcW w:w="3653" w:type="dxa"/>
          </w:tcPr>
          <w:p>
            <w:pPr>
              <w:pStyle w:val="Compact"/>
              <w:jc w:val="left"/>
            </w:pPr>
            <w:r>
              <w:rPr>
                <w:sz w:val="18"/>
              </w:rPr>
              <w:t xml:space="preserve">Rural Health Transformation Program — the federal capital program from which Vermont received a $195M, five-year award.</w:t>
            </w:r>
          </w:p>
        </w:tc>
        <w:tc>
          <w:tcPr>
            <w:tcW w:w="3653" w:type="dxa"/>
          </w:tcPr>
          <w:p>
            <w:pPr>
              <w:pStyle w:val="Compact"/>
              <w:jc w:val="left"/>
            </w:pPr>
            <w:r>
              <w:rPr>
                <w:sz w:val="18"/>
              </w:rPr>
              <w:t xml:space="preserve">Every state was eligible; check your state’s RHT award and use-of-funds plan.</w:t>
            </w:r>
          </w:p>
        </w:tc>
      </w:tr>
      <w:tr>
        <w:trPr/>
        <w:tc>
          <w:tcPr>
            <w:tcW w:w="1765" w:type="dxa"/>
          </w:tcPr>
          <w:p>
            <w:pPr>
              <w:pStyle w:val="Compact"/>
              <w:jc w:val="left"/>
            </w:pPr>
            <w:r>
              <w:rPr>
                <w:b/>
                <w:bCs/>
                <w:sz w:val="18"/>
              </w:rPr>
              <w:t xml:space="preserve">HSA</w:t>
            </w:r>
          </w:p>
        </w:tc>
        <w:tc>
          <w:tcPr>
            <w:tcW w:w="3653" w:type="dxa"/>
          </w:tcPr>
          <w:p>
            <w:pPr>
              <w:pStyle w:val="Compact"/>
              <w:jc w:val="left"/>
            </w:pPr>
            <w:r>
              <w:rPr>
                <w:sz w:val="18"/>
              </w:rPr>
              <w:t xml:space="preserve">Hospital Service Area — Vermont’s 14 sub-state geographic planning units.</w:t>
            </w:r>
          </w:p>
        </w:tc>
        <w:tc>
          <w:tcPr>
            <w:tcW w:w="3653" w:type="dxa"/>
          </w:tcPr>
          <w:p>
            <w:pPr>
              <w:pStyle w:val="Compact"/>
              <w:jc w:val="left"/>
            </w:pPr>
            <w:r>
              <w:rPr>
                <w:sz w:val="18"/>
              </w:rPr>
              <w:t xml:space="preserve">Your state’s hospital referral region or service-area equivalent.</w:t>
            </w:r>
          </w:p>
        </w:tc>
      </w:tr>
      <w:tr>
        <w:trPr/>
        <w:tc>
          <w:tcPr>
            <w:tcW w:w="1765" w:type="dxa"/>
          </w:tcPr>
          <w:p>
            <w:pPr>
              <w:pStyle w:val="Compact"/>
              <w:jc w:val="left"/>
            </w:pPr>
            <w:r>
              <w:rPr>
                <w:b/>
                <w:bCs/>
                <w:sz w:val="18"/>
              </w:rPr>
              <w:t xml:space="preserve">Northeast Kingdom</w:t>
            </w:r>
          </w:p>
        </w:tc>
        <w:tc>
          <w:tcPr>
            <w:tcW w:w="3653" w:type="dxa"/>
          </w:tcPr>
          <w:p>
            <w:pPr>
              <w:pStyle w:val="Compact"/>
              <w:jc w:val="left"/>
            </w:pPr>
            <w:r>
              <w:rPr>
                <w:sz w:val="18"/>
              </w:rPr>
              <w:t xml:space="preserve">Vermont’s three northeasternmost counties (Caledonia, Essex, Orleans) — the state’s most severe rural access and equity challenge.</w:t>
            </w:r>
          </w:p>
        </w:tc>
        <w:tc>
          <w:tcPr>
            <w:tcW w:w="3653" w:type="dxa"/>
          </w:tcPr>
          <w:p>
            <w:pPr>
              <w:pStyle w:val="Compact"/>
              <w:jc w:val="left"/>
            </w:pPr>
            <w:r>
              <w:rPr>
                <w:sz w:val="18"/>
              </w:rPr>
              <w:t xml:space="preserve">The equivalent hardest-to-serve rural region in your state.</w:t>
            </w:r>
          </w:p>
        </w:tc>
      </w:tr>
    </w:tbl>
    <w:p>
      <w:pPr>
        <w:pStyle w:val="Heading2"/>
        <w:pBdr>
          <w:top w:val="single" w:sz="6" w:space="10" w:color="C9D2DF"/>
        </w:pBdr>
      </w:pPr>
      <w:r>
        <w:rPr>
          <w:color w:val="161B22"/>
        </w:rPr>
        <w:t xml:space="preserve">H.2  </w:t>
      </w:r>
      <w:bookmarkStart w:id="1467" w:name="_Toc1466"/>
      <w:r>
        <w:rPr>
          <w:b/>
          <w:bCs/>
          <w:color w:val="161B22"/>
        </w:rPr>
        <w:t xml:space="preserve">H.2 Worksheet — Adapt This Framework to Your State</w:t>
      </w:r>
      <w:bookmarkEnd w:id="1467"/>
    </w:p>
    <w:p>
      <w:pPr>
        <w:pStyle w:val="FirstParagraph"/>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autofit"/>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68" w:name="_Toc1467"/>
      <w:r>
        <w:rPr>
          <w:b/>
          <w:bCs/>
          <w:color w:val="161B22"/>
        </w:rPr>
        <w:t xml:space="preserve">H.3 The Transition Window — Financing FY2027–2030</w:t>
      </w:r>
      <w:bookmarkEnd w:id="1468"/>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pPr>
      <w:r>
        <w:rPr>
          <w:color w:val="161B22"/>
        </w:rPr>
        <w:t xml:space="preserve">H.3.1  </w:t>
      </w:r>
      <w:bookmarkStart w:id="1469" w:name="_Toc1468"/>
      <w:r>
        <w:rPr>
          <w:b/>
          <w:bCs/>
          <w:color w:val="161B22"/>
        </w:rPr>
        <w:t xml:space="preserve">What bridges exist</w:t>
      </w:r>
      <w:bookmarkEnd w:id="1469"/>
    </w:p>
    <w:p>
      <w:pPr>
        <w:pStyle w:val="FirstParagraph"/>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70" w:name="_Toc1469"/>
      <w:r>
        <w:rPr>
          <w:b/>
          <w:bCs/>
          <w:color w:val="161B22"/>
        </w:rPr>
        <w:t xml:space="preserve">What this means for a hospital CFO</w:t>
      </w:r>
      <w:bookmarkEnd w:id="1470"/>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pPr>
      <w:r>
        <w:rPr>
          <w:color w:val="161B22"/>
        </w:rPr>
        <w:t xml:space="preserve">H.4  </w:t>
      </w:r>
      <w:bookmarkStart w:id="1471" w:name="_Toc1470"/>
      <w:r>
        <w:rPr>
          <w:b/>
          <w:bCs/>
          <w:color w:val="161B22"/>
        </w:rPr>
        <w:t xml:space="preserve">H.4 Two Clocks — Reconciling Act 68 and AHEAD Cohort 2 Timelines</w:t>
      </w:r>
      <w:bookmarkEnd w:id="1471"/>
    </w:p>
    <w:p>
      <w:pPr>
        <w:pStyle w:val="FirstParagraph"/>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cantSplit/>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cantSplit/>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cantSplit/>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cantSplit/>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72" w:name="_Toc1471"/>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72"/>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73" w:name="_Toc1472"/>
      <w:r>
        <w:rPr>
          <w:b/>
          <w:bCs/>
          <w:color w:val="161B22"/>
        </w:rPr>
        <w:t xml:space="preserve">GMCB’s enforcement toolkit</w:t>
      </w:r>
      <w:bookmarkEnd w:id="1473"/>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pPr>
      <w:r>
        <w:rPr>
          <w:color w:val="161B22"/>
        </w:rPr>
        <w:t xml:space="preserve">H.5.2  </w:t>
      </w:r>
      <w:bookmarkStart w:id="1474" w:name="_Toc1473"/>
      <w:r>
        <w:rPr>
          <w:b/>
          <w:bCs/>
          <w:color w:val="161B22"/>
        </w:rPr>
        <w:t xml:space="preserve">The test case: GMCB v. UVMMC</w:t>
      </w:r>
      <w:bookmarkEnd w:id="1474"/>
    </w:p>
    <w:p>
      <w:pPr>
        <w:pStyle w:val="FirstParagraph"/>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75" w:name="_Toc1474"/>
      <w:r>
        <w:rPr>
          <w:b/>
          <w:bCs/>
          <w:color w:val="161B22"/>
        </w:rPr>
        <w:t xml:space="preserve">Appendix I — The HTR Lab Workbook: A Six-Pillar Practicum</w:t>
      </w:r>
      <w:bookmarkEnd w:id="1475"/>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76" w:name="_Toc1475"/>
      <w:r>
        <w:rPr>
          <w:b/>
          <w:bCs/>
          <w:color w:val="161B22"/>
        </w:rPr>
        <w:t xml:space="preserve">How to Use This Workbook</w:t>
      </w:r>
      <w:bookmarkEnd w:id="1476"/>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77" w:name="_Toc1476"/>
      <w:r>
        <w:rPr>
          <w:b/>
          <w:bCs/>
          <w:color w:val="161B22"/>
        </w:rPr>
        <w:t xml:space="preserve">Stage 1 — Policy: Establish the Mandate</w:t>
      </w:r>
      <w:bookmarkEnd w:id="1477"/>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78" w:name="_Toc1477"/>
      <w:r>
        <w:rPr>
          <w:b/>
          <w:bCs/>
          <w:color w:val="161B22"/>
        </w:rPr>
        <w:t xml:space="preserve">Stage 2 — Technology: Build the Substrate</w:t>
      </w:r>
      <w:bookmarkEnd w:id="1478"/>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79" w:name="_Toc1478"/>
      <w:r>
        <w:rPr>
          <w:b/>
          <w:bCs/>
          <w:color w:val="161B22"/>
        </w:rPr>
        <w:t xml:space="preserve">Stage 3 — Economics: Put Incentives on a Visible System</w:t>
      </w:r>
      <w:bookmarkEnd w:id="1479"/>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80" w:name="_Toc1479"/>
      <w:r>
        <w:rPr>
          <w:b/>
          <w:bCs/>
          <w:color w:val="161B22"/>
        </w:rPr>
        <w:t xml:space="preserve">Stage 4 — Clinical: Redesign Care on Aligned Incentives</w:t>
      </w:r>
      <w:bookmarkEnd w:id="1480"/>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81" w:name="_Toc1480"/>
      <w:r>
        <w:rPr>
          <w:b/>
          <w:bCs/>
          <w:color w:val="161B22"/>
        </w:rPr>
        <w:t xml:space="preserve">Stage 5 — Equity: Calibrate for the Gap, Not the Average</w:t>
      </w:r>
      <w:bookmarkEnd w:id="1481"/>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82" w:name="_Toc1481"/>
      <w:r>
        <w:rPr>
          <w:b/>
          <w:bCs/>
          <w:color w:val="161B22"/>
        </w:rPr>
        <w:t xml:space="preserve">Stage 6 — Operations: Close the Execution Gap</w:t>
      </w:r>
      <w:bookmarkEnd w:id="1482"/>
    </w:p>
    <w:p>
      <w:pPr>
        <w:pStyle w:val="FirstParagraph"/>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83" w:name="_Toc1482"/>
      <w:r>
        <w:rPr>
          <w:b/>
          <w:bCs/>
          <w:color w:val="161B22"/>
        </w:rPr>
        <w:t xml:space="preserve">Figure Index</w:t>
      </w:r>
      <w:bookmarkEnd w:id="1483"/>
    </w:p>
    <w:p>
      <w:pPr>
        <w:pStyle w:val="Caption"/>
      </w:pPr>
      <w:r>
        <w:t xml:space="preserve">Figure 1.1 — The OneCare Failure Cascade. Source: HTR Analysis (2026). Based on GMCB records, AHS</w:t>
      </w:r>
    </w:p>
    <w:p>
      <w:pPr>
        <w:pStyle w:val="Caption"/>
      </w:pPr>
      <w:r>
        <w:t xml:space="preserve">Figure 1.2 — The Six-Stage Execution Sequence. Source: HTR Analysis (2026).</w:t>
      </w:r>
    </w:p>
    <w:p>
      <w:pPr>
        <w:pStyle w:val="Caption"/>
      </w:pPr>
      <w:r>
        <w:t xml:space="preserve">Figure T — .1 — Vermont Healthcare Transformation Timeline: 2022–2035. Sources: Vermont Legislature,</w:t>
      </w:r>
    </w:p>
    <w:p>
      <w:pPr>
        <w:pStyle w:val="Caption"/>
      </w:pPr>
      <w:r>
        <w:t xml:space="preserve">Figure 3.1 — CMMI model success factors: what distinguishes models that produce results from those</w:t>
      </w:r>
    </w:p>
    <w:p>
      <w:pPr>
        <w:pStyle w:val="Caption"/>
      </w:pPr>
      <w:r>
        <w:t xml:space="preserve">Figure 3.2 — Policy strategy functions for healthcare organizations. Source: HTR Advisory framewor</w:t>
      </w:r>
    </w:p>
    <w:p>
      <w:pPr>
        <w:pStyle w:val="Caption"/>
      </w:pPr>
      <w:r>
        <w:t xml:space="preserve">Figure 3.3 — H.R. 1 Medicaid provisions: timeline, financial impact, and Vermont implications. Sou</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w:t>
      </w:r>
    </w:p>
    <w:p>
      <w:pPr>
        <w:pStyle w:val="Caption"/>
      </w:pPr>
      <w:r>
        <w:t xml:space="preserve">Figure 4.3 — Vermont’s three-step path to integrated health records. Sources: Vermont HIE Steering</w:t>
      </w:r>
    </w:p>
    <w:p>
      <w:pPr>
        <w:pStyle w:val="Caption"/>
      </w:pPr>
      <w:r>
        <w:t xml:space="preserve">Figure 4.4 — Vermont statewide EHR: case for and against. The feasibility assessment underway will</w:t>
      </w:r>
    </w:p>
    <w:p>
      <w:pPr>
        <w:pStyle w:val="Caption"/>
      </w:pPr>
      <w:r>
        <w:t xml:space="preserve">Figure 4.5 — Vermont FHIR compliance landscape (estimated as of 2026). Sources: AHS Legislative Pr</w:t>
      </w:r>
    </w:p>
    <w:p>
      <w:pPr>
        <w:pStyle w:val="Caption"/>
      </w:pPr>
      <w:r>
        <w:t xml:space="preserve">Figure 4.6 — Vermont target technology architecture: five-layer model. Sources: GMCB VHCURES docum</w:t>
      </w:r>
    </w:p>
    <w:p>
      <w:pPr>
        <w:pStyle w:val="Caption"/>
      </w:pPr>
      <w:r>
        <w:t xml:space="preserve">Figure 5.1 — Vermont’s three priority FHIR use cases. Sources: CMS Interoperability and Patient Ac</w:t>
      </w:r>
    </w:p>
    <w:p>
      <w:pPr>
        <w:pStyle w:val="Caption"/>
      </w:pPr>
      <w:r>
        <w:t xml:space="preserve">Figure 5.2 — Population health CDS types and Vermont applications. Sources: the Technology pillar</w:t>
      </w:r>
    </w:p>
    <w:p>
      <w:pPr>
        <w:pStyle w:val="Caption"/>
      </w:pPr>
      <w:r>
        <w:t xml:space="preserve">Figure 5.3 — Technology pillar implementation matrix. Sources: HTR Advisory; Vermont RHT Program</w:t>
      </w:r>
    </w:p>
    <w:p>
      <w:pPr>
        <w:pStyle w:val="Caption"/>
      </w:pPr>
      <w:r>
        <w:t xml:space="preserve">Figure 6.1 — Vermont hospital commercial pricing vs. Medicare and break-even benchmarks. Sources:</w:t>
      </w:r>
    </w:p>
    <w:p>
      <w:pPr>
        <w:pStyle w:val="Caption"/>
      </w:pPr>
      <w:r>
        <w:t xml:space="preserve">Figure 6.2 — Vermont silver marketplace premium trajectory 2018–2024, showing 108% increase over s</w:t>
      </w:r>
    </w:p>
    <w:p>
      <w:pPr>
        <w:pStyle w:val="Caption"/>
      </w:pPr>
      <w:r>
        <w:t xml:space="preserve">Figure 6.3 — Cross-state reference-based pricing and rate regulation: design and outcomes. Sources</w:t>
      </w:r>
    </w:p>
    <w:p>
      <w:pPr>
        <w:pStyle w:val="Caption"/>
      </w:pPr>
      <w:r>
        <w:t xml:space="preserve">Figure 6.4 — Vermont RBP and global budget implementation phases. Source: GMCB Act 68 Update, Febr</w:t>
      </w:r>
    </w:p>
    <w:p>
      <w:pPr>
        <w:pStyle w:val="Caption"/>
      </w:pPr>
      <w:r>
        <w:t xml:space="preserve">Table 6.5 — Five dimensions of global budget design with Vermont’s current direction. Source: GMC</w:t>
      </w:r>
    </w:p>
    <w:p>
      <w:pPr>
        <w:pStyle w:val="Caption"/>
      </w:pPr>
      <w:r>
        <w:t xml:space="preserve">Table 6.6 — Vermont global budget history: four attempts and the central lesson. Sources: GMCB Ac</w:t>
      </w:r>
    </w:p>
    <w:p>
      <w:pPr>
        <w:pStyle w:val="Caption"/>
      </w:pPr>
      <w:r>
        <w:t xml:space="preserve">Table 6.7 — Maryland All-Payer Global Budget Model results summary. Sources: HSCRC; CMS; Commonwe</w:t>
      </w:r>
    </w:p>
    <w:p>
      <w:pPr>
        <w:pStyle w:val="Caption"/>
      </w:pPr>
      <w:r>
        <w:t xml:space="preserve">Figure 6.8 — Vermont all-payer architecture under AHEAD + Act 68 combined. Sources: Vermont RHT Pr</w:t>
      </w:r>
    </w:p>
    <w:p>
      <w:pPr>
        <w:pStyle w:val="Caption"/>
      </w:pPr>
      <w:r>
        <w:t xml:space="preserve">Figure 6.9 — Oliver Wyman Vermont hospital financial projection scenarios. Source: Oliver Wyman Ac</w:t>
      </w:r>
    </w:p>
    <w:p>
      <w:pPr>
        <w:pStyle w:val="Caption"/>
      </w:pPr>
      <w:r>
        <w:t xml:space="preserve">Figure 6.10 — Financial metrics that matter: FFS vs. global budget environment. Compiled from GMCB</w:t>
      </w:r>
    </w:p>
    <w:p>
      <w:pPr>
        <w:pStyle w:val="Caption"/>
      </w:pPr>
      <w:r>
        <w:t xml:space="preserve">Figure 6.11 — Estimated sources of direct and indirect savings from Vermont hospital transformatio</w:t>
      </w:r>
    </w:p>
    <w:p>
      <w:pPr>
        <w:pStyle w:val="Caption"/>
      </w:pPr>
      <w:r>
        <w:t xml:space="preserve">Figure 6.12 — Three-phase APM transition model for Vermont healthcare organizations.</w:t>
      </w:r>
    </w:p>
    <w:p>
      <w:pPr>
        <w:pStyle w:val="Caption"/>
      </w:pPr>
      <w:r>
        <w:t xml:space="preserve">Figure 7.1 — APM shared savings calculation framework. Source: HTR’s APM Shared Savings Calculator</w:t>
      </w:r>
    </w:p>
    <w:p>
      <w:pPr>
        <w:pStyle w:val="Caption"/>
      </w:pPr>
      <w:r>
        <w:t xml:space="preserve">Figure 7.2 — Economics pillar implementation matrix. Sources: HTR Research Lab; Oliver Wyman Act</w:t>
      </w:r>
    </w:p>
    <w:p>
      <w:pPr>
        <w:pStyle w:val="Caption"/>
      </w:pPr>
      <w:r>
        <w:t xml:space="preserve">Figure 7.3 — The financial case for population health management under VBC. Sources: CMS cost data</w:t>
      </w:r>
    </w:p>
    <w:p>
      <w:pPr>
        <w:pStyle w:val="Caption"/>
      </w:pPr>
      <w:r>
        <w:t xml:space="preserve">Figure 7.4 — Financial metrics transformation: FFS versus global budget environment. Source: HTR’s</w:t>
      </w:r>
    </w:p>
    <w:p>
      <w:pPr>
        <w:pStyle w:val="Caption"/>
      </w:pPr>
      <w:r>
        <w:t xml:space="preserve">Figure 7.5 — Transformation investment ROI framework with Vermont examples. Sources: HTR’s Economi</w:t>
      </w:r>
    </w:p>
    <w:p>
      <w:pPr>
        <w:pStyle w:val="Caption"/>
      </w:pPr>
      <w:r>
        <w:t xml:space="preserve">Figure 8.1 — Vermont Blueprint for Health: three integrated components. Sources: Blueprint for Hea</w:t>
      </w:r>
    </w:p>
    <w:p>
      <w:pPr>
        <w:pStyle w:val="Caption"/>
      </w:pPr>
      <w:r>
        <w:t xml:space="preserve">Figure 8.2 — Blueprint for Health clinical outcomes and ROI. Sources: Population Health Management</w:t>
      </w:r>
    </w:p>
    <w:p>
      <w:pPr>
        <w:pStyle w:val="Caption"/>
      </w:pPr>
      <w:r>
        <w:t xml:space="preserve">Figure 8.3 — Collaborative Care Model components and Vermont application. Sources: SAMHSA CoCM pro</w:t>
      </w:r>
    </w:p>
    <w:p>
      <w:pPr>
        <w:pStyle w:val="Caption"/>
      </w:pPr>
      <w:r>
        <w:t xml:space="preserve">Figure 8.4 — Vermont comprehensive primary health care: five operational components and investment</w:t>
      </w:r>
    </w:p>
    <w:p>
      <w:pPr>
        <w:pStyle w:val="Caption"/>
      </w:pPr>
      <w:r>
        <w:t xml:space="preserve">Figure 8.5 — Vermont clinical quality measurement framework: priority measures, rationale, and cur</w:t>
      </w:r>
    </w:p>
    <w:p>
      <w:pPr>
        <w:pStyle w:val="Caption"/>
      </w:pPr>
      <w:r>
        <w:t xml:space="preserve">Figure 8.6 — Clinical pillar commitments for Vermont’s Statewide Health Care Delivery Strategic Pl</w:t>
      </w:r>
    </w:p>
    <w:p>
      <w:pPr>
        <w:pStyle w:val="Caption"/>
      </w:pPr>
      <w:r>
        <w:t xml:space="preserve">Figure 9.1 — NCQA PCMH recognition: six concept areas and Vermont implementation challenges. Sour</w:t>
      </w:r>
    </w:p>
    <w:p>
      <w:pPr>
        <w:pStyle w:val="Caption"/>
      </w:pPr>
      <w:r>
        <w:t xml:space="preserve">Figure 9.2 — Panel risk stratification framework for Vermont PCMH practices. Sources: Vermont Blu</w:t>
      </w:r>
    </w:p>
    <w:p>
      <w:pPr>
        <w:pStyle w:val="Caption"/>
      </w:pPr>
      <w:r>
        <w:t xml:space="preserve">Figure 9.3 — Collaborative Care Model components and Vermont application. Sources: SAMHSA CoCM pr</w:t>
      </w:r>
    </w:p>
    <w:p>
      <w:pPr>
        <w:pStyle w:val="Caption"/>
      </w:pPr>
      <w:r>
        <w:t xml:space="preserve">Figure 9.4 — Clinical pillar in-practice implementation commitments for Vermont’s Statewide Healt</w:t>
      </w:r>
    </w:p>
    <w:p>
      <w:pPr>
        <w:pStyle w:val="Caption"/>
      </w:pPr>
      <w:r>
        <w:t xml:space="preserve">Figure 9.5 — Clinical pillar implementation matrix. Sources: Vermont Blueprint for Health Annual</w:t>
      </w:r>
    </w:p>
    <w:p>
      <w:pPr>
        <w:pStyle w:val="Caption"/>
      </w:pPr>
      <w:r>
        <w:t xml:space="preserve">Figure 10.1 — Vermont geographic equity disparities: key indicators. Sources: AHS November 2025 Tra</w:t>
      </w:r>
    </w:p>
    <w:p>
      <w:pPr>
        <w:pStyle w:val="Caption"/>
      </w:pPr>
      <w:r>
        <w:t xml:space="preserve">Figure 10.2 — Vermont SDOH burden: key indicators and equity implications. Sources: Vermont RHT Pro</w:t>
      </w:r>
    </w:p>
    <w:p>
      <w:pPr>
        <w:pStyle w:val="Caption"/>
      </w:pPr>
      <w:r>
        <w:t xml:space="preserve">Figure 10.3 — Vermont equity gaps and required investments. Sources: Vermont Department of Health H</w:t>
      </w:r>
    </w:p>
    <w:p>
      <w:pPr>
        <w:pStyle w:val="Caption"/>
      </w:pPr>
      <w:r>
        <w:t xml:space="preserve">Figure 10.4 — Equity as a cross-cutting dimension of all six pillars. Sources: Act 67 of 2025; Oliv</w:t>
      </w:r>
    </w:p>
    <w:p>
      <w:pPr>
        <w:pStyle w:val="Caption"/>
      </w:pPr>
      <w:r>
        <w:t xml:space="preserve">Figure 10.5 — Vermont equity accountability framework: indicators, stratifications, and targets. So</w:t>
      </w:r>
    </w:p>
    <w:p>
      <w:pPr>
        <w:pStyle w:val="Caption"/>
      </w:pPr>
      <w:r>
        <w:t xml:space="preserve">Figure 10.6 — Equity pillar implementation matrix. Sources: Vermont Department of Health Health Eq</w:t>
      </w:r>
    </w:p>
    <w:p>
      <w:pPr>
        <w:pStyle w:val="Caption"/>
      </w:pPr>
      <w:r>
        <w:t xml:space="preserve">Figure 10.7 — Vermont HEDIS equity stratification framework. Sources: NCQA HEDIS Technical Specific</w:t>
      </w:r>
    </w:p>
    <w:p>
      <w:pPr>
        <w:pStyle w:val="Caption"/>
      </w:pPr>
      <w:r>
        <w:t xml:space="preserve">Figure 10.8 — Five-step disparity closure process with Vermont applications. Source: HTR’s Health E</w:t>
      </w:r>
    </w:p>
    <w:p>
      <w:pPr>
        <w:pStyle w:val="Caption"/>
      </w:pPr>
      <w:r>
        <w:t xml:space="preserve">Figure 10.9 — Vermont equity analytics: current data sources by equity dimension. Sources: GMCB; VD</w:t>
      </w:r>
    </w:p>
    <w:p>
      <w:pPr>
        <w:pStyle w:val="Caption"/>
      </w:pPr>
      <w:r>
        <w:t xml:space="preserve">Figure 11.1 — Vermont health system transformation governance architecture under Act 68. Sources: A</w:t>
      </w:r>
    </w:p>
    <w:p>
      <w:pPr>
        <w:pStyle w:val="Caption"/>
      </w:pPr>
      <w:r>
        <w:t xml:space="preserve">Figure 11.2 — Vermont hospital transformation planning sequence. Sources: AHS Health Care Transform</w:t>
      </w:r>
    </w:p>
    <w:p>
      <w:pPr>
        <w:pStyle w:val="Caption"/>
      </w:pPr>
      <w:r>
        <w:t xml:space="preserve">Figure 11.3 — Vermont health system transformation outcome measures: current performance vs. benchm</w:t>
      </w:r>
    </w:p>
    <w:p>
      <w:pPr>
        <w:pStyle w:val="Caption"/>
      </w:pPr>
      <w:r>
        <w:t xml:space="preserve">Figure 11.4 — Administrative cost gap: Vermont PPS hospitals vs. national benchmark. This $1,303 pe</w:t>
      </w:r>
    </w:p>
    <w:p>
      <w:pPr>
        <w:pStyle w:val="Caption"/>
      </w:pPr>
      <w:r>
        <w:t xml:space="preserve">Figure 11.5 — Vermont 14-hospital regionalization framework: COE designations, tiers, and key opera</w:t>
      </w:r>
    </w:p>
    <w:p>
      <w:pPr>
        <w:pStyle w:val="Caption"/>
      </w:pPr>
      <w:r>
        <w:t xml:space="preserve">Figure 11.6 — Vermont workforce crisis key metrics. Sources: Vermont RHT Program Application (Novem</w:t>
      </w:r>
    </w:p>
    <w:p>
      <w:pPr>
        <w:pStyle w:val="Caption"/>
      </w:pPr>
      <w:r>
        <w:t xml:space="preserve">Figure 11.7 — Vermont health system transformation: comprehensive operations metrics framework. Sou</w:t>
      </w:r>
    </w:p>
    <w:p>
      <w:pPr>
        <w:pStyle w:val="Caption"/>
      </w:pPr>
      <w:r>
        <w:t xml:space="preserve">Figure 11.8 — Attribution error taxonomy and remediation. Source: HTR’s Operations pillar framework</w:t>
      </w:r>
    </w:p>
    <w:p>
      <w:pPr>
        <w:pStyle w:val="Caption"/>
      </w:pPr>
      <w:r>
        <w:t xml:space="preserve">Figure 11.9 — Operations pillar implementation matrix. Sources: Vermont AHS Transformation Reports</w:t>
      </w:r>
    </w:p>
    <w:p>
      <w:pPr>
        <w:pStyle w:val="Caption"/>
      </w:pPr>
      <w:r>
        <w:t xml:space="preserve">Figure 12.1 — technical infrastructure framework components and intended users. Source: technical i</w:t>
      </w:r>
    </w:p>
    <w:p>
      <w:pPr>
        <w:pStyle w:val="Caption"/>
      </w:pPr>
      <w:r>
        <w:t xml:space="preserve">Figure 12.2 — Kotter’s change management framework applied to Vermont’s healthcare transformation.</w:t>
      </w:r>
    </w:p>
    <w:p>
      <w:pPr>
        <w:pStyle w:val="Caption"/>
      </w:pPr>
      <w:r>
        <w:t xml:space="preserve">Figure 12.3 — HTR Implementation Toolkit: available tools for Strategist and Enterprise subscribers</w:t>
      </w:r>
    </w:p>
    <w:p>
      <w:pPr>
        <w:pStyle w:val="Caption"/>
      </w:pPr>
      <w:r>
        <w:t xml:space="preserve">Figure 13.1 — Vermont Six-Pillar Transformation Scorecard, April 2026. Technology and Equity</w:t>
      </w:r>
    </w:p>
    <w:p>
      <w:pPr>
        <w:pStyle w:val="Caption"/>
      </w:pPr>
      <w:r>
        <w:t xml:space="preserve">Figure 13.2 — The 2025 federal healthcare policy inflection point. Sources: KFF; CBO; Chartis, 2026</w:t>
      </w:r>
    </w:p>
    <w:p>
      <w:pPr>
        <w:pStyle w:val="Caption"/>
      </w:pPr>
      <w:r>
        <w:t xml:space="preserve">Figure 13.3 — Six-pillar forecast, 2026–2035: Vermont and national. Sources: HTR analysis; sources</w:t>
      </w:r>
    </w:p>
    <w:p>
      <w:pPr>
        <w:pStyle w:val="Caption"/>
      </w:pPr>
      <w:r>
        <w:t xml:space="preserve">Figure 13.4 — Vermont’s transformation decisions and their national implications. Sources: HTR anal</w:t>
      </w:r>
    </w:p>
    <w:p>
      <w:pPr>
        <w:pStyle w:val="Caption"/>
      </w:pPr>
      <w:r>
        <w:t xml:space="preserve">Figure 14.1 — Early-warning signals of political risk to Vermont’s reform architecture. Sources: HT</w:t>
      </w:r>
    </w:p>
    <w:p>
      <w:pPr>
        <w:pStyle w:val="Caption"/>
      </w:pPr>
      <w:r>
        <w:t xml:space="preserve">Figure 14.2 — Political-disruption scenario planning for Vermont healthcare organizations. Sources:</w:t>
      </w:r>
    </w:p>
    <w:p>
      <w:pPr>
        <w:pStyle w:val="Caption"/>
      </w:pPr>
      <w:r>
        <w:t xml:space="preserve">Figure 15.1 — The project-management gap. Sources: PMI Standard for Portfolio Management (5th ed.);</w:t>
      </w:r>
    </w:p>
    <w:p>
      <w:pPr>
        <w:pStyle w:val="Caption"/>
      </w:pPr>
      <w:r>
        <w:t xml:space="preserve">Figure 15.2 — PMI hierarchy applied to Vermont’s transformation. Source: PMI Standard for Portfolio</w:t>
      </w:r>
    </w:p>
    <w:p>
      <w:pPr>
        <w:pStyle w:val="Caption"/>
      </w:pPr>
      <w:r>
        <w:t xml:space="preserve">Figure 15.3 — Vermont’s 19-component transformation portfolio. Sources: Act 68 of 2025; AHS Transfo</w:t>
      </w:r>
    </w:p>
    <w:p>
      <w:pPr>
        <w:pStyle w:val="Caption"/>
      </w:pPr>
      <w:r>
        <w:t xml:space="preserve">Figure 15.4 — Pillar-level role matrix. Sources: PMI credential requirements; Act 68 governance str</w:t>
      </w:r>
    </w:p>
    <w:p>
      <w:pPr>
        <w:pStyle w:val="Caption"/>
      </w:pPr>
      <w:r>
        <w:t xml:space="preserve">Figure 15.5 — Vermont’s portfolio risk register (PMI format). Risk score = probability (Low=1 … Hig</w:t>
      </w:r>
    </w:p>
    <w:p>
      <w:pPr>
        <w:pStyle w:val="Caption"/>
      </w:pPr>
      <w:r>
        <w:t xml:space="preserve">Figure 15.6 — Benefits-realization plan. Sources: Act 167 of 2022; PMI Standard for Portfolio Manag</w:t>
      </w:r>
    </w:p>
    <w:p>
      <w:pPr>
        <w:pStyle w:val="Caption"/>
      </w:pPr>
      <w:r>
        <w:t xml:space="preserve">Figure 15.7 — Business case for portfolio-management investment. Sources: PMI Pulse of the Professi</w:t>
      </w:r>
    </w:p>
    <w:p>
      <w:pPr>
        <w:pStyle w:val="Caption"/>
      </w:pPr>
      <w:r>
        <w:t xml:space="preserve">Figure 16.1 — Act 68 statutory requirements for the Strategic Plan. Sources: Act 68 of 2025; HCAC m</w:t>
      </w:r>
    </w:p>
    <w:p>
      <w:pPr>
        <w:pStyle w:val="Caption"/>
      </w:pPr>
      <w:r>
        <w:t xml:space="preserve">Figure 16.2 — AHS organizational gaps and required structural changes. Sources: Oliver Wyman Act 16</w:t>
      </w:r>
    </w:p>
    <w:p>
      <w:pPr>
        <w:pStyle w:val="Caption"/>
      </w:pPr>
      <w:r>
        <w:t xml:space="preserve">Figure 16.3 — Vermont’s 14 HSAs: regional profile and priority transformation challenges. Sources:</w:t>
      </w:r>
    </w:p>
    <w:p>
      <w:pPr>
        <w:pStyle w:val="Caption"/>
      </w:pPr>
      <w:r>
        <w:t xml:space="preserve">Figure 16.4 — AHS restructuring and Vermont transformation timeline. Sources: Act 68 of 2025; AHEAD</w:t>
      </w:r>
    </w:p>
    <w:p>
      <w:pPr>
        <w:pStyle w:val="Caption"/>
      </w:pPr>
      <w:r>
        <w:t xml:space="preserve">Figure 16.5 — Proposed structure for the 2028 Statewide Strategic Plan. Sources: Act 68 of 2025; HC</w:t>
      </w:r>
    </w:p>
    <w:p>
      <w:pPr>
        <w:pStyle w:val="Caption"/>
      </w:pPr>
      <w:r>
        <w:t xml:space="preserve">Figure 16.6 — Key parameters for the Strategic Plan. Sources: Act 68; VTDigger; Oliver Wyman Act 16</w:t>
      </w:r>
    </w:p>
    <w:p>
      <w:pPr>
        <w:pStyle w:val="Caption"/>
      </w:pPr>
      <w:r>
        <w:t xml:space="preserve">Figure A — .1 — Vermont demographic transformation. Sources: Oliver Wyman Act 167 Report (2024); Verm</w:t>
      </w:r>
    </w:p>
    <w:p>
      <w:pPr>
        <w:pStyle w:val="Caption"/>
      </w:pPr>
      <w:r>
        <w:t xml:space="preserve">Figure A — .2 — GMCB regulatory functions. Sources: GMCB Hospital Budget Review Guide; Acts 167 and 6</w:t>
      </w:r>
    </w:p>
    <w:p>
      <w:pPr>
        <w:pStyle w:val="Caption"/>
      </w:pPr>
      <w:r>
        <w:t xml:space="preserve">Figure A — .3 — Vermont’s 14 hospitals: typology, grant status, focus, and challenges. Sources: AHS H</w:t>
      </w:r>
    </w:p>
    <w:p>
      <w:pPr>
        <w:pStyle w:val="Caption"/>
      </w:pPr>
      <w:r>
        <w:t xml:space="preserve">Figure A — .4 — Vermont hospital transformation initiative themes, January 2026 (148 initiatives). So</w:t>
      </w:r>
    </w:p>
    <w:p>
      <w:pPr>
        <w:pStyle w:val="Caption"/>
      </w:pPr>
      <w:r>
        <w:t xml:space="preserve">Figure B — .1 — Policy-pillar implementation matrix. Sources: HTR Advisory methodology; Vermont RHT P</w:t>
      </w:r>
    </w:p>
    <w:p>
      <w:pPr>
        <w:pStyle w:val="Caption"/>
      </w:pPr>
      <w:r>
        <w:t xml:space="preserve">Figure F — .1 — Policy-pillar scorecard. Sources: Act 68 of 2025; Oliver Wyman Act 167 Report; CMS AH</w:t>
      </w:r>
    </w:p>
    <w:p>
      <w:pPr>
        <w:pStyle w:val="Caption"/>
      </w:pPr>
      <w:r>
        <w:t xml:space="preserve">Figure F — .2 — Technology-pillar scorecard. Sources: GMCB VHCURES; VITL; Vermont DOH Health Equity D</w:t>
      </w:r>
    </w:p>
    <w:p>
      <w:pPr>
        <w:pStyle w:val="Caption"/>
      </w:pPr>
      <w:r>
        <w:t xml:space="preserve">Figure F — .3 — Economics-pillar scorecard. Sources: Oliver Wyman Act 167 Report; AHS November 2025 R</w:t>
      </w:r>
    </w:p>
    <w:p>
      <w:pPr>
        <w:pStyle w:val="Caption"/>
      </w:pPr>
      <w:r>
        <w:t xml:space="preserve">Figure F — .4 — Clinical-pillar scorecard. Sources: Vermont Blueprint Annual Report 2024; Vermont AHS</w:t>
      </w:r>
    </w:p>
    <w:p>
      <w:pPr>
        <w:pStyle w:val="Caption"/>
      </w:pPr>
      <w:r>
        <w:t xml:space="preserve">Figure F — .5 — Equity-pillar scorecard. Sources: Vermont DOH Health Equity Data Report (January 2025</w:t>
      </w:r>
    </w:p>
    <w:p>
      <w:pPr>
        <w:pStyle w:val="Caption"/>
      </w:pPr>
      <w:r>
        <w:t xml:space="preserve">Figure F — .6 — Operations-pillar scorecard. Sources: AHS Transformation Reports (August, November 20</w:t>
      </w:r>
    </w:p>
    <w:p>
      <w:pPr>
        <w:pStyle w:val="BodyText"/>
      </w:pPr>
      <w:r>
        <w:t xml:space="preserve">The HTR platform is a subscription service. Academic, institutional, and team options are available at healthtransformationreview.org.</w:t>
      </w:r>
    </w:p>
    <w:p>
      <w:pPr>
        <w:pStyle w:val="Heading1"/>
      </w:pPr>
      <w:bookmarkStart w:id="1484" w:name="_Toc1483"/>
      <w:r>
        <w:rPr>
          <w:b/>
          <w:bCs/>
          <w:color w:val="161B22"/>
        </w:rPr>
        <w:t xml:space="preserve">Bibliography and Source Notes</w:t>
      </w:r>
      <w:bookmarkEnd w:id="1484"/>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85" w:name="_Toc1484"/>
      <w:r>
        <w:rPr>
          <w:b/>
          <w:bCs/>
          <w:color w:val="161B22"/>
        </w:rPr>
        <w:t xml:space="preserve">Index (Selected)</w:t>
      </w:r>
      <w:bookmarkEnd w:id="1485"/>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2026-07-27T13:48:05Z</dcterms:created>
  <dcterms:modified xsi:type="dcterms:W3CDTF">2026-07-27T13:48:05Z</dcterms:modified>
</cp:coreProperties>
</file>

<file path=docProps/custom.xml><?xml version="1.0" encoding="utf-8"?>
<Properties xmlns="http://schemas.openxmlformats.org/officeDocument/2006/custom-properties" xmlns:vt="http://schemas.openxmlformats.org/officeDocument/2006/docPropsVTypes"/>
</file>