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Congressional Budget Office analysis found that CMMI’s first decade of models increased net federal spending by $5.4 billion rather than producing savings, and by January 2025 only four of the 70 models CMMI had tested had been expanded nationwide (GAO). Most models were discontinued. CMMI’s more recent designs — ACO REACH (formerly Direct Contracting), AHEAD, the Making Care Primary model — were built around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participation from as early as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from 2022 CMS approved 1115 waivers that use Medicaid funds for health-related social needs services, including housing supports, food assistance, and transportation, for enrollees at risk of institutionalization or with complex social needs. In March 2025 CMS rescinded its HRSN guidance: existing approvals stand, and new requests are considered case by case.</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January 2025 1115 amendment authorizes HRSN housing services — housing supports, medically necessary home remediation, and short-term rent and medical respite for homeless enrollees — so that social-needs screening can connect patients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a January 2025 amendment added HRSN housing services, while CMS and the state were still working on the authority for a Medicaid global budget.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moving before that negotiation is finished: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by voice vote in 2022 but died in the Senate and never became law. CMS achieved much of its substance through rulemaking instead: its 2024 prior authorization rule requires Medicare Advantage, Medicaid, CHIP and federal-exchange plans, from 2026,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its system map links long approval processes to cost-effective contracts that cannot be secured, and its recommendations call for further simplifying prior authorization, the CON process, and Medicaid billing.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(rule in 2027, maximum rates from FY2028);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federal Medicaid cuts over 10 years (CBO estimate).</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for expansion adults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all states; phase-down of existing taxes in expansion states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from FY2028 (October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FY2032</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New payments on enactment; existing payments from 2028</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Any Vermont hospital receiving state-directed supplemental payments faces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Combined Medicaid funding reductions (all provisions above)</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Oliver Wyman had already projected 5-year cumulative deficits for Vermont’s hospitals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generally take effect 30 to 60 days after publication, and proposed rules typically open a 30- to 60-day comment period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applies it within a three-phase engagement (Chapter 12), but its four steps can be applied internally — and are built into the Research Lab’s Policy Impact Assessment Framework:</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 one or more hospitals from hospital FY2028, all by FY2030, to the extent resources are available. The single most consequential preparation step is HCC documentation accuracy. Act 68 does not specify a risk adjustment method for global budgets — GMCB’s methodology is still being designed — but if it adjusts for population risk, as most budget models do, your benchmark will reflect your attributed population’s documented risk. A population with incomplete HCC documentation would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this book proposes (Chapter 16) — before performance accountability begins. Appropriating for them is not optional; it is the enabling condition for the global budgets Act 68 requires.</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independent hospitals and providers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of every 10,000 ED visits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one of the longest-running all-payer primary care transformation programs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 Commercial (Medicare to 2025)</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Payments from Medicaid and commercial insurers (and Medicare until December 2025); Blueprint program funding through DVHA;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peer-reviewed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a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included Medicare in its PCMH and CHT payments since Vermont joined CMS’s Multi-Payer Advanced Primary Care Practice Demonstration, and from 2017 under the All-Payer ACO Model agreement. That Medicare participation ended when the agreement ended in December 2025,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of every 10,000 ED visits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alcohol-use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of every 10,000 ED visits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has its own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and by November 2025 every HSA had hired pilot-funded CHT staff (62.2 FTE).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designated hospitals — among them the Brattleboro Retreat and the state-run Vermont Psychiatric Care Hospital — provide inpatient psychiatric care. The 30-day follow-up rate of 76% after mental health ED visits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the Health Care Delivery Advisory Committee must consider and which provides input to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Building on Act 68’s primary care provisions, comprehensive primary health care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Blueprint network and CHT training</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(14 hospitals, roughly 200,000+ ED visits annually across the system), reducing potentially avoidable ED visits from 32.3% to an illustrative 25% would eliminate approximately 14,600 ED visits per year. At an assumed average ED visit cost of $800-1,200,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(May 2026, up from 59% in June 2025)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(PPS hospitals):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Essex County uninsured rate highest in Vermont (2014 household survey);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clinical side depends on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For MIPS-eligible clinicians, Medicare’s Merit-based Incentive Payment System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return is measured, not projected: 5.8:1 in a 2016 study of 2008–2013 data, and about 3:1 to 3.8:1 in the Blueprint’s all-payer estimate for 2016.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one of Vermont’s most successful population health programs, and an underfunded one. Its measured returns — 5.8:1 in the 2016 study, about 3:1 in the Blueprint’s later all-payer estimate — are strong evidence from Vermont’s own experience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strong evidence that primary care investment produces system-level returns in a rural setting. The 5.8:1 ROI figure is from a 2016 peer-reviewed study of 2008–2013 data; the Blueprint’s own later estimate for 2016 was lower (about $3 to $3.80 saved per $1), and further evidence,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Billed to Medicare under its own designated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for which Vermont’s Blueprint primary care practices are expanding screening.</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nearly two decades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model built on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a practice new to NCQA recognition, the transformation process is operationally intensive; even recognized Vermont practices typically begin preparing six to nine months before each annual renewal.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They follow NCQA’s 2023 PCMH Standards, which practices are now updating to the 2026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with no federal replacement since Vermont withdrew from AHEAD — is a major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roughly 1,400 to 1,900 patients, depending on how much preventive and chronic care is delegated (Altschuler et al., 2012). Vermont’s Oliver Wyman finding — that Vermont’s primary care supply problem is primarily a productivity and care model problem, not a physician shortage problem — rests on this logic. Practices that adopt team-based models with full delegation can expand effective panel capacity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can account for close to half of the panel’s total cost of care — nationally, the costliest 5% of people account for about half of all health spending (AHRQ MEPS).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(at roughly $15,000 per admission)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built into PCMH recognition programs (NCQA, URAC, and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Telepsychiatry is the practical answer: a remote psychiatric consultant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funds Blueprint network and Community Health Team training that includes mental health and substance use integration.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62.2 FTE of MHI-funded CHT staff hired across every HSA by November 2025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that 9% of Vermont adults — roughly 45,000-50,000 people — have been diagnosed with diabetes (BRFSS 2023), applying that Blueprint-measured rate to the statewide population implies on the order of 10,000-11,000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alcohol-use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risk-adjusted payments under value-based contracts — and could shape global budgets if GMCB’s methodology adjusts for patient complexity, a question still under design. A clinician who documents a patient’s diabetes as ‘type 2 diabetes’ without documenting the complications it has caused — diabetic CKD, for example, carries its own HCC — is leaving RAF value uncaptured — which translates directly into lower risk-adjusted payment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Three common HCC documentation opportunities in primary care: chronic kidney disease staging (CKD is documented as present but stage is frequently not specified, and CKD Stage 3 and above have distinct HCC codes with progressively higher RAF values); diabetes complications (relevant chiefly under the V24 model — CMS’s V28 model, in full use from 2026, weights all diabetes HCCs equally, though complications such as CKD still carry their own HCCs; complications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A care transition protocol built on Vermont’s Community Health Teams works as follows.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Oliver Wyman’s Act 167 engagement included 35 provider meetings alongside 57 with hospital leadership and boards, but taking part in a consultant’s listening process is not the same as leading implementation. Clinical leaders — physician chiefs, medical staff presidents, nursing directors — need a defined role in the transformation itself. That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begin (non-CAH hospitals from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Blueprint investment (2008–2013 data)</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screening rates up;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Nationally, the costliest 5% ≈ half of health spending (AHRQ MEPS)</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common documentation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this book proposes (Chapter 16) — placing dedicated transformation coordinators in each HSA — is the operational infrastructure that translates system-level policy into community-level implementation. HSA Coordinators are not administrators; they are the connection between AHS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federal CCBHC demonstration is building a network of certified community behavioral health centers toward coverage of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risk-adjusted payment.</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Naylor MD,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of every 10,000 ED visits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Program management, change-management discipline, and shared analytical tools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shared analytical tools, and a change-management discipline — is the generic implementation layer that sits underneath every pillar, in every state. Vermont’s specific instantiations (the Transformation PMO proposed in Chapter 15, the Clinically Integrated Network of Shared Services in Vermont’s RHT plan) show what that infrastructure would look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more than thirty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Courses in value-based care, HEDIS quality measurement, and hospital finance, a Five Pillars course with lessons on global budgets and reference-based pricing,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healthtransformationreview.org/advisory/contact</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stratified quality outcomes,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lessons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HTR platform, healthtransformationreview.org.</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reference-based pricing and the first global budgets from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the Clinically Integrated Network of Shared Services that Vermont’s RHT plan funds for its independent hospitals and providers, the highest-priority Technology Strategy engagement is the data architecture design that enables shared services across its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of the organization this engagement type is built for.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turned RBP from a study into a statutory requirement. Better coordination across AHS’s departments would address the program silo obstacle. The analytics vendor would remove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AHS’s five regional planning meetings with hospital leadership in August and September 2025 are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once established as permanent payment architecture, would be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an RBP rule in 2027 with maximum rates from FY2028, and the first global budgets from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outcome disparities stratified by population group.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Shared implementation infrastructure — such as the shared services and analytics that Vermont’s RHT plan funds through a Clinically Integrated Network of independent providers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knowledge transfer is not optional generosity. It is a system obligation, and increasingly, a strategic interest: a system in which 9 of 14 hospitals reported operating losses in 2023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a change management function, shared analytical tools.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This chapter is among the most transferable content in this book. Every state attempting healthcare transformation will need a PMO,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courses in value-based care, quality measurement, and hospital finance, lessons on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HTR platform (healthtransformationreview.org); Kotter, J.P. (1996) Leading Change; Vermont Agency of Human Services Health Care System Transformation Reports (2025–2026); Green Mountain Care Board, Act 68 update (February 17, 2026); Oliver Wyman Act 167 Report; Act 68 of 2025; Act 113 of 2024; Vermont RHT Program Application.</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