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A58E9" w14:textId="5CB1CA5A" w:rsidR="00154263" w:rsidRDefault="00FC5A4A" w:rsidP="001B67DE">
      <w:pPr>
        <w:rPr>
          <w:b/>
          <w:sz w:val="28"/>
          <w:szCs w:val="28"/>
        </w:rPr>
      </w:pPr>
      <w:r>
        <w:rPr>
          <w:b/>
          <w:sz w:val="28"/>
          <w:szCs w:val="28"/>
        </w:rPr>
        <w:t xml:space="preserve">Employment Growth in </w:t>
      </w:r>
      <w:r w:rsidR="0021553B">
        <w:rPr>
          <w:b/>
          <w:sz w:val="28"/>
          <w:szCs w:val="28"/>
        </w:rPr>
        <w:t>U.S. Healthca</w:t>
      </w:r>
      <w:r w:rsidR="00BE2222">
        <w:rPr>
          <w:b/>
          <w:sz w:val="28"/>
          <w:szCs w:val="28"/>
        </w:rPr>
        <w:t>r</w:t>
      </w:r>
      <w:r w:rsidR="00C1082C" w:rsidRPr="00C142B2">
        <w:rPr>
          <w:b/>
          <w:sz w:val="28"/>
          <w:szCs w:val="28"/>
        </w:rPr>
        <w:t>e</w:t>
      </w:r>
      <w:r>
        <w:rPr>
          <w:b/>
          <w:sz w:val="28"/>
          <w:szCs w:val="28"/>
        </w:rPr>
        <w:t xml:space="preserve"> and the Future of Cost Containment</w:t>
      </w:r>
    </w:p>
    <w:p w14:paraId="69848868" w14:textId="1CABD36B" w:rsidR="00C142B2" w:rsidRDefault="00A31E57" w:rsidP="001B67DE">
      <w:pPr>
        <w:rPr>
          <w:sz w:val="24"/>
          <w:szCs w:val="24"/>
        </w:rPr>
      </w:pPr>
      <w:r>
        <w:rPr>
          <w:sz w:val="24"/>
          <w:szCs w:val="24"/>
        </w:rPr>
        <w:t>11/19/15</w:t>
      </w:r>
    </w:p>
    <w:p w14:paraId="150BC115" w14:textId="63014A7E" w:rsidR="00421485" w:rsidRPr="00421485" w:rsidRDefault="00851983" w:rsidP="001B67DE">
      <w:pPr>
        <w:rPr>
          <w:sz w:val="24"/>
          <w:szCs w:val="24"/>
        </w:rPr>
      </w:pPr>
      <w:r>
        <w:rPr>
          <w:sz w:val="24"/>
          <w:szCs w:val="24"/>
        </w:rPr>
        <w:t>1225</w:t>
      </w:r>
      <w:r w:rsidR="00421485">
        <w:rPr>
          <w:sz w:val="24"/>
          <w:szCs w:val="24"/>
        </w:rPr>
        <w:t xml:space="preserve"> Words</w:t>
      </w:r>
    </w:p>
    <w:p w14:paraId="1438B344" w14:textId="41398547" w:rsidR="00657878" w:rsidRPr="005A5FC7" w:rsidRDefault="00C1082C" w:rsidP="008D38F9">
      <w:pPr>
        <w:ind w:firstLine="720"/>
        <w:rPr>
          <w:sz w:val="24"/>
          <w:szCs w:val="24"/>
        </w:rPr>
      </w:pPr>
      <w:r w:rsidRPr="005A5FC7">
        <w:rPr>
          <w:sz w:val="24"/>
          <w:szCs w:val="24"/>
        </w:rPr>
        <w:t xml:space="preserve">In 2013, the growth rate </w:t>
      </w:r>
      <w:r w:rsidR="00F2167E">
        <w:rPr>
          <w:sz w:val="24"/>
          <w:szCs w:val="24"/>
        </w:rPr>
        <w:t>in U.S. health</w:t>
      </w:r>
      <w:r w:rsidR="00421485" w:rsidRPr="005A5FC7">
        <w:rPr>
          <w:sz w:val="24"/>
          <w:szCs w:val="24"/>
        </w:rPr>
        <w:t>care</w:t>
      </w:r>
      <w:r w:rsidR="000416AC" w:rsidRPr="005A5FC7">
        <w:rPr>
          <w:sz w:val="24"/>
          <w:szCs w:val="24"/>
        </w:rPr>
        <w:t xml:space="preserve"> spending </w:t>
      </w:r>
      <w:r w:rsidRPr="005A5FC7">
        <w:rPr>
          <w:sz w:val="24"/>
          <w:szCs w:val="24"/>
        </w:rPr>
        <w:t xml:space="preserve">was </w:t>
      </w:r>
      <w:r w:rsidR="00FB7653" w:rsidRPr="005A5FC7">
        <w:rPr>
          <w:sz w:val="24"/>
          <w:szCs w:val="24"/>
        </w:rPr>
        <w:t>the lowest in</w:t>
      </w:r>
      <w:r w:rsidRPr="005A5FC7">
        <w:rPr>
          <w:sz w:val="24"/>
          <w:szCs w:val="24"/>
        </w:rPr>
        <w:t xml:space="preserve"> 50 years, and real per capita Medicare </w:t>
      </w:r>
      <w:r w:rsidR="00FF3A5C" w:rsidRPr="005A5FC7">
        <w:rPr>
          <w:sz w:val="24"/>
          <w:szCs w:val="24"/>
        </w:rPr>
        <w:t xml:space="preserve">non-drug </w:t>
      </w:r>
      <w:r w:rsidRPr="005A5FC7">
        <w:rPr>
          <w:sz w:val="24"/>
          <w:szCs w:val="24"/>
        </w:rPr>
        <w:t>expenditures actually</w:t>
      </w:r>
      <w:r w:rsidR="00FB7653" w:rsidRPr="005A5FC7">
        <w:rPr>
          <w:sz w:val="24"/>
          <w:szCs w:val="24"/>
        </w:rPr>
        <w:t xml:space="preserve"> declined </w:t>
      </w:r>
      <w:r w:rsidR="005601C4">
        <w:rPr>
          <w:sz w:val="24"/>
          <w:szCs w:val="24"/>
        </w:rPr>
        <w:fldChar w:fldCharType="begin" w:fldLock="1"/>
      </w:r>
      <w:r w:rsidR="005601C4">
        <w:rPr>
          <w:sz w:val="24"/>
          <w:szCs w:val="24"/>
        </w:rPr>
        <w:instrText>ADDIN CSL_CITATION { "citationItems" : [ { "id" : "ITEM-1", "itemData" : { "DOI" : "10.1001/jama.2015.8035", "ISSN" : "0098-7484", "author" : [ { "dropping-particle" : "", "family" : "Krumholz", "given" : "Harlan M.", "non-dropping-particle" : "", "parse-names" : false, "suffix" : "" }, { "dropping-particle" : "V.", "family" : "Nuti", "given" : "Sudhakar", "non-dropping-particle" : "", "parse-names" : false, "suffix" : "" }, { "dropping-particle" : "", "family" : "Downing", "given" : "Nicholas S.", "non-dropping-particle" : "", "parse-names" : false, "suffix" : "" }, { "dropping-particle" : "", "family" : "Normand", "given" : "Sharon-Lise T.", "non-dropping-particle" : "", "parse-names" : false, "suffix" : "" }, { "dropping-particle" : "", "family" : "Wang", "given" : "Yun", "non-dropping-particle" : "", "parse-names" : false, "suffix" : "" } ], "container-title" : "Jama", "id" : "ITEM-1", "issue" : "4", "issued" : { "date-parts" : [ [ "2015" ] ] }, "page" : "355", "title" : "Mortality, Hospitalizations, and Expenditures for the Medicare Population Aged 65 Years or Older, 1999-2013", "type" : "article-journal", "volume" : "314" }, "uris" : [ "http://www.mendeley.com/documents/?uuid=3594e519-31bd-4f49-970c-99684e3781c9" ] } ], "mendeley" : { "formattedCitation" : "(Krumholz et al. 2015)", "plainTextFormattedCitation" : "(Krumholz et al. 2015)", "previouslyFormattedCitation" : "(Krumholz et al. 2015)" }, "properties" : { "noteIndex" : 0 }, "schema" : "https://github.com/citation-style-language/schema/raw/master/csl-citation.json" }</w:instrText>
      </w:r>
      <w:r w:rsidR="005601C4">
        <w:rPr>
          <w:sz w:val="24"/>
          <w:szCs w:val="24"/>
        </w:rPr>
        <w:fldChar w:fldCharType="separate"/>
      </w:r>
      <w:r w:rsidR="005601C4" w:rsidRPr="005601C4">
        <w:rPr>
          <w:noProof/>
          <w:sz w:val="24"/>
          <w:szCs w:val="24"/>
        </w:rPr>
        <w:t>(Krumholz et al. 2015)</w:t>
      </w:r>
      <w:r w:rsidR="005601C4">
        <w:rPr>
          <w:sz w:val="24"/>
          <w:szCs w:val="24"/>
        </w:rPr>
        <w:fldChar w:fldCharType="end"/>
      </w:r>
      <w:r w:rsidRPr="005A5FC7">
        <w:rPr>
          <w:sz w:val="24"/>
          <w:szCs w:val="24"/>
        </w:rPr>
        <w:t xml:space="preserve">. </w:t>
      </w:r>
      <w:r w:rsidR="00421485" w:rsidRPr="005A5FC7">
        <w:rPr>
          <w:sz w:val="24"/>
          <w:szCs w:val="24"/>
        </w:rPr>
        <w:t xml:space="preserve"> </w:t>
      </w:r>
      <w:r w:rsidR="0021553B" w:rsidRPr="005A5FC7">
        <w:rPr>
          <w:sz w:val="24"/>
          <w:szCs w:val="24"/>
        </w:rPr>
        <w:t xml:space="preserve">Health policy experts and the media viewed the </w:t>
      </w:r>
      <w:r w:rsidR="00711390" w:rsidRPr="005A5FC7">
        <w:rPr>
          <w:sz w:val="24"/>
          <w:szCs w:val="24"/>
        </w:rPr>
        <w:t xml:space="preserve">“unprecedented” </w:t>
      </w:r>
      <w:r w:rsidR="00F2167E">
        <w:rPr>
          <w:sz w:val="24"/>
          <w:szCs w:val="24"/>
        </w:rPr>
        <w:t>drop as demonstrating</w:t>
      </w:r>
      <w:r w:rsidR="0021553B" w:rsidRPr="005A5FC7">
        <w:rPr>
          <w:sz w:val="24"/>
          <w:szCs w:val="24"/>
        </w:rPr>
        <w:t xml:space="preserve"> that</w:t>
      </w:r>
      <w:r w:rsidR="00BE31A7">
        <w:rPr>
          <w:sz w:val="24"/>
          <w:szCs w:val="24"/>
        </w:rPr>
        <w:t>, at last, health</w:t>
      </w:r>
      <w:r w:rsidR="00711390" w:rsidRPr="005A5FC7">
        <w:rPr>
          <w:sz w:val="24"/>
          <w:szCs w:val="24"/>
        </w:rPr>
        <w:t>care cost growth had been tamed</w:t>
      </w:r>
      <w:r w:rsidR="005601C4">
        <w:rPr>
          <w:sz w:val="24"/>
          <w:szCs w:val="24"/>
        </w:rPr>
        <w:t xml:space="preserve"> </w:t>
      </w:r>
      <w:r w:rsidR="005601C4">
        <w:rPr>
          <w:sz w:val="24"/>
          <w:szCs w:val="24"/>
        </w:rPr>
        <w:fldChar w:fldCharType="begin" w:fldLock="1"/>
      </w:r>
      <w:r w:rsidR="005601C4">
        <w:rPr>
          <w:sz w:val="24"/>
          <w:szCs w:val="24"/>
        </w:rPr>
        <w:instrText>ADDIN CSL_CITATION { "citationItems" : [ { "id" : "ITEM-1", "itemData" : { "author" : [ { "dropping-particle" : "", "family" : "Young", "given" : "Jeffrey", "non-dropping-particle" : "", "parse-names" : false, "suffix" : "" } ], "container-title" : "Huffington Post", "id" : "ITEM-1", "issued" : { "date-parts" : [ [ "2014" ] ] }, "note" : "Young, Jeffrey, \u201cU.S. experiences unprecedented slowdown in health care spending,\u201d Huffington Post, December 3, 2014. http://www.huffingtonpost.com/2014/12/03/health-care-spending_n_6256166.html", "title" : "U.S. Experiences Unprecedented Slowdown In Health Care Spending", "type" : "article-newspaper" }, "uris" : [ "http://www.mendeley.com/documents/?uuid=4d547cc3-0d2e-4eb0-b02c-6e6f273bf478" ] } ], "mendeley" : { "formattedCitation" : "(Young 2014)" }, "properties" : { "noteIndex" : 0 }, "schema" : "https://github.com/citation-style-language/schema/raw/master/csl-citation.json" }</w:instrText>
      </w:r>
      <w:r w:rsidR="005601C4">
        <w:rPr>
          <w:sz w:val="24"/>
          <w:szCs w:val="24"/>
        </w:rPr>
        <w:fldChar w:fldCharType="separate"/>
      </w:r>
      <w:r w:rsidR="005601C4" w:rsidRPr="005601C4">
        <w:rPr>
          <w:noProof/>
          <w:sz w:val="24"/>
          <w:szCs w:val="24"/>
        </w:rPr>
        <w:t>(Young 2014)</w:t>
      </w:r>
      <w:r w:rsidR="005601C4">
        <w:rPr>
          <w:sz w:val="24"/>
          <w:szCs w:val="24"/>
        </w:rPr>
        <w:fldChar w:fldCharType="end"/>
      </w:r>
      <w:r w:rsidR="005601C4">
        <w:rPr>
          <w:sz w:val="24"/>
          <w:szCs w:val="24"/>
        </w:rPr>
        <w:t xml:space="preserve">. </w:t>
      </w:r>
      <w:r w:rsidR="0085201E" w:rsidRPr="005A5FC7">
        <w:rPr>
          <w:sz w:val="24"/>
          <w:szCs w:val="24"/>
        </w:rPr>
        <w:t>The one</w:t>
      </w:r>
      <w:r w:rsidR="00C142B2" w:rsidRPr="005A5FC7">
        <w:rPr>
          <w:sz w:val="24"/>
          <w:szCs w:val="24"/>
        </w:rPr>
        <w:t xml:space="preserve"> </w:t>
      </w:r>
      <w:r w:rsidR="00711390" w:rsidRPr="005A5FC7">
        <w:rPr>
          <w:sz w:val="24"/>
          <w:szCs w:val="24"/>
        </w:rPr>
        <w:t xml:space="preserve">number </w:t>
      </w:r>
      <w:r w:rsidR="0085201E" w:rsidRPr="005A5FC7">
        <w:rPr>
          <w:sz w:val="24"/>
          <w:szCs w:val="24"/>
        </w:rPr>
        <w:t>that didn’</w:t>
      </w:r>
      <w:r w:rsidR="00C142B2" w:rsidRPr="005A5FC7">
        <w:rPr>
          <w:sz w:val="24"/>
          <w:szCs w:val="24"/>
        </w:rPr>
        <w:t>t fit with th</w:t>
      </w:r>
      <w:r w:rsidR="0021553B" w:rsidRPr="005A5FC7">
        <w:rPr>
          <w:sz w:val="24"/>
          <w:szCs w:val="24"/>
        </w:rPr>
        <w:t>is</w:t>
      </w:r>
      <w:r w:rsidR="00FC5A4A" w:rsidRPr="005A5FC7">
        <w:rPr>
          <w:sz w:val="24"/>
          <w:szCs w:val="24"/>
        </w:rPr>
        <w:t xml:space="preserve"> popular narrative</w:t>
      </w:r>
      <w:r w:rsidR="00C142B2" w:rsidRPr="005A5FC7">
        <w:rPr>
          <w:sz w:val="24"/>
          <w:szCs w:val="24"/>
        </w:rPr>
        <w:t xml:space="preserve"> </w:t>
      </w:r>
      <w:r w:rsidR="0085201E" w:rsidRPr="005A5FC7">
        <w:rPr>
          <w:sz w:val="24"/>
          <w:szCs w:val="24"/>
        </w:rPr>
        <w:t>was employment growth</w:t>
      </w:r>
      <w:r w:rsidR="0003484B" w:rsidRPr="005A5FC7">
        <w:rPr>
          <w:sz w:val="24"/>
          <w:szCs w:val="24"/>
        </w:rPr>
        <w:t xml:space="preserve"> in the healthcare sector</w:t>
      </w:r>
      <w:r w:rsidR="0085201E" w:rsidRPr="005A5FC7">
        <w:rPr>
          <w:sz w:val="24"/>
          <w:szCs w:val="24"/>
        </w:rPr>
        <w:t xml:space="preserve">.  </w:t>
      </w:r>
      <w:r w:rsidR="00AB1BA3" w:rsidRPr="005A5FC7">
        <w:rPr>
          <w:sz w:val="24"/>
          <w:szCs w:val="24"/>
        </w:rPr>
        <w:t xml:space="preserve">In </w:t>
      </w:r>
      <w:r w:rsidR="00F2167E">
        <w:rPr>
          <w:sz w:val="24"/>
          <w:szCs w:val="24"/>
        </w:rPr>
        <w:t>2013, health</w:t>
      </w:r>
      <w:r w:rsidR="00276A42" w:rsidRPr="005A5FC7">
        <w:rPr>
          <w:sz w:val="24"/>
          <w:szCs w:val="24"/>
        </w:rPr>
        <w:t>c</w:t>
      </w:r>
      <w:r w:rsidR="0021553B" w:rsidRPr="005A5FC7">
        <w:rPr>
          <w:sz w:val="24"/>
          <w:szCs w:val="24"/>
        </w:rPr>
        <w:t>a</w:t>
      </w:r>
      <w:r w:rsidR="00ED3CEB" w:rsidRPr="005A5FC7">
        <w:rPr>
          <w:sz w:val="24"/>
          <w:szCs w:val="24"/>
        </w:rPr>
        <w:t>re jobs conti</w:t>
      </w:r>
      <w:r w:rsidR="00AB1BA3" w:rsidRPr="005A5FC7">
        <w:rPr>
          <w:sz w:val="24"/>
          <w:szCs w:val="24"/>
        </w:rPr>
        <w:t>nued to grow at 1.</w:t>
      </w:r>
      <w:r w:rsidR="00A31E57">
        <w:rPr>
          <w:sz w:val="24"/>
          <w:szCs w:val="24"/>
        </w:rPr>
        <w:t>5</w:t>
      </w:r>
      <w:r w:rsidR="00ED3CEB" w:rsidRPr="005A5FC7">
        <w:rPr>
          <w:sz w:val="24"/>
          <w:szCs w:val="24"/>
        </w:rPr>
        <w:t xml:space="preserve">%, </w:t>
      </w:r>
      <w:r w:rsidR="0043526C" w:rsidRPr="005A5FC7">
        <w:rPr>
          <w:sz w:val="24"/>
          <w:szCs w:val="24"/>
        </w:rPr>
        <w:t xml:space="preserve">only </w:t>
      </w:r>
      <w:r w:rsidR="00ED3CEB" w:rsidRPr="005A5FC7">
        <w:rPr>
          <w:sz w:val="24"/>
          <w:szCs w:val="24"/>
        </w:rPr>
        <w:t xml:space="preserve">slightly below </w:t>
      </w:r>
      <w:r w:rsidR="00F2167E">
        <w:rPr>
          <w:sz w:val="24"/>
          <w:szCs w:val="24"/>
        </w:rPr>
        <w:t xml:space="preserve">the post-2000 average </w:t>
      </w:r>
      <w:r w:rsidR="0005021A">
        <w:rPr>
          <w:sz w:val="24"/>
          <w:szCs w:val="24"/>
        </w:rPr>
        <w:t xml:space="preserve">of </w:t>
      </w:r>
      <w:r w:rsidR="00A31E57">
        <w:rPr>
          <w:sz w:val="24"/>
          <w:szCs w:val="24"/>
        </w:rPr>
        <w:t>2</w:t>
      </w:r>
      <w:r w:rsidR="0005021A">
        <w:rPr>
          <w:sz w:val="24"/>
          <w:szCs w:val="24"/>
        </w:rPr>
        <w:t>.2</w:t>
      </w:r>
      <w:r w:rsidR="00A31E57">
        <w:rPr>
          <w:sz w:val="24"/>
          <w:szCs w:val="24"/>
        </w:rPr>
        <w:t>%</w:t>
      </w:r>
      <w:r w:rsidR="0021553B" w:rsidRPr="005A5FC7">
        <w:rPr>
          <w:sz w:val="24"/>
          <w:szCs w:val="24"/>
        </w:rPr>
        <w:t xml:space="preserve">. </w:t>
      </w:r>
      <w:r w:rsidR="00ED3CEB" w:rsidRPr="005A5FC7">
        <w:rPr>
          <w:sz w:val="24"/>
          <w:szCs w:val="24"/>
        </w:rPr>
        <w:t>Because</w:t>
      </w:r>
      <w:r w:rsidR="0085201E" w:rsidRPr="005A5FC7">
        <w:rPr>
          <w:sz w:val="24"/>
          <w:szCs w:val="24"/>
        </w:rPr>
        <w:t xml:space="preserve"> salaries and wages account for </w:t>
      </w:r>
      <w:r w:rsidR="0005021A">
        <w:rPr>
          <w:sz w:val="24"/>
          <w:szCs w:val="24"/>
        </w:rPr>
        <w:t xml:space="preserve">roughly </w:t>
      </w:r>
      <w:r w:rsidR="0085201E" w:rsidRPr="005A5FC7">
        <w:rPr>
          <w:sz w:val="24"/>
          <w:szCs w:val="24"/>
        </w:rPr>
        <w:t xml:space="preserve">60% of </w:t>
      </w:r>
      <w:r w:rsidR="00154263" w:rsidRPr="005A5FC7">
        <w:rPr>
          <w:sz w:val="24"/>
          <w:szCs w:val="24"/>
        </w:rPr>
        <w:t>t</w:t>
      </w:r>
      <w:r w:rsidR="0085201E" w:rsidRPr="005A5FC7">
        <w:rPr>
          <w:sz w:val="24"/>
          <w:szCs w:val="24"/>
        </w:rPr>
        <w:t>otal he</w:t>
      </w:r>
      <w:r w:rsidR="00BE31A7">
        <w:rPr>
          <w:sz w:val="24"/>
          <w:szCs w:val="24"/>
        </w:rPr>
        <w:t>alth</w:t>
      </w:r>
      <w:r w:rsidR="00FC5A4A" w:rsidRPr="005A5FC7">
        <w:rPr>
          <w:sz w:val="24"/>
          <w:szCs w:val="24"/>
        </w:rPr>
        <w:t>care expenditures, it seemed</w:t>
      </w:r>
      <w:r w:rsidR="0085201E" w:rsidRPr="005A5FC7">
        <w:rPr>
          <w:sz w:val="24"/>
          <w:szCs w:val="24"/>
        </w:rPr>
        <w:t xml:space="preserve"> unlikely</w:t>
      </w:r>
      <w:r w:rsidR="0003484B" w:rsidRPr="005A5FC7">
        <w:rPr>
          <w:sz w:val="24"/>
          <w:szCs w:val="24"/>
        </w:rPr>
        <w:t xml:space="preserve"> to some </w:t>
      </w:r>
      <w:r w:rsidR="0085201E" w:rsidRPr="005A5FC7">
        <w:rPr>
          <w:sz w:val="24"/>
          <w:szCs w:val="24"/>
        </w:rPr>
        <w:t>that the U.S. could really have turned the corner on unrestra</w:t>
      </w:r>
      <w:r w:rsidR="00BE31A7">
        <w:rPr>
          <w:sz w:val="24"/>
          <w:szCs w:val="24"/>
        </w:rPr>
        <w:t>ined health</w:t>
      </w:r>
      <w:r w:rsidR="001A098F" w:rsidRPr="005A5FC7">
        <w:rPr>
          <w:sz w:val="24"/>
          <w:szCs w:val="24"/>
        </w:rPr>
        <w:t>care costs without</w:t>
      </w:r>
      <w:r w:rsidR="0085201E" w:rsidRPr="005A5FC7">
        <w:rPr>
          <w:sz w:val="24"/>
          <w:szCs w:val="24"/>
        </w:rPr>
        <w:t xml:space="preserve"> </w:t>
      </w:r>
      <w:r w:rsidR="00FC5A4A" w:rsidRPr="005A5FC7">
        <w:rPr>
          <w:sz w:val="24"/>
          <w:szCs w:val="24"/>
        </w:rPr>
        <w:t xml:space="preserve">a </w:t>
      </w:r>
      <w:r w:rsidR="0085201E" w:rsidRPr="005A5FC7">
        <w:rPr>
          <w:sz w:val="24"/>
          <w:szCs w:val="24"/>
        </w:rPr>
        <w:t xml:space="preserve">corresponding moderation in employment growth </w:t>
      </w:r>
      <w:r w:rsidR="005601C4">
        <w:rPr>
          <w:sz w:val="24"/>
          <w:szCs w:val="24"/>
        </w:rPr>
        <w:fldChar w:fldCharType="begin" w:fldLock="1"/>
      </w:r>
      <w:r w:rsidR="005601C4">
        <w:rPr>
          <w:sz w:val="24"/>
          <w:szCs w:val="24"/>
        </w:rPr>
        <w:instrText>ADDIN CSL_CITATION { "citationItems" : [ { "id" : "ITEM-1", "itemData" : { "DOI" : "10.1353/eca.2013.0014", "ISBN" : "0007-2303", "ISSN" : "15334465", "PMID" : "25418992", "abstract" : "Why have health care costs moderated in the last decade? Some have suggested that the Great Recession alone was the cause, but health expenditure growth in the depths of the recession was nearly identical to growth prior to the recession. Nor can the Affordable Care Act (ACA) take credit, since the slowdown began prior to its implementation. Instead, we identify three primary causes of the slowdown: the rise in high-deductible insurance plans, state-level efforts to control Medicaid costs, and a general slowdown in the diffusion of new technology, particularly for use by the Medicare population. A more difficult question is: will this slowdown continue? On this question, we are pessimistic, and not entirely because a similar (and temporary) slowdown occurred in the early 1990s. The primary determinant of long-term growth is the continued development of expensive technology, and there is little evidence of a permanent slowdown in that pipeline. Proton beam accelerators are on target to double between 2010 and 2014, while the market for heart assist devices (costing more than $300,000 each) is projected to grow rapidly. Accountable care organizations (ACOs) and emboldened insurance companies may yet stifle health care cost growth, but our best estimate over the next two decades is that health care costs will grow at GDP plus 1.2 percent, a rate lower than previous estimates but still on track to cause serious fiscal pain for taxpayers and workers who bear the costs of higher premiums.", "author" : [ { "dropping-particle" : "", "family" : "Chandra", "given" : "Amitabh", "non-dropping-particle" : "", "parse-names" : false, "suffix" : "" }, { "dropping-particle" : "", "family" : "Holmes", "given" : "Jonathan", "non-dropping-particle" : "", "parse-names" : false, "suffix" : "" }, { "dropping-particle" : "", "family" : "Skinner", "given" : "Jonathan", "non-dropping-particle" : "", "parse-names" : false, "suffix" : "" } ], "container-title" : "Brookings Papers on Economic Activity", "id" : "ITEM-1", "issued" : { "date-parts" : [ [ "2013" ] ] }, "page" : "261-302", "title" : "Is This Time Different? The Slowdown in Health Care Spending", "type" : "article-journal" }, "uris" : [ "http://www.mendeley.com/documents/?uuid=45365261-c809-42a4-b257-b58c140deaac" ] } ], "mendeley" : { "formattedCitation" : "(Chandra et al. 2013)", "plainTextFormattedCitation" : "(Chandra et al. 2013)", "previouslyFormattedCitation" : "(Chandra et al. 2013)" }, "properties" : { "noteIndex" : 0 }, "schema" : "https://github.com/citation-style-language/schema/raw/master/csl-citation.json" }</w:instrText>
      </w:r>
      <w:r w:rsidR="005601C4">
        <w:rPr>
          <w:sz w:val="24"/>
          <w:szCs w:val="24"/>
        </w:rPr>
        <w:fldChar w:fldCharType="separate"/>
      </w:r>
      <w:r w:rsidR="005601C4" w:rsidRPr="005601C4">
        <w:rPr>
          <w:noProof/>
          <w:sz w:val="24"/>
          <w:szCs w:val="24"/>
        </w:rPr>
        <w:t>(Chandra et al. 2013)</w:t>
      </w:r>
      <w:r w:rsidR="005601C4">
        <w:rPr>
          <w:sz w:val="24"/>
          <w:szCs w:val="24"/>
        </w:rPr>
        <w:fldChar w:fldCharType="end"/>
      </w:r>
      <w:r w:rsidR="00F61F53" w:rsidRPr="005A5FC7">
        <w:rPr>
          <w:sz w:val="24"/>
          <w:szCs w:val="24"/>
        </w:rPr>
        <w:t xml:space="preserve">. </w:t>
      </w:r>
    </w:p>
    <w:p w14:paraId="5A6CF798" w14:textId="5722F3B2" w:rsidR="00A31E57" w:rsidRPr="00A31E57" w:rsidRDefault="00A31E57" w:rsidP="00A31E57">
      <w:pPr>
        <w:ind w:firstLine="720"/>
        <w:rPr>
          <w:sz w:val="24"/>
          <w:szCs w:val="24"/>
        </w:rPr>
      </w:pPr>
      <w:r w:rsidRPr="00A31E57">
        <w:rPr>
          <w:sz w:val="24"/>
          <w:szCs w:val="24"/>
        </w:rPr>
        <w:t xml:space="preserve">Since that time, job growth has </w:t>
      </w:r>
      <w:r w:rsidR="009B546F">
        <w:rPr>
          <w:sz w:val="24"/>
          <w:szCs w:val="24"/>
        </w:rPr>
        <w:t>accelerated</w:t>
      </w:r>
      <w:r w:rsidRPr="00A31E57">
        <w:rPr>
          <w:sz w:val="24"/>
          <w:szCs w:val="24"/>
        </w:rPr>
        <w:t>.  According to th</w:t>
      </w:r>
      <w:r w:rsidR="00F2167E">
        <w:rPr>
          <w:sz w:val="24"/>
          <w:szCs w:val="24"/>
        </w:rPr>
        <w:t xml:space="preserve">e </w:t>
      </w:r>
      <w:proofErr w:type="spellStart"/>
      <w:r w:rsidR="00F2167E">
        <w:rPr>
          <w:sz w:val="24"/>
          <w:szCs w:val="24"/>
        </w:rPr>
        <w:t>Altarum</w:t>
      </w:r>
      <w:proofErr w:type="spellEnd"/>
      <w:r w:rsidR="00F2167E">
        <w:rPr>
          <w:sz w:val="24"/>
          <w:szCs w:val="24"/>
        </w:rPr>
        <w:t xml:space="preserve"> Institute, </w:t>
      </w:r>
      <w:r w:rsidR="00BE31A7">
        <w:rPr>
          <w:sz w:val="24"/>
          <w:szCs w:val="24"/>
        </w:rPr>
        <w:t>the health</w:t>
      </w:r>
      <w:r w:rsidRPr="00A31E57">
        <w:rPr>
          <w:sz w:val="24"/>
          <w:szCs w:val="24"/>
        </w:rPr>
        <w:t>care sector has added 2.2 million jobs, more than the 2.1 million jobs added by all other sectors of the economy</w:t>
      </w:r>
      <w:r w:rsidR="009B546F">
        <w:rPr>
          <w:sz w:val="24"/>
          <w:szCs w:val="24"/>
        </w:rPr>
        <w:t xml:space="preserve">. More than one-fifth of these new healthcare jobs were added in the first 10 months of 2015 </w:t>
      </w:r>
      <w:r w:rsidR="005601C4">
        <w:rPr>
          <w:sz w:val="24"/>
          <w:szCs w:val="24"/>
        </w:rPr>
        <w:fldChar w:fldCharType="begin" w:fldLock="1"/>
      </w:r>
      <w:r w:rsidR="005601C4">
        <w:rPr>
          <w:sz w:val="24"/>
          <w:szCs w:val="24"/>
        </w:rPr>
        <w:instrText>ADDIN CSL_CITATION { "citationItems" : [ { "id" : "ITEM-1", "itemData" : { "id" : "ITEM-1", "issue" : "November 12, 2015", "issued" : { "date-parts" : [ [ "2015" ] ] }, "number-of-pages" : "1-4", "title" : "No moderation in hospital and health sector job growth", "type" : "report" }, "uris" : [ "http://www.mendeley.com/documents/?uuid=fe63593a-39f1-4138-9493-ad2bfcfe3907" ] } ], "mendeley" : { "formattedCitation" : "(Anon 2015)", "manualFormatting" : "(Altarum 2015)", "plainTextFormattedCitation" : "(Anon 2015)", "previouslyFormattedCitation" : "(Anon 2015)" }, "properties" : { "noteIndex" : 0 }, "schema" : "https://github.com/citation-style-language/schema/raw/master/csl-citation.json" }</w:instrText>
      </w:r>
      <w:r w:rsidR="005601C4">
        <w:rPr>
          <w:sz w:val="24"/>
          <w:szCs w:val="24"/>
        </w:rPr>
        <w:fldChar w:fldCharType="separate"/>
      </w:r>
      <w:r w:rsidR="005601C4" w:rsidRPr="005601C4">
        <w:rPr>
          <w:noProof/>
          <w:sz w:val="24"/>
          <w:szCs w:val="24"/>
        </w:rPr>
        <w:t>(</w:t>
      </w:r>
      <w:r w:rsidR="005601C4">
        <w:rPr>
          <w:noProof/>
          <w:sz w:val="24"/>
          <w:szCs w:val="24"/>
        </w:rPr>
        <w:t>Altarum</w:t>
      </w:r>
      <w:r w:rsidR="005601C4" w:rsidRPr="005601C4">
        <w:rPr>
          <w:noProof/>
          <w:sz w:val="24"/>
          <w:szCs w:val="24"/>
        </w:rPr>
        <w:t xml:space="preserve"> 2015)</w:t>
      </w:r>
      <w:r w:rsidR="005601C4">
        <w:rPr>
          <w:sz w:val="24"/>
          <w:szCs w:val="24"/>
        </w:rPr>
        <w:fldChar w:fldCharType="end"/>
      </w:r>
      <w:r w:rsidR="005601C4">
        <w:rPr>
          <w:sz w:val="24"/>
          <w:szCs w:val="24"/>
        </w:rPr>
        <w:t>.</w:t>
      </w:r>
      <w:r w:rsidR="00BE31A7">
        <w:rPr>
          <w:sz w:val="24"/>
          <w:szCs w:val="24"/>
        </w:rPr>
        <w:t xml:space="preserve"> That the health</w:t>
      </w:r>
      <w:r w:rsidRPr="00A31E57">
        <w:rPr>
          <w:sz w:val="24"/>
          <w:szCs w:val="24"/>
        </w:rPr>
        <w:t>care sector is an engine of job creation is great news for the macroeconomy. Yet should we be worried that the job growth signals an inevitable return to double</w:t>
      </w:r>
      <w:r w:rsidR="00BE31A7">
        <w:rPr>
          <w:sz w:val="24"/>
          <w:szCs w:val="24"/>
        </w:rPr>
        <w:t>-digit health</w:t>
      </w:r>
      <w:r w:rsidR="0005021A">
        <w:rPr>
          <w:sz w:val="24"/>
          <w:szCs w:val="24"/>
        </w:rPr>
        <w:t>care cost growth</w:t>
      </w:r>
      <w:r w:rsidR="00F2167E">
        <w:rPr>
          <w:sz w:val="24"/>
          <w:szCs w:val="24"/>
        </w:rPr>
        <w:t xml:space="preserve">, ever-widening </w:t>
      </w:r>
      <w:r w:rsidR="0005021A">
        <w:rPr>
          <w:sz w:val="24"/>
          <w:szCs w:val="24"/>
        </w:rPr>
        <w:t xml:space="preserve">deficit spending, </w:t>
      </w:r>
      <w:r w:rsidR="00F2167E">
        <w:rPr>
          <w:sz w:val="24"/>
          <w:szCs w:val="24"/>
        </w:rPr>
        <w:t xml:space="preserve">and an early </w:t>
      </w:r>
      <w:r w:rsidRPr="00A31E57">
        <w:rPr>
          <w:sz w:val="24"/>
          <w:szCs w:val="24"/>
        </w:rPr>
        <w:t>bankruptcy</w:t>
      </w:r>
      <w:r w:rsidR="0005021A">
        <w:rPr>
          <w:sz w:val="24"/>
          <w:szCs w:val="24"/>
        </w:rPr>
        <w:t xml:space="preserve"> of the Medicare program</w:t>
      </w:r>
      <w:r w:rsidRPr="00A31E57">
        <w:rPr>
          <w:sz w:val="24"/>
          <w:szCs w:val="24"/>
        </w:rPr>
        <w:t xml:space="preserve">?  </w:t>
      </w:r>
    </w:p>
    <w:p w14:paraId="21635B76" w14:textId="0BE01D15" w:rsidR="00A31E57" w:rsidRPr="00A31E57" w:rsidRDefault="00F2167E" w:rsidP="00A31E57">
      <w:pPr>
        <w:ind w:firstLine="720"/>
        <w:rPr>
          <w:sz w:val="24"/>
          <w:szCs w:val="24"/>
        </w:rPr>
      </w:pPr>
      <w:r>
        <w:rPr>
          <w:sz w:val="24"/>
          <w:szCs w:val="24"/>
        </w:rPr>
        <w:t xml:space="preserve">We bring </w:t>
      </w:r>
      <w:r w:rsidR="00A31E57" w:rsidRPr="00A31E57">
        <w:rPr>
          <w:sz w:val="24"/>
          <w:szCs w:val="24"/>
        </w:rPr>
        <w:t xml:space="preserve">good news and bad </w:t>
      </w:r>
      <w:r w:rsidR="00BE31A7">
        <w:rPr>
          <w:sz w:val="24"/>
          <w:szCs w:val="24"/>
        </w:rPr>
        <w:t>news.  The good news for health</w:t>
      </w:r>
      <w:r w:rsidR="00A31E57" w:rsidRPr="00A31E57">
        <w:rPr>
          <w:sz w:val="24"/>
          <w:szCs w:val="24"/>
        </w:rPr>
        <w:t>care costs is that there is little short-term association betwe</w:t>
      </w:r>
      <w:r w:rsidR="00916E10">
        <w:rPr>
          <w:sz w:val="24"/>
          <w:szCs w:val="24"/>
        </w:rPr>
        <w:t>en employment growth and health</w:t>
      </w:r>
      <w:r w:rsidR="00A31E57" w:rsidRPr="00A31E57">
        <w:rPr>
          <w:sz w:val="24"/>
          <w:szCs w:val="24"/>
        </w:rPr>
        <w:t xml:space="preserve">care spending.  </w:t>
      </w:r>
      <w:r w:rsidR="00916E10">
        <w:rPr>
          <w:sz w:val="24"/>
          <w:szCs w:val="24"/>
        </w:rPr>
        <w:t>Figure 1</w:t>
      </w:r>
      <w:r w:rsidR="00A31E57" w:rsidRPr="00A31E57">
        <w:rPr>
          <w:sz w:val="24"/>
          <w:szCs w:val="24"/>
        </w:rPr>
        <w:t xml:space="preserve"> shows the growth in healthcare employment (with </w:t>
      </w:r>
      <w:r w:rsidR="0005021A">
        <w:rPr>
          <w:sz w:val="24"/>
          <w:szCs w:val="24"/>
        </w:rPr>
        <w:t>2000</w:t>
      </w:r>
      <w:r w:rsidR="00A31E57" w:rsidRPr="00A31E57">
        <w:rPr>
          <w:sz w:val="24"/>
          <w:szCs w:val="24"/>
        </w:rPr>
        <w:t xml:space="preserve"> the base year), the growth in non-healthcare employment, and infla</w:t>
      </w:r>
      <w:r w:rsidR="00BE31A7">
        <w:rPr>
          <w:sz w:val="24"/>
          <w:szCs w:val="24"/>
        </w:rPr>
        <w:t>tion-adjusted per-capita health</w:t>
      </w:r>
      <w:r w:rsidR="00A31E57" w:rsidRPr="00A31E57">
        <w:rPr>
          <w:sz w:val="24"/>
          <w:szCs w:val="24"/>
        </w:rPr>
        <w:t>care costs.  There has been remarkably stable growth in healthcare employment, in sharp contrast to non-healthcare employment.  The smooth growth in healthcare jobs, however, is quite distinct from the var</w:t>
      </w:r>
      <w:r w:rsidR="00BE31A7">
        <w:rPr>
          <w:sz w:val="24"/>
          <w:szCs w:val="24"/>
        </w:rPr>
        <w:t>iable growth patterns in health</w:t>
      </w:r>
      <w:r w:rsidR="00A31E57" w:rsidRPr="00A31E57">
        <w:rPr>
          <w:sz w:val="24"/>
          <w:szCs w:val="24"/>
        </w:rPr>
        <w:t xml:space="preserve">care expenditures, which includes rapid growth in the </w:t>
      </w:r>
      <w:r w:rsidR="0005021A">
        <w:rPr>
          <w:sz w:val="24"/>
          <w:szCs w:val="24"/>
        </w:rPr>
        <w:t xml:space="preserve">early </w:t>
      </w:r>
      <w:r w:rsidR="00A31E57" w:rsidRPr="00A31E57">
        <w:rPr>
          <w:sz w:val="24"/>
          <w:szCs w:val="24"/>
        </w:rPr>
        <w:t xml:space="preserve">2000s before a moderation after 2006, the 2013 slowdown, and accelerated growth since then.  There is nothing from this graph (nor more formal statistical tests) to suggest that healthcare employment growth is a short-term harbinger, or a lagging indicator, of healthcare cost growth. </w:t>
      </w:r>
    </w:p>
    <w:p w14:paraId="7255E9BB" w14:textId="38DAEFC7" w:rsidR="0005021A" w:rsidRDefault="0005021A" w:rsidP="0005021A">
      <w:pPr>
        <w:ind w:firstLine="720"/>
        <w:rPr>
          <w:sz w:val="24"/>
          <w:szCs w:val="24"/>
        </w:rPr>
      </w:pPr>
      <w:r w:rsidRPr="005A5FC7">
        <w:rPr>
          <w:sz w:val="24"/>
          <w:szCs w:val="24"/>
        </w:rPr>
        <w:t>In other words, these associations suggest that the rising employment gr</w:t>
      </w:r>
      <w:r w:rsidR="00BE31A7">
        <w:rPr>
          <w:sz w:val="24"/>
          <w:szCs w:val="24"/>
        </w:rPr>
        <w:t>owth won’t signal higher health</w:t>
      </w:r>
      <w:r w:rsidRPr="005A5FC7">
        <w:rPr>
          <w:sz w:val="24"/>
          <w:szCs w:val="24"/>
        </w:rPr>
        <w:t xml:space="preserve">care costs right away – the good news.  </w:t>
      </w:r>
      <w:r w:rsidR="009B546F">
        <w:rPr>
          <w:sz w:val="24"/>
          <w:szCs w:val="24"/>
        </w:rPr>
        <w:t xml:space="preserve">It would be bad news, however, if this </w:t>
      </w:r>
      <w:r w:rsidRPr="005A5FC7">
        <w:rPr>
          <w:sz w:val="24"/>
          <w:szCs w:val="24"/>
        </w:rPr>
        <w:t xml:space="preserve">hiring </w:t>
      </w:r>
      <w:r w:rsidR="009B546F">
        <w:rPr>
          <w:sz w:val="24"/>
          <w:szCs w:val="24"/>
        </w:rPr>
        <w:t>percolated</w:t>
      </w:r>
      <w:r w:rsidRPr="005A5FC7">
        <w:rPr>
          <w:sz w:val="24"/>
          <w:szCs w:val="24"/>
        </w:rPr>
        <w:t xml:space="preserve"> up into </w:t>
      </w:r>
      <w:r w:rsidR="009B546F">
        <w:rPr>
          <w:sz w:val="24"/>
          <w:szCs w:val="24"/>
        </w:rPr>
        <w:t xml:space="preserve">healthcare </w:t>
      </w:r>
      <w:r w:rsidRPr="005A5FC7">
        <w:rPr>
          <w:sz w:val="24"/>
          <w:szCs w:val="24"/>
        </w:rPr>
        <w:t>spending during the next half-decade</w:t>
      </w:r>
      <w:r w:rsidR="009B546F">
        <w:rPr>
          <w:sz w:val="24"/>
          <w:szCs w:val="24"/>
        </w:rPr>
        <w:t>. But p</w:t>
      </w:r>
      <w:r>
        <w:rPr>
          <w:sz w:val="24"/>
          <w:szCs w:val="24"/>
        </w:rPr>
        <w:t xml:space="preserve">erhaps </w:t>
      </w:r>
      <w:r w:rsidR="00A31E57" w:rsidRPr="00A31E57">
        <w:rPr>
          <w:sz w:val="24"/>
          <w:szCs w:val="24"/>
        </w:rPr>
        <w:t xml:space="preserve">employment measures are simply too crude to capture changes in wage and salary compensation. For example if physicians are replaced by home health aides, we could find </w:t>
      </w:r>
      <w:r w:rsidR="00A31E57" w:rsidRPr="00A31E57">
        <w:rPr>
          <w:sz w:val="24"/>
          <w:szCs w:val="24"/>
        </w:rPr>
        <w:lastRenderedPageBreak/>
        <w:t>employment expenses falling even while the number of workers are increasing.  Another possibility is that the gains in employment have occurred because of one-time increases in administrative costs</w:t>
      </w:r>
      <w:r w:rsidR="009B546F">
        <w:rPr>
          <w:sz w:val="24"/>
          <w:szCs w:val="24"/>
        </w:rPr>
        <w:t>, so that recent</w:t>
      </w:r>
      <w:r w:rsidR="00A31E57" w:rsidRPr="00A31E57">
        <w:rPr>
          <w:sz w:val="24"/>
          <w:szCs w:val="24"/>
        </w:rPr>
        <w:t xml:space="preserve"> job growth was the consequence of non-clinical billing specialists, lawyers, or management positions such as vice presidents.  </w:t>
      </w:r>
    </w:p>
    <w:p w14:paraId="0F87D9C0" w14:textId="675ADEFC" w:rsidR="00567BE1" w:rsidRPr="005A5FC7" w:rsidRDefault="00A31E57" w:rsidP="0005021A">
      <w:pPr>
        <w:ind w:firstLine="720"/>
        <w:rPr>
          <w:sz w:val="24"/>
          <w:szCs w:val="24"/>
        </w:rPr>
      </w:pPr>
      <w:r w:rsidRPr="00A31E57">
        <w:rPr>
          <w:sz w:val="24"/>
          <w:szCs w:val="24"/>
        </w:rPr>
        <w:t>To consider these two hypotheses, we tabulated the change in oc</w:t>
      </w:r>
      <w:r w:rsidR="00BE31A7">
        <w:rPr>
          <w:sz w:val="24"/>
          <w:szCs w:val="24"/>
        </w:rPr>
        <w:t>cupational employment</w:t>
      </w:r>
      <w:r w:rsidR="0008308C">
        <w:rPr>
          <w:sz w:val="24"/>
          <w:szCs w:val="24"/>
        </w:rPr>
        <w:t>, and overall employment,</w:t>
      </w:r>
      <w:r w:rsidR="00BE31A7">
        <w:rPr>
          <w:sz w:val="24"/>
          <w:szCs w:val="24"/>
        </w:rPr>
        <w:t xml:space="preserve"> in health</w:t>
      </w:r>
      <w:r w:rsidRPr="00A31E57">
        <w:rPr>
          <w:sz w:val="24"/>
          <w:szCs w:val="24"/>
        </w:rPr>
        <w:t>care betw</w:t>
      </w:r>
      <w:r w:rsidR="009B546F">
        <w:rPr>
          <w:sz w:val="24"/>
          <w:szCs w:val="24"/>
        </w:rPr>
        <w:t xml:space="preserve">een 2000 and 2014, shown in </w:t>
      </w:r>
      <w:r w:rsidRPr="00A31E57">
        <w:rPr>
          <w:sz w:val="24"/>
          <w:szCs w:val="24"/>
        </w:rPr>
        <w:t>Table</w:t>
      </w:r>
      <w:r w:rsidR="009B546F">
        <w:rPr>
          <w:sz w:val="24"/>
          <w:szCs w:val="24"/>
        </w:rPr>
        <w:t xml:space="preserve"> 1</w:t>
      </w:r>
      <w:r w:rsidRPr="00A31E57">
        <w:rPr>
          <w:sz w:val="24"/>
          <w:szCs w:val="24"/>
        </w:rPr>
        <w:t xml:space="preserve">.  </w:t>
      </w:r>
      <w:r w:rsidR="0008308C">
        <w:rPr>
          <w:sz w:val="24"/>
          <w:szCs w:val="24"/>
        </w:rPr>
        <w:t xml:space="preserve">The estimate of total employment comes from the Bureau of Labor Statistics Current Employment Statistics, while occupation is from U.S. Census data; thus they are not perfectly comparable.  (For example, a physician who works for an insurance company would be categorized in the financial services sector, not the healthcare sector.) Still, the comparisons are informative. </w:t>
      </w:r>
      <w:r w:rsidRPr="00A31E57">
        <w:rPr>
          <w:sz w:val="24"/>
          <w:szCs w:val="24"/>
        </w:rPr>
        <w:t>D</w:t>
      </w:r>
      <w:r w:rsidR="0008308C">
        <w:rPr>
          <w:sz w:val="24"/>
          <w:szCs w:val="24"/>
        </w:rPr>
        <w:t>uring 2000-2014</w:t>
      </w:r>
      <w:r w:rsidR="00BE31A7">
        <w:rPr>
          <w:sz w:val="24"/>
          <w:szCs w:val="24"/>
        </w:rPr>
        <w:t xml:space="preserve">, </w:t>
      </w:r>
      <w:r w:rsidR="0008308C">
        <w:rPr>
          <w:sz w:val="24"/>
          <w:szCs w:val="24"/>
        </w:rPr>
        <w:t>overall</w:t>
      </w:r>
      <w:r w:rsidR="00BE31A7">
        <w:rPr>
          <w:sz w:val="24"/>
          <w:szCs w:val="24"/>
        </w:rPr>
        <w:t xml:space="preserve"> health</w:t>
      </w:r>
      <w:r w:rsidRPr="00A31E57">
        <w:rPr>
          <w:sz w:val="24"/>
          <w:szCs w:val="24"/>
        </w:rPr>
        <w:t xml:space="preserve">care employment grew by 2.2% annually.  </w:t>
      </w:r>
      <w:r w:rsidR="0005021A">
        <w:rPr>
          <w:sz w:val="24"/>
          <w:szCs w:val="24"/>
        </w:rPr>
        <w:t>Health</w:t>
      </w:r>
      <w:r w:rsidRPr="00A31E57">
        <w:rPr>
          <w:sz w:val="24"/>
          <w:szCs w:val="24"/>
        </w:rPr>
        <w:t xml:space="preserve"> aides grew substantially faster, by 4.0% annually, yet physicians (2.4%), nurses (3.4%) and other clinical professions (3.5%) grew </w:t>
      </w:r>
      <w:r w:rsidR="0008308C">
        <w:rPr>
          <w:sz w:val="24"/>
          <w:szCs w:val="24"/>
        </w:rPr>
        <w:t xml:space="preserve">at a </w:t>
      </w:r>
      <w:r w:rsidRPr="00A31E57">
        <w:rPr>
          <w:sz w:val="24"/>
          <w:szCs w:val="24"/>
        </w:rPr>
        <w:t xml:space="preserve">more </w:t>
      </w:r>
      <w:r w:rsidR="0008308C">
        <w:rPr>
          <w:sz w:val="24"/>
          <w:szCs w:val="24"/>
        </w:rPr>
        <w:t>rapid rate</w:t>
      </w:r>
      <w:r w:rsidRPr="00A31E57">
        <w:rPr>
          <w:sz w:val="24"/>
          <w:szCs w:val="24"/>
        </w:rPr>
        <w:t xml:space="preserve"> than overall job growth</w:t>
      </w:r>
      <w:r w:rsidR="0005021A">
        <w:rPr>
          <w:sz w:val="24"/>
          <w:szCs w:val="24"/>
        </w:rPr>
        <w:t xml:space="preserve"> in the</w:t>
      </w:r>
      <w:r w:rsidR="00BE31A7">
        <w:rPr>
          <w:sz w:val="24"/>
          <w:szCs w:val="24"/>
        </w:rPr>
        <w:t xml:space="preserve"> </w:t>
      </w:r>
      <w:r w:rsidR="0008308C">
        <w:rPr>
          <w:sz w:val="24"/>
          <w:szCs w:val="24"/>
        </w:rPr>
        <w:t xml:space="preserve">entire </w:t>
      </w:r>
      <w:r w:rsidR="00BE31A7">
        <w:rPr>
          <w:sz w:val="24"/>
          <w:szCs w:val="24"/>
        </w:rPr>
        <w:t>health</w:t>
      </w:r>
      <w:r w:rsidR="0005021A">
        <w:rPr>
          <w:sz w:val="24"/>
          <w:szCs w:val="24"/>
        </w:rPr>
        <w:t>care sector</w:t>
      </w:r>
      <w:r w:rsidRPr="00A31E57">
        <w:rPr>
          <w:sz w:val="24"/>
          <w:szCs w:val="24"/>
        </w:rPr>
        <w:t xml:space="preserve">.  </w:t>
      </w:r>
      <w:r w:rsidR="0008308C">
        <w:rPr>
          <w:sz w:val="24"/>
          <w:szCs w:val="24"/>
        </w:rPr>
        <w:t>It’s not administrative workers driving healthcare</w:t>
      </w:r>
      <w:r w:rsidRPr="00A31E57">
        <w:rPr>
          <w:sz w:val="24"/>
          <w:szCs w:val="24"/>
        </w:rPr>
        <w:t xml:space="preserve"> employment </w:t>
      </w:r>
      <w:r w:rsidR="0008308C">
        <w:rPr>
          <w:sz w:val="24"/>
          <w:szCs w:val="24"/>
        </w:rPr>
        <w:t>growth.</w:t>
      </w:r>
    </w:p>
    <w:p w14:paraId="498C52E7" w14:textId="210DD789" w:rsidR="004528F7" w:rsidRPr="005A5FC7" w:rsidRDefault="005A5FC7" w:rsidP="008D38F9">
      <w:pPr>
        <w:ind w:firstLine="720"/>
        <w:rPr>
          <w:sz w:val="24"/>
          <w:szCs w:val="24"/>
        </w:rPr>
      </w:pPr>
      <w:r w:rsidRPr="005A5FC7">
        <w:rPr>
          <w:sz w:val="24"/>
          <w:szCs w:val="24"/>
        </w:rPr>
        <w:t xml:space="preserve">More troubling still is that </w:t>
      </w:r>
      <w:r w:rsidR="004528F7" w:rsidRPr="005A5FC7">
        <w:rPr>
          <w:sz w:val="24"/>
          <w:szCs w:val="24"/>
        </w:rPr>
        <w:t xml:space="preserve">our estimates of healthcare employment growth are almost certainly underestimates of the true growth in jobs arising from growing demand for healthcare employment.  For example, if the hospital contracts out its food services, or buys a new electronic records system, the resulting new </w:t>
      </w:r>
      <w:r w:rsidR="0021553B" w:rsidRPr="005A5FC7">
        <w:rPr>
          <w:sz w:val="24"/>
          <w:szCs w:val="24"/>
        </w:rPr>
        <w:t>food preparation and</w:t>
      </w:r>
      <w:r w:rsidR="004528F7" w:rsidRPr="005A5FC7">
        <w:rPr>
          <w:sz w:val="24"/>
          <w:szCs w:val="24"/>
        </w:rPr>
        <w:t xml:space="preserve"> programming jobs show up in some other sector of the economy, not in healthcare. This is why the conventional healthcare “sector” is only about 11% of GDP, while healthcare spending is closer to 18%. </w:t>
      </w:r>
    </w:p>
    <w:p w14:paraId="514A8570" w14:textId="59E55C7B" w:rsidR="00D77804" w:rsidRPr="005A5FC7" w:rsidRDefault="001B67DE" w:rsidP="00D62DAD">
      <w:pPr>
        <w:ind w:firstLine="720"/>
        <w:rPr>
          <w:sz w:val="24"/>
          <w:szCs w:val="24"/>
        </w:rPr>
      </w:pPr>
      <w:r w:rsidRPr="005A5FC7">
        <w:rPr>
          <w:sz w:val="24"/>
          <w:szCs w:val="24"/>
        </w:rPr>
        <w:t>Controlling cost growth is a central motivation behind the Affordable Care Act</w:t>
      </w:r>
      <w:r w:rsidR="008D38F9" w:rsidRPr="005A5FC7">
        <w:rPr>
          <w:sz w:val="24"/>
          <w:szCs w:val="24"/>
        </w:rPr>
        <w:t xml:space="preserve"> (ACA)</w:t>
      </w:r>
      <w:r w:rsidRPr="005A5FC7">
        <w:rPr>
          <w:sz w:val="24"/>
          <w:szCs w:val="24"/>
        </w:rPr>
        <w:t xml:space="preserve">. </w:t>
      </w:r>
      <w:r w:rsidR="00D77804" w:rsidRPr="005A5FC7">
        <w:rPr>
          <w:sz w:val="24"/>
          <w:szCs w:val="24"/>
        </w:rPr>
        <w:t xml:space="preserve">There are a variety of cost-saving approaches to reducing utilization, including bundled payments and Accountable Care Organizations (ACOs).  </w:t>
      </w:r>
      <w:r w:rsidRPr="005A5FC7">
        <w:rPr>
          <w:sz w:val="24"/>
          <w:szCs w:val="24"/>
        </w:rPr>
        <w:t>Other</w:t>
      </w:r>
      <w:r w:rsidR="00FC5A4A" w:rsidRPr="005A5FC7">
        <w:rPr>
          <w:sz w:val="24"/>
          <w:szCs w:val="24"/>
        </w:rPr>
        <w:t xml:space="preserve">s propose </w:t>
      </w:r>
      <w:r w:rsidRPr="005A5FC7">
        <w:rPr>
          <w:sz w:val="24"/>
          <w:szCs w:val="24"/>
        </w:rPr>
        <w:t>re</w:t>
      </w:r>
      <w:r w:rsidR="0021553B" w:rsidRPr="005A5FC7">
        <w:rPr>
          <w:sz w:val="24"/>
          <w:szCs w:val="24"/>
        </w:rPr>
        <w:t>structuring</w:t>
      </w:r>
      <w:r w:rsidRPr="005A5FC7">
        <w:rPr>
          <w:sz w:val="24"/>
          <w:szCs w:val="24"/>
        </w:rPr>
        <w:t xml:space="preserve"> healthcare delivery by changing where and how patients get care. </w:t>
      </w:r>
      <w:r w:rsidR="009631EC" w:rsidRPr="005A5FC7">
        <w:rPr>
          <w:sz w:val="24"/>
          <w:szCs w:val="24"/>
        </w:rPr>
        <w:t>While they are all designed to reduce costs, they may paradoxically add to employment growth.  Employees of hospitals and clinics are busy, and they don’t have time to effect cost-sa</w:t>
      </w:r>
      <w:r w:rsidR="00D77804" w:rsidRPr="005A5FC7">
        <w:rPr>
          <w:sz w:val="24"/>
          <w:szCs w:val="24"/>
        </w:rPr>
        <w:t>ving innovations – thus requiring new employees</w:t>
      </w:r>
      <w:r w:rsidR="009631EC" w:rsidRPr="005A5FC7">
        <w:rPr>
          <w:sz w:val="24"/>
          <w:szCs w:val="24"/>
        </w:rPr>
        <w:t xml:space="preserve"> to implement them.  </w:t>
      </w:r>
      <w:r w:rsidR="00D77804" w:rsidRPr="005A5FC7">
        <w:rPr>
          <w:sz w:val="24"/>
          <w:szCs w:val="24"/>
        </w:rPr>
        <w:t>It’s certainly possible that the innovations will lead to longer-term trimming of positions by reducing redundancy and inefficiency, but at least in the aggregat</w:t>
      </w:r>
      <w:r w:rsidR="005A5FC7" w:rsidRPr="005A5FC7">
        <w:rPr>
          <w:sz w:val="24"/>
          <w:szCs w:val="24"/>
        </w:rPr>
        <w:t xml:space="preserve">e, we have not yet </w:t>
      </w:r>
      <w:r w:rsidR="0005021A">
        <w:rPr>
          <w:sz w:val="24"/>
          <w:szCs w:val="24"/>
        </w:rPr>
        <w:t xml:space="preserve">seen </w:t>
      </w:r>
      <w:r w:rsidR="00D77804" w:rsidRPr="005A5FC7">
        <w:rPr>
          <w:sz w:val="24"/>
          <w:szCs w:val="24"/>
        </w:rPr>
        <w:t>this effect</w:t>
      </w:r>
      <w:r w:rsidR="0005021A">
        <w:rPr>
          <w:sz w:val="24"/>
          <w:szCs w:val="24"/>
        </w:rPr>
        <w:t xml:space="preserve"> take hold</w:t>
      </w:r>
      <w:r w:rsidR="00D77804" w:rsidRPr="005A5FC7">
        <w:rPr>
          <w:sz w:val="24"/>
          <w:szCs w:val="24"/>
        </w:rPr>
        <w:t xml:space="preserve">.  </w:t>
      </w:r>
    </w:p>
    <w:p w14:paraId="520E0DED" w14:textId="739F6A6F" w:rsidR="004528F7" w:rsidRPr="005A5FC7" w:rsidRDefault="008D38F9" w:rsidP="005A5FC7">
      <w:pPr>
        <w:ind w:firstLine="720"/>
        <w:rPr>
          <w:sz w:val="24"/>
          <w:szCs w:val="24"/>
        </w:rPr>
      </w:pPr>
      <w:r w:rsidRPr="005A5FC7">
        <w:rPr>
          <w:sz w:val="24"/>
          <w:szCs w:val="24"/>
        </w:rPr>
        <w:t xml:space="preserve">Our </w:t>
      </w:r>
      <w:r w:rsidR="00171F06" w:rsidRPr="005A5FC7">
        <w:rPr>
          <w:sz w:val="24"/>
          <w:szCs w:val="24"/>
        </w:rPr>
        <w:t xml:space="preserve">unpleasant arithmetic illustrates the downside of bending the cost-curve – </w:t>
      </w:r>
      <w:r w:rsidR="006376C5" w:rsidRPr="005A5FC7">
        <w:rPr>
          <w:sz w:val="24"/>
          <w:szCs w:val="24"/>
        </w:rPr>
        <w:t>reduced</w:t>
      </w:r>
      <w:r w:rsidR="001B67DE" w:rsidRPr="005A5FC7">
        <w:rPr>
          <w:sz w:val="24"/>
          <w:szCs w:val="24"/>
        </w:rPr>
        <w:t xml:space="preserve"> employment growth</w:t>
      </w:r>
      <w:r w:rsidR="00171F06" w:rsidRPr="005A5FC7">
        <w:rPr>
          <w:sz w:val="24"/>
          <w:szCs w:val="24"/>
        </w:rPr>
        <w:t xml:space="preserve">, and possibly </w:t>
      </w:r>
      <w:r w:rsidR="009B546F">
        <w:rPr>
          <w:sz w:val="24"/>
          <w:szCs w:val="24"/>
        </w:rPr>
        <w:t>job loss</w:t>
      </w:r>
      <w:r w:rsidR="00171F06" w:rsidRPr="005A5FC7">
        <w:rPr>
          <w:sz w:val="24"/>
          <w:szCs w:val="24"/>
        </w:rPr>
        <w:t xml:space="preserve"> in the health sector, with the effects </w:t>
      </w:r>
      <w:r w:rsidR="009B546F">
        <w:rPr>
          <w:sz w:val="24"/>
          <w:szCs w:val="24"/>
        </w:rPr>
        <w:t>affecting</w:t>
      </w:r>
      <w:r w:rsidR="00171F06" w:rsidRPr="005A5FC7">
        <w:rPr>
          <w:sz w:val="24"/>
          <w:szCs w:val="24"/>
        </w:rPr>
        <w:t xml:space="preserve"> most heavily those states and region</w:t>
      </w:r>
      <w:r w:rsidR="00BE31A7">
        <w:rPr>
          <w:sz w:val="24"/>
          <w:szCs w:val="24"/>
        </w:rPr>
        <w:t>s most dependent on health</w:t>
      </w:r>
      <w:r w:rsidR="005A5FC7" w:rsidRPr="005A5FC7">
        <w:rPr>
          <w:sz w:val="24"/>
          <w:szCs w:val="24"/>
        </w:rPr>
        <w:t>care</w:t>
      </w:r>
      <w:r w:rsidR="00171F06" w:rsidRPr="005A5FC7">
        <w:rPr>
          <w:sz w:val="24"/>
          <w:szCs w:val="24"/>
        </w:rPr>
        <w:t xml:space="preserve">.  This would require a major change in </w:t>
      </w:r>
      <w:r w:rsidR="001B67DE" w:rsidRPr="005A5FC7">
        <w:rPr>
          <w:sz w:val="24"/>
          <w:szCs w:val="24"/>
        </w:rPr>
        <w:t>the healthcare industry</w:t>
      </w:r>
      <w:r w:rsidR="00171F06" w:rsidRPr="005A5FC7">
        <w:rPr>
          <w:sz w:val="24"/>
          <w:szCs w:val="24"/>
        </w:rPr>
        <w:t>. Through two major recessions, the U.</w:t>
      </w:r>
      <w:r w:rsidR="001B67DE" w:rsidRPr="005A5FC7">
        <w:rPr>
          <w:sz w:val="24"/>
          <w:szCs w:val="24"/>
        </w:rPr>
        <w:t>S</w:t>
      </w:r>
      <w:r w:rsidR="00171F06" w:rsidRPr="005A5FC7">
        <w:rPr>
          <w:sz w:val="24"/>
          <w:szCs w:val="24"/>
        </w:rPr>
        <w:t>.</w:t>
      </w:r>
      <w:r w:rsidR="001B67DE" w:rsidRPr="005A5FC7">
        <w:rPr>
          <w:sz w:val="24"/>
          <w:szCs w:val="24"/>
        </w:rPr>
        <w:t xml:space="preserve"> health services sector continued to grow and add employees. No other</w:t>
      </w:r>
      <w:r w:rsidR="0021553B" w:rsidRPr="005A5FC7">
        <w:rPr>
          <w:sz w:val="24"/>
          <w:szCs w:val="24"/>
        </w:rPr>
        <w:t xml:space="preserve"> sector can boast such </w:t>
      </w:r>
      <w:r w:rsidR="001B67DE" w:rsidRPr="005A5FC7">
        <w:rPr>
          <w:sz w:val="24"/>
          <w:szCs w:val="24"/>
        </w:rPr>
        <w:t>stable growth rates.</w:t>
      </w:r>
      <w:r w:rsidR="009631EC" w:rsidRPr="005A5FC7">
        <w:rPr>
          <w:sz w:val="24"/>
          <w:szCs w:val="24"/>
        </w:rPr>
        <w:t xml:space="preserve">  </w:t>
      </w:r>
      <w:r w:rsidR="00421485" w:rsidRPr="005A5FC7">
        <w:rPr>
          <w:sz w:val="24"/>
          <w:szCs w:val="24"/>
        </w:rPr>
        <w:t xml:space="preserve">Any improved cost control, whether through the mechanisms included in the ACA or through other policy changes, necessarily requires a slowing of the growth that has protected </w:t>
      </w:r>
      <w:r w:rsidR="00421485" w:rsidRPr="005A5FC7">
        <w:rPr>
          <w:sz w:val="24"/>
          <w:szCs w:val="24"/>
        </w:rPr>
        <w:lastRenderedPageBreak/>
        <w:t>healthcare workers and sectors from painful reorganization.  In the past, even as we have seen a large shift away from hos</w:t>
      </w:r>
      <w:r w:rsidR="00BE31A7">
        <w:rPr>
          <w:sz w:val="24"/>
          <w:szCs w:val="24"/>
        </w:rPr>
        <w:t>pitals and into home health</w:t>
      </w:r>
      <w:r w:rsidR="00D77804" w:rsidRPr="005A5FC7">
        <w:rPr>
          <w:sz w:val="24"/>
          <w:szCs w:val="24"/>
        </w:rPr>
        <w:t xml:space="preserve">, </w:t>
      </w:r>
      <w:r w:rsidR="009B546F">
        <w:rPr>
          <w:sz w:val="24"/>
          <w:szCs w:val="24"/>
        </w:rPr>
        <w:t xml:space="preserve">layoffs and </w:t>
      </w:r>
      <w:r w:rsidR="00421485" w:rsidRPr="005A5FC7">
        <w:rPr>
          <w:sz w:val="24"/>
          <w:szCs w:val="24"/>
        </w:rPr>
        <w:t>restructuring have been largely avoided because overall growth was fast enough to prevent any one sector from contracting in absolute terms.  If effective cost control is to be a reality, this growth in jobs will h</w:t>
      </w:r>
      <w:r w:rsidR="005A5FC7" w:rsidRPr="005A5FC7">
        <w:rPr>
          <w:sz w:val="24"/>
          <w:szCs w:val="24"/>
        </w:rPr>
        <w:t>ave to slow.</w:t>
      </w:r>
    </w:p>
    <w:p w14:paraId="1106860A" w14:textId="67C51E96" w:rsidR="001B67DE" w:rsidRPr="005A5FC7" w:rsidRDefault="00421485" w:rsidP="00421485">
      <w:pPr>
        <w:ind w:firstLine="720"/>
        <w:rPr>
          <w:sz w:val="24"/>
          <w:szCs w:val="24"/>
        </w:rPr>
      </w:pPr>
      <w:r w:rsidRPr="005A5FC7">
        <w:rPr>
          <w:sz w:val="24"/>
          <w:szCs w:val="24"/>
        </w:rPr>
        <w:t>The reality is that</w:t>
      </w:r>
      <w:r w:rsidR="009B3A15" w:rsidRPr="005A5FC7">
        <w:rPr>
          <w:sz w:val="24"/>
          <w:szCs w:val="24"/>
        </w:rPr>
        <w:t xml:space="preserve">, unlike every other major industry, </w:t>
      </w:r>
      <w:r w:rsidRPr="005A5FC7">
        <w:rPr>
          <w:sz w:val="24"/>
          <w:szCs w:val="24"/>
        </w:rPr>
        <w:t xml:space="preserve">the health sector has never had to resort to layoffs to </w:t>
      </w:r>
      <w:r w:rsidR="009B3A15" w:rsidRPr="005A5FC7">
        <w:rPr>
          <w:sz w:val="24"/>
          <w:szCs w:val="24"/>
        </w:rPr>
        <w:t xml:space="preserve">make fundamental structural </w:t>
      </w:r>
      <w:r w:rsidRPr="005A5FC7">
        <w:rPr>
          <w:sz w:val="24"/>
          <w:szCs w:val="24"/>
        </w:rPr>
        <w:t>change</w:t>
      </w:r>
      <w:r w:rsidR="009B3A15" w:rsidRPr="005A5FC7">
        <w:rPr>
          <w:sz w:val="24"/>
          <w:szCs w:val="24"/>
        </w:rPr>
        <w:t>s</w:t>
      </w:r>
      <w:r w:rsidRPr="005A5FC7">
        <w:rPr>
          <w:sz w:val="24"/>
          <w:szCs w:val="24"/>
        </w:rPr>
        <w:t xml:space="preserve">. </w:t>
      </w:r>
      <w:r w:rsidR="0043720C" w:rsidRPr="005A5FC7">
        <w:rPr>
          <w:sz w:val="24"/>
          <w:szCs w:val="24"/>
        </w:rPr>
        <w:t xml:space="preserve">This continued job growth is partially because of structural forces: the health services sector is </w:t>
      </w:r>
      <w:r w:rsidR="009B3A15" w:rsidRPr="005A5FC7">
        <w:rPr>
          <w:sz w:val="24"/>
          <w:szCs w:val="24"/>
        </w:rPr>
        <w:t xml:space="preserve">characterized by ever-new </w:t>
      </w:r>
      <w:r w:rsidR="0081791D" w:rsidRPr="005A5FC7">
        <w:rPr>
          <w:sz w:val="24"/>
          <w:szCs w:val="24"/>
        </w:rPr>
        <w:t>technological innovations</w:t>
      </w:r>
      <w:r w:rsidR="009B3A15" w:rsidRPr="005A5FC7">
        <w:rPr>
          <w:sz w:val="24"/>
          <w:szCs w:val="24"/>
        </w:rPr>
        <w:t xml:space="preserve">, </w:t>
      </w:r>
      <w:r w:rsidR="0081791D" w:rsidRPr="005A5FC7">
        <w:rPr>
          <w:sz w:val="24"/>
          <w:szCs w:val="24"/>
        </w:rPr>
        <w:t xml:space="preserve">is highly </w:t>
      </w:r>
      <w:r w:rsidR="0043720C" w:rsidRPr="005A5FC7">
        <w:rPr>
          <w:sz w:val="24"/>
          <w:szCs w:val="24"/>
        </w:rPr>
        <w:t>labor-inten</w:t>
      </w:r>
      <w:r w:rsidR="0081791D" w:rsidRPr="005A5FC7">
        <w:rPr>
          <w:sz w:val="24"/>
          <w:szCs w:val="24"/>
        </w:rPr>
        <w:t xml:space="preserve">sive, cannot be outsourced, </w:t>
      </w:r>
      <w:r w:rsidR="0043720C" w:rsidRPr="005A5FC7">
        <w:rPr>
          <w:sz w:val="24"/>
          <w:szCs w:val="24"/>
        </w:rPr>
        <w:t>is hard to automate (particularly in fast g</w:t>
      </w:r>
      <w:r w:rsidR="00BE31A7">
        <w:rPr>
          <w:sz w:val="24"/>
          <w:szCs w:val="24"/>
        </w:rPr>
        <w:t>rowing sectors like home health</w:t>
      </w:r>
      <w:r w:rsidR="0043720C" w:rsidRPr="005A5FC7">
        <w:rPr>
          <w:sz w:val="24"/>
          <w:szCs w:val="24"/>
        </w:rPr>
        <w:t>care)</w:t>
      </w:r>
      <w:r w:rsidR="0081791D" w:rsidRPr="005A5FC7">
        <w:rPr>
          <w:sz w:val="24"/>
          <w:szCs w:val="24"/>
        </w:rPr>
        <w:t>, and has been able to pass along rising costs to third-party payers and consumers. Unlike retail and manufacturing industries, where computers are replacing humans, computerized medical records have only added to the required human workload, whether it is physicians and nurses spending more time tapping on the keyboard, or hiring 21</w:t>
      </w:r>
      <w:r w:rsidR="0081791D" w:rsidRPr="005A5FC7">
        <w:rPr>
          <w:sz w:val="24"/>
          <w:szCs w:val="24"/>
          <w:vertAlign w:val="superscript"/>
        </w:rPr>
        <w:t>st</w:t>
      </w:r>
      <w:r w:rsidR="0081791D" w:rsidRPr="005A5FC7">
        <w:rPr>
          <w:sz w:val="24"/>
          <w:szCs w:val="24"/>
        </w:rPr>
        <w:t xml:space="preserve"> century scribes to follow them around.  </w:t>
      </w:r>
    </w:p>
    <w:p w14:paraId="7A450B18" w14:textId="1CEF0B66" w:rsidR="0081791D" w:rsidRDefault="0081791D" w:rsidP="0081791D">
      <w:pPr>
        <w:rPr>
          <w:sz w:val="24"/>
          <w:szCs w:val="24"/>
        </w:rPr>
      </w:pPr>
      <w:r w:rsidRPr="005A5FC7">
        <w:rPr>
          <w:sz w:val="24"/>
          <w:szCs w:val="24"/>
        </w:rPr>
        <w:tab/>
        <w:t xml:space="preserve">We don’t mean to fall into the typical economist’s role of eternal pessimist.  Instead, we are suggesting that for system-wide change, one key focus should be on the Human Resources department.  Short-sighted policies like hiring freezes are unlikely to be successful, since they simply freeze in place outmoded worker allocations, preventing the hiring of </w:t>
      </w:r>
      <w:r w:rsidR="0005021A">
        <w:rPr>
          <w:sz w:val="24"/>
          <w:szCs w:val="24"/>
        </w:rPr>
        <w:t>needed workers</w:t>
      </w:r>
      <w:r w:rsidR="00BE31A7">
        <w:rPr>
          <w:sz w:val="24"/>
          <w:szCs w:val="24"/>
        </w:rPr>
        <w:t xml:space="preserve">, and sometimes leading to increased strains on existing employees. </w:t>
      </w:r>
      <w:r w:rsidRPr="005A5FC7">
        <w:rPr>
          <w:sz w:val="24"/>
          <w:szCs w:val="24"/>
        </w:rPr>
        <w:t xml:space="preserve">Instead, the focus should be on </w:t>
      </w:r>
      <w:r w:rsidR="0005021A">
        <w:rPr>
          <w:sz w:val="24"/>
          <w:szCs w:val="24"/>
        </w:rPr>
        <w:t xml:space="preserve">restraining </w:t>
      </w:r>
      <w:r w:rsidRPr="005A5FC7">
        <w:rPr>
          <w:sz w:val="24"/>
          <w:szCs w:val="24"/>
        </w:rPr>
        <w:t xml:space="preserve">overall hiring </w:t>
      </w:r>
      <w:r w:rsidR="0005021A">
        <w:rPr>
          <w:sz w:val="24"/>
          <w:szCs w:val="24"/>
        </w:rPr>
        <w:t>by “right-sizing</w:t>
      </w:r>
      <w:r w:rsidRPr="005A5FC7">
        <w:rPr>
          <w:sz w:val="24"/>
          <w:szCs w:val="24"/>
        </w:rPr>
        <w:t xml:space="preserve">” jobs to </w:t>
      </w:r>
      <w:r w:rsidR="00FC5A4A" w:rsidRPr="005A5FC7">
        <w:rPr>
          <w:sz w:val="24"/>
          <w:szCs w:val="24"/>
        </w:rPr>
        <w:t xml:space="preserve">employees </w:t>
      </w:r>
      <w:r w:rsidRPr="005A5FC7">
        <w:rPr>
          <w:sz w:val="24"/>
          <w:szCs w:val="24"/>
        </w:rPr>
        <w:t>who can best perform them</w:t>
      </w:r>
      <w:r w:rsidR="00FC5A4A" w:rsidRPr="005A5FC7">
        <w:rPr>
          <w:sz w:val="24"/>
          <w:szCs w:val="24"/>
        </w:rPr>
        <w:t>, and</w:t>
      </w:r>
      <w:r w:rsidR="0005021A">
        <w:rPr>
          <w:sz w:val="24"/>
          <w:szCs w:val="24"/>
        </w:rPr>
        <w:t xml:space="preserve"> at lowest</w:t>
      </w:r>
      <w:r w:rsidR="00BE31A7">
        <w:rPr>
          <w:sz w:val="24"/>
          <w:szCs w:val="24"/>
        </w:rPr>
        <w:t xml:space="preserve"> cost</w:t>
      </w:r>
      <w:r w:rsidR="00FC5A4A" w:rsidRPr="005A5FC7">
        <w:rPr>
          <w:sz w:val="24"/>
          <w:szCs w:val="24"/>
        </w:rPr>
        <w:t xml:space="preserve">.  </w:t>
      </w:r>
      <w:r w:rsidR="008D38F9" w:rsidRPr="005A5FC7">
        <w:rPr>
          <w:sz w:val="24"/>
          <w:szCs w:val="24"/>
        </w:rPr>
        <w:t>Now that the current labor market is reawakening after nearly a decade of slumber, there</w:t>
      </w:r>
      <w:r w:rsidR="0021553B" w:rsidRPr="005A5FC7">
        <w:rPr>
          <w:sz w:val="24"/>
          <w:szCs w:val="24"/>
        </w:rPr>
        <w:t xml:space="preserve">’s an opportunity to let other sectors of the economy become the engine of employment growth. </w:t>
      </w:r>
      <w:r w:rsidR="008D38F9" w:rsidRPr="005A5FC7">
        <w:rPr>
          <w:sz w:val="24"/>
          <w:szCs w:val="24"/>
        </w:rPr>
        <w:t xml:space="preserve"> </w:t>
      </w:r>
      <w:r w:rsidR="00FC5A4A" w:rsidRPr="005A5FC7">
        <w:rPr>
          <w:sz w:val="24"/>
          <w:szCs w:val="24"/>
        </w:rPr>
        <w:t>It’s perhaps not a pleasant future, but surely preferable to one in which Medicare, Medicaid, and the ACA collapse under t</w:t>
      </w:r>
      <w:r w:rsidR="00BE31A7">
        <w:rPr>
          <w:sz w:val="24"/>
          <w:szCs w:val="24"/>
        </w:rPr>
        <w:t>he weight of ever-rising health</w:t>
      </w:r>
      <w:r w:rsidR="00FC5A4A" w:rsidRPr="005A5FC7">
        <w:rPr>
          <w:sz w:val="24"/>
          <w:szCs w:val="24"/>
        </w:rPr>
        <w:t xml:space="preserve">care costs. </w:t>
      </w:r>
    </w:p>
    <w:p w14:paraId="4C18D01E" w14:textId="77777777" w:rsidR="00CD7487" w:rsidRDefault="00CD7487" w:rsidP="0081791D">
      <w:pPr>
        <w:rPr>
          <w:sz w:val="24"/>
          <w:szCs w:val="24"/>
        </w:rPr>
      </w:pPr>
    </w:p>
    <w:p w14:paraId="6EF4EB22" w14:textId="44ED6832" w:rsidR="00CD7487" w:rsidRDefault="00CD7487" w:rsidP="0081791D">
      <w:pPr>
        <w:rPr>
          <w:sz w:val="24"/>
          <w:szCs w:val="24"/>
        </w:rPr>
      </w:pPr>
      <w:r>
        <w:rPr>
          <w:sz w:val="24"/>
          <w:szCs w:val="24"/>
        </w:rPr>
        <w:t>References:</w:t>
      </w:r>
    </w:p>
    <w:p w14:paraId="752C51CD" w14:textId="63033487" w:rsidR="005601C4" w:rsidRPr="005601C4" w:rsidRDefault="005601C4">
      <w:pPr>
        <w:widowControl w:val="0"/>
        <w:autoSpaceDE w:val="0"/>
        <w:autoSpaceDN w:val="0"/>
        <w:adjustRightInd w:val="0"/>
        <w:spacing w:after="140" w:line="288" w:lineRule="auto"/>
        <w:ind w:left="480" w:hanging="48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5601C4">
        <w:t xml:space="preserve"> </w:t>
      </w:r>
      <w:r w:rsidRPr="005601C4">
        <w:rPr>
          <w:rFonts w:ascii="Calibri" w:hAnsi="Calibri" w:cs="Calibri"/>
          <w:noProof/>
          <w:sz w:val="24"/>
          <w:szCs w:val="24"/>
        </w:rPr>
        <w:t xml:space="preserve">Altarum Institute, 2015. </w:t>
      </w:r>
      <w:r w:rsidRPr="005601C4">
        <w:rPr>
          <w:rFonts w:ascii="Calibri" w:hAnsi="Calibri" w:cs="Calibri"/>
          <w:i/>
          <w:iCs/>
          <w:noProof/>
          <w:sz w:val="24"/>
          <w:szCs w:val="24"/>
        </w:rPr>
        <w:t>No moderation in hospital and health sector job growth</w:t>
      </w:r>
      <w:r w:rsidRPr="005601C4">
        <w:rPr>
          <w:rFonts w:ascii="Calibri" w:hAnsi="Calibri" w:cs="Calibri"/>
          <w:noProof/>
          <w:sz w:val="24"/>
          <w:szCs w:val="24"/>
        </w:rPr>
        <w:t>,</w:t>
      </w:r>
    </w:p>
    <w:p w14:paraId="404B297F" w14:textId="77777777" w:rsidR="005601C4" w:rsidRPr="005601C4" w:rsidRDefault="005601C4">
      <w:pPr>
        <w:widowControl w:val="0"/>
        <w:autoSpaceDE w:val="0"/>
        <w:autoSpaceDN w:val="0"/>
        <w:adjustRightInd w:val="0"/>
        <w:spacing w:after="140" w:line="288" w:lineRule="auto"/>
        <w:ind w:left="480" w:hanging="480"/>
        <w:rPr>
          <w:rFonts w:ascii="Calibri" w:hAnsi="Calibri" w:cs="Calibri"/>
          <w:noProof/>
          <w:sz w:val="24"/>
          <w:szCs w:val="24"/>
        </w:rPr>
      </w:pPr>
      <w:r w:rsidRPr="005601C4">
        <w:rPr>
          <w:rFonts w:ascii="Calibri" w:hAnsi="Calibri" w:cs="Calibri"/>
          <w:noProof/>
          <w:sz w:val="24"/>
          <w:szCs w:val="24"/>
        </w:rPr>
        <w:t xml:space="preserve">Chandra, A., Holmes, J. &amp; Skinner, J., 2013. Is This Time Different? The Slowdown in Health Care Spending. </w:t>
      </w:r>
      <w:r w:rsidRPr="005601C4">
        <w:rPr>
          <w:rFonts w:ascii="Calibri" w:hAnsi="Calibri" w:cs="Calibri"/>
          <w:i/>
          <w:iCs/>
          <w:noProof/>
          <w:sz w:val="24"/>
          <w:szCs w:val="24"/>
        </w:rPr>
        <w:t>Brookings Papers on Economic Activity</w:t>
      </w:r>
      <w:r w:rsidRPr="005601C4">
        <w:rPr>
          <w:rFonts w:ascii="Calibri" w:hAnsi="Calibri" w:cs="Calibri"/>
          <w:noProof/>
          <w:sz w:val="24"/>
          <w:szCs w:val="24"/>
        </w:rPr>
        <w:t>, pp.261–302.</w:t>
      </w:r>
    </w:p>
    <w:p w14:paraId="1E83C913" w14:textId="77777777" w:rsidR="005601C4" w:rsidRPr="005601C4" w:rsidRDefault="005601C4">
      <w:pPr>
        <w:widowControl w:val="0"/>
        <w:autoSpaceDE w:val="0"/>
        <w:autoSpaceDN w:val="0"/>
        <w:adjustRightInd w:val="0"/>
        <w:spacing w:after="140" w:line="288" w:lineRule="auto"/>
        <w:ind w:left="480" w:hanging="480"/>
        <w:rPr>
          <w:rFonts w:ascii="Calibri" w:hAnsi="Calibri" w:cs="Calibri"/>
          <w:noProof/>
          <w:sz w:val="24"/>
          <w:szCs w:val="24"/>
        </w:rPr>
      </w:pPr>
      <w:r w:rsidRPr="005601C4">
        <w:rPr>
          <w:rFonts w:ascii="Calibri" w:hAnsi="Calibri" w:cs="Calibri"/>
          <w:noProof/>
          <w:sz w:val="24"/>
          <w:szCs w:val="24"/>
        </w:rPr>
        <w:t xml:space="preserve">Krumholz, H.M. et al., 2015. Mortality, Hospitalizations, and Expenditures for the Medicare Population Aged 65 Years or Older, 1999-2013. </w:t>
      </w:r>
      <w:r w:rsidRPr="005601C4">
        <w:rPr>
          <w:rFonts w:ascii="Calibri" w:hAnsi="Calibri" w:cs="Calibri"/>
          <w:i/>
          <w:iCs/>
          <w:noProof/>
          <w:sz w:val="24"/>
          <w:szCs w:val="24"/>
        </w:rPr>
        <w:t>Jama</w:t>
      </w:r>
      <w:r w:rsidRPr="005601C4">
        <w:rPr>
          <w:rFonts w:ascii="Calibri" w:hAnsi="Calibri" w:cs="Calibri"/>
          <w:noProof/>
          <w:sz w:val="24"/>
          <w:szCs w:val="24"/>
        </w:rPr>
        <w:t>, 314(4), p.355. Available at: http://jama.jamanetwork.com/article.aspx?doi=10.1001/jama.2015.8035.</w:t>
      </w:r>
    </w:p>
    <w:p w14:paraId="40C5B2DF" w14:textId="77777777" w:rsidR="005601C4" w:rsidRPr="005601C4" w:rsidRDefault="005601C4">
      <w:pPr>
        <w:widowControl w:val="0"/>
        <w:autoSpaceDE w:val="0"/>
        <w:autoSpaceDN w:val="0"/>
        <w:adjustRightInd w:val="0"/>
        <w:spacing w:after="140" w:line="288" w:lineRule="auto"/>
        <w:ind w:left="480" w:hanging="480"/>
        <w:rPr>
          <w:rFonts w:ascii="Calibri" w:hAnsi="Calibri" w:cs="Calibri"/>
          <w:noProof/>
          <w:sz w:val="24"/>
        </w:rPr>
      </w:pPr>
      <w:r w:rsidRPr="005601C4">
        <w:rPr>
          <w:rFonts w:ascii="Calibri" w:hAnsi="Calibri" w:cs="Calibri"/>
          <w:noProof/>
          <w:sz w:val="24"/>
          <w:szCs w:val="24"/>
        </w:rPr>
        <w:t xml:space="preserve">Young, J., 2014. U.S. Experiences Unprecedented Slowdown In Health Care Spending. </w:t>
      </w:r>
      <w:r w:rsidRPr="005601C4">
        <w:rPr>
          <w:rFonts w:ascii="Calibri" w:hAnsi="Calibri" w:cs="Calibri"/>
          <w:i/>
          <w:iCs/>
          <w:noProof/>
          <w:sz w:val="24"/>
          <w:szCs w:val="24"/>
        </w:rPr>
        <w:t>Huffington Post</w:t>
      </w:r>
      <w:r w:rsidRPr="005601C4">
        <w:rPr>
          <w:rFonts w:ascii="Calibri" w:hAnsi="Calibri" w:cs="Calibri"/>
          <w:noProof/>
          <w:sz w:val="24"/>
          <w:szCs w:val="24"/>
        </w:rPr>
        <w:t>. Available at: http://www.huffingtonpost.com/2014/12/03/health-care-</w:t>
      </w:r>
      <w:r w:rsidRPr="005601C4">
        <w:rPr>
          <w:rFonts w:ascii="Calibri" w:hAnsi="Calibri" w:cs="Calibri"/>
          <w:noProof/>
          <w:sz w:val="24"/>
          <w:szCs w:val="24"/>
        </w:rPr>
        <w:lastRenderedPageBreak/>
        <w:t>spending_n_6256166.html [Accessed November 20, 2015].</w:t>
      </w:r>
    </w:p>
    <w:p w14:paraId="5180A78E" w14:textId="01BA05CE" w:rsidR="005601C4" w:rsidRPr="005A5FC7" w:rsidRDefault="005601C4" w:rsidP="005601C4">
      <w:pPr>
        <w:widowControl w:val="0"/>
        <w:autoSpaceDE w:val="0"/>
        <w:autoSpaceDN w:val="0"/>
        <w:adjustRightInd w:val="0"/>
        <w:spacing w:after="140" w:line="288" w:lineRule="auto"/>
        <w:ind w:left="480" w:hanging="480"/>
        <w:rPr>
          <w:sz w:val="24"/>
          <w:szCs w:val="24"/>
        </w:rPr>
      </w:pPr>
      <w:r>
        <w:rPr>
          <w:sz w:val="24"/>
          <w:szCs w:val="24"/>
        </w:rPr>
        <w:fldChar w:fldCharType="end"/>
      </w:r>
    </w:p>
    <w:p w14:paraId="56CAD3A3" w14:textId="77777777" w:rsidR="0027283B" w:rsidRDefault="0027283B" w:rsidP="0027283B">
      <w:pPr>
        <w:rPr>
          <w:rFonts w:eastAsia="Times New Roman"/>
        </w:rPr>
      </w:pPr>
      <w:r>
        <w:rPr>
          <w:rFonts w:eastAsia="Times New Roman"/>
        </w:rPr>
        <w:t>Here is the data you requested. All numbers are annual averages in thousands of employees, and most of the states had data for both “Social Assistance” and “Health Care and Social Assistance” from 1990 to 2015.  There are a number of exceptions:</w:t>
      </w:r>
    </w:p>
    <w:p w14:paraId="3E25EAAF" w14:textId="77777777" w:rsidR="0027283B" w:rsidRDefault="0027283B" w:rsidP="0027283B">
      <w:pPr>
        <w:rPr>
          <w:rFonts w:eastAsia="Times New Roman"/>
        </w:rPr>
      </w:pPr>
    </w:p>
    <w:p w14:paraId="4FA90694" w14:textId="77777777" w:rsidR="0027283B" w:rsidRDefault="0027283B" w:rsidP="0027283B">
      <w:pPr>
        <w:rPr>
          <w:rFonts w:eastAsia="Times New Roman"/>
        </w:rPr>
      </w:pPr>
    </w:p>
    <w:p w14:paraId="226E2ECA" w14:textId="77777777" w:rsidR="0027283B" w:rsidRDefault="0027283B" w:rsidP="0027283B">
      <w:pPr>
        <w:rPr>
          <w:rFonts w:eastAsia="Times New Roman"/>
        </w:rPr>
      </w:pPr>
      <w:r>
        <w:rPr>
          <w:rFonts w:eastAsia="Times New Roman"/>
        </w:rPr>
        <w:t>1. Iowa, Kansas, Mississippi, Nevada, New Hampshire, South Carolina, South Dakota, and West Virginia did not have data for "Social Assistance" on its own, only "Health and Social Assistance" together. I left the underlying data for these in the spreadsheet but I did not include these states in the master data table.  </w:t>
      </w:r>
    </w:p>
    <w:p w14:paraId="7805B8BF" w14:textId="77777777" w:rsidR="0027283B" w:rsidRDefault="0027283B" w:rsidP="0027283B">
      <w:pPr>
        <w:rPr>
          <w:rFonts w:eastAsia="Times New Roman"/>
        </w:rPr>
      </w:pPr>
    </w:p>
    <w:p w14:paraId="0E8D6E87" w14:textId="77777777" w:rsidR="0027283B" w:rsidRDefault="0027283B" w:rsidP="0027283B">
      <w:pPr>
        <w:rPr>
          <w:rFonts w:eastAsia="Times New Roman"/>
        </w:rPr>
      </w:pPr>
      <w:r>
        <w:rPr>
          <w:rFonts w:eastAsia="Times New Roman"/>
        </w:rPr>
        <w:t>2. New Mexico did not have data for either of these categories; instead, they only report "Education and Health Services" as a whole. I also left the underlying data in the spreadsheet, but did not include New Mexico in the master data table.  </w:t>
      </w:r>
    </w:p>
    <w:p w14:paraId="62D5DD53" w14:textId="77777777" w:rsidR="0027283B" w:rsidRDefault="0027283B" w:rsidP="0027283B">
      <w:pPr>
        <w:rPr>
          <w:rFonts w:eastAsia="Times New Roman"/>
        </w:rPr>
      </w:pPr>
    </w:p>
    <w:p w14:paraId="4198A067" w14:textId="77777777" w:rsidR="0027283B" w:rsidRDefault="0027283B" w:rsidP="0027283B">
      <w:pPr>
        <w:rPr>
          <w:rFonts w:eastAsia="Times New Roman"/>
        </w:rPr>
      </w:pPr>
      <w:r>
        <w:rPr>
          <w:rFonts w:eastAsia="Times New Roman"/>
        </w:rPr>
        <w:t>3. Kentucky and Michigan only have "Social Assistance" data from 2001+</w:t>
      </w:r>
    </w:p>
    <w:p w14:paraId="174E74CC" w14:textId="77777777" w:rsidR="0027283B" w:rsidRDefault="0027283B" w:rsidP="0027283B">
      <w:pPr>
        <w:rPr>
          <w:rFonts w:eastAsia="Times New Roman"/>
        </w:rPr>
      </w:pPr>
    </w:p>
    <w:p w14:paraId="37E386BC" w14:textId="77777777" w:rsidR="0027283B" w:rsidRDefault="0027283B" w:rsidP="0027283B">
      <w:pPr>
        <w:rPr>
          <w:rFonts w:eastAsia="Times New Roman"/>
        </w:rPr>
      </w:pPr>
      <w:r>
        <w:rPr>
          <w:rFonts w:eastAsia="Times New Roman"/>
        </w:rPr>
        <w:t>4. Wisconsin only has “Social Assistance" data from 1995+.</w:t>
      </w:r>
    </w:p>
    <w:p w14:paraId="2EB49EDC" w14:textId="77777777" w:rsidR="0027283B" w:rsidRDefault="0027283B" w:rsidP="0027283B">
      <w:pPr>
        <w:rPr>
          <w:rFonts w:eastAsia="Times New Roman"/>
        </w:rPr>
      </w:pPr>
    </w:p>
    <w:p w14:paraId="623F191D" w14:textId="77777777" w:rsidR="0027283B" w:rsidRDefault="0027283B" w:rsidP="0027283B">
      <w:pPr>
        <w:rPr>
          <w:rFonts w:eastAsia="Times New Roman"/>
        </w:rPr>
      </w:pPr>
      <w:r>
        <w:rPr>
          <w:rFonts w:eastAsia="Times New Roman"/>
        </w:rPr>
        <w:t>5. As you mentioned, Alaska had a separate “Health Care” category, and only had data from 2003+.</w:t>
      </w:r>
    </w:p>
    <w:p w14:paraId="29B35A68" w14:textId="77777777" w:rsidR="0027283B" w:rsidRDefault="0027283B" w:rsidP="0027283B">
      <w:pPr>
        <w:rPr>
          <w:rFonts w:eastAsia="Times New Roman"/>
        </w:rPr>
      </w:pPr>
    </w:p>
    <w:p w14:paraId="60A01EB2" w14:textId="77777777" w:rsidR="0027283B" w:rsidRDefault="0027283B" w:rsidP="0027283B">
      <w:pPr>
        <w:rPr>
          <w:rFonts w:eastAsia="Times New Roman"/>
        </w:rPr>
      </w:pPr>
    </w:p>
    <w:p w14:paraId="79C68779" w14:textId="77777777" w:rsidR="0027283B" w:rsidRDefault="0027283B" w:rsidP="0027283B">
      <w:pPr>
        <w:rPr>
          <w:rFonts w:eastAsia="Times New Roman"/>
        </w:rPr>
      </w:pPr>
      <w:r>
        <w:rPr>
          <w:rFonts w:eastAsia="Times New Roman"/>
        </w:rPr>
        <w:t>As a result, 41 states are found in the master data table, and 4 of them do not have the full 15 years of data.</w:t>
      </w:r>
    </w:p>
    <w:p w14:paraId="504833FA" w14:textId="77777777" w:rsidR="0027283B" w:rsidRDefault="0027283B" w:rsidP="0027283B">
      <w:pPr>
        <w:rPr>
          <w:rFonts w:eastAsia="Times New Roman"/>
        </w:rPr>
      </w:pPr>
      <w:r>
        <w:rPr>
          <w:rFonts w:eastAsia="Times New Roman"/>
        </w:rPr>
        <w:t>Please let me know if you want anything in a different format, you see any issues, or you have any questions. </w:t>
      </w:r>
    </w:p>
    <w:p w14:paraId="01A9E668" w14:textId="77777777" w:rsidR="00A65F79" w:rsidRDefault="00A65F79" w:rsidP="00CA70B8">
      <w:bookmarkStart w:id="0" w:name="_GoBack"/>
      <w:bookmarkEnd w:id="0"/>
    </w:p>
    <w:p w14:paraId="2E8B90C9" w14:textId="3B3E3095" w:rsidR="00F61F53" w:rsidRDefault="00F61F53">
      <w:r>
        <w:br w:type="page"/>
      </w:r>
    </w:p>
    <w:p w14:paraId="41051ACE" w14:textId="5DD2D917" w:rsidR="00AF0778" w:rsidRDefault="009B546F">
      <w:r>
        <w:rPr>
          <w:noProof/>
        </w:rPr>
        <w:lastRenderedPageBreak/>
        <w:drawing>
          <wp:inline distT="0" distB="0" distL="0" distR="0" wp14:anchorId="7CDF2C95" wp14:editId="14263A64">
            <wp:extent cx="5943600" cy="4435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5475"/>
                    </a:xfrm>
                    <a:prstGeom prst="rect">
                      <a:avLst/>
                    </a:prstGeom>
                  </pic:spPr>
                </pic:pic>
              </a:graphicData>
            </a:graphic>
          </wp:inline>
        </w:drawing>
      </w:r>
    </w:p>
    <w:p w14:paraId="60675460" w14:textId="77777777" w:rsidR="00526763" w:rsidRDefault="00526763"/>
    <w:p w14:paraId="0E8AB82F" w14:textId="77777777" w:rsidR="005246AB" w:rsidRDefault="005246AB"/>
    <w:p w14:paraId="68F61BC9" w14:textId="77777777" w:rsidR="005246AB" w:rsidRDefault="005246AB"/>
    <w:p w14:paraId="4494CBAE" w14:textId="77777777" w:rsidR="005246AB" w:rsidRDefault="005246AB"/>
    <w:p w14:paraId="1B56AE00" w14:textId="675DFD08" w:rsidR="005246AB" w:rsidRDefault="005246AB">
      <w:r>
        <w:br w:type="page"/>
      </w:r>
    </w:p>
    <w:p w14:paraId="114BA247" w14:textId="79A26E47" w:rsidR="005246AB" w:rsidRPr="005246AB" w:rsidRDefault="005246AB">
      <w:pPr>
        <w:rPr>
          <w:sz w:val="40"/>
          <w:szCs w:val="40"/>
        </w:rPr>
      </w:pPr>
      <w:r w:rsidRPr="005246AB">
        <w:rPr>
          <w:sz w:val="40"/>
          <w:szCs w:val="40"/>
        </w:rPr>
        <w:lastRenderedPageBreak/>
        <w:t>Figure 1:</w:t>
      </w:r>
    </w:p>
    <w:p w14:paraId="771CD9A9" w14:textId="5BDBA080" w:rsidR="00526763" w:rsidRDefault="00526763">
      <w:r>
        <w:rPr>
          <w:noProof/>
        </w:rPr>
        <w:drawing>
          <wp:inline distT="0" distB="0" distL="0" distR="0" wp14:anchorId="6634A5EC" wp14:editId="54129BF6">
            <wp:extent cx="5631972" cy="4098713"/>
            <wp:effectExtent l="0" t="0" r="6985" b="0"/>
            <wp:docPr id="2" name="Picture 2"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645240" cy="4108369"/>
                    </a:xfrm>
                    <a:prstGeom prst="rect">
                      <a:avLst/>
                    </a:prstGeom>
                    <a:noFill/>
                    <a:ln>
                      <a:noFill/>
                    </a:ln>
                  </pic:spPr>
                </pic:pic>
              </a:graphicData>
            </a:graphic>
          </wp:inline>
        </w:drawing>
      </w:r>
    </w:p>
    <w:p w14:paraId="3907FADB" w14:textId="77777777" w:rsidR="005246AB" w:rsidRDefault="005246AB"/>
    <w:p w14:paraId="022F7F33" w14:textId="77777777" w:rsidR="005246AB" w:rsidRDefault="005246AB"/>
    <w:p w14:paraId="732F809F" w14:textId="77777777" w:rsidR="005246AB" w:rsidRDefault="005246AB"/>
    <w:sectPr w:rsidR="005246A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408C2" w14:textId="77777777" w:rsidR="005D21A8" w:rsidRDefault="005D21A8" w:rsidP="001B67DE">
      <w:pPr>
        <w:spacing w:after="0" w:line="240" w:lineRule="auto"/>
      </w:pPr>
      <w:r>
        <w:separator/>
      </w:r>
    </w:p>
  </w:endnote>
  <w:endnote w:type="continuationSeparator" w:id="0">
    <w:p w14:paraId="09FAF3DF" w14:textId="77777777" w:rsidR="005D21A8" w:rsidRDefault="005D21A8" w:rsidP="001B67DE">
      <w:pPr>
        <w:spacing w:after="0" w:line="240" w:lineRule="auto"/>
      </w:pPr>
      <w:r>
        <w:continuationSeparator/>
      </w:r>
    </w:p>
  </w:endnote>
  <w:endnote w:type="continuationNotice" w:id="1">
    <w:p w14:paraId="3D0ECF36" w14:textId="77777777" w:rsidR="005D21A8" w:rsidRDefault="005D2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95C50" w14:textId="77777777" w:rsidR="00645B98" w:rsidRDefault="00645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603BF" w14:textId="77777777" w:rsidR="005D21A8" w:rsidRDefault="005D21A8" w:rsidP="001B67DE">
      <w:pPr>
        <w:spacing w:after="0" w:line="240" w:lineRule="auto"/>
      </w:pPr>
      <w:r>
        <w:separator/>
      </w:r>
    </w:p>
  </w:footnote>
  <w:footnote w:type="continuationSeparator" w:id="0">
    <w:p w14:paraId="7C833761" w14:textId="77777777" w:rsidR="005D21A8" w:rsidRDefault="005D21A8" w:rsidP="001B67DE">
      <w:pPr>
        <w:spacing w:after="0" w:line="240" w:lineRule="auto"/>
      </w:pPr>
      <w:r>
        <w:continuationSeparator/>
      </w:r>
    </w:p>
  </w:footnote>
  <w:footnote w:type="continuationNotice" w:id="1">
    <w:p w14:paraId="344129CE" w14:textId="77777777" w:rsidR="005D21A8" w:rsidRDefault="005D21A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AC63F" w14:textId="77777777" w:rsidR="00645B98" w:rsidRDefault="00645B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71"/>
    <w:rsid w:val="0003484B"/>
    <w:rsid w:val="000416AC"/>
    <w:rsid w:val="0005021A"/>
    <w:rsid w:val="0008308C"/>
    <w:rsid w:val="00154263"/>
    <w:rsid w:val="00171F06"/>
    <w:rsid w:val="001A098F"/>
    <w:rsid w:val="001B67DE"/>
    <w:rsid w:val="00205B1A"/>
    <w:rsid w:val="00207923"/>
    <w:rsid w:val="0021553B"/>
    <w:rsid w:val="00216537"/>
    <w:rsid w:val="0027283B"/>
    <w:rsid w:val="00276A42"/>
    <w:rsid w:val="002A4F33"/>
    <w:rsid w:val="002B1C33"/>
    <w:rsid w:val="002C1411"/>
    <w:rsid w:val="00300290"/>
    <w:rsid w:val="00322E2E"/>
    <w:rsid w:val="0036027F"/>
    <w:rsid w:val="00360B58"/>
    <w:rsid w:val="003A06D9"/>
    <w:rsid w:val="003E00D2"/>
    <w:rsid w:val="003E054B"/>
    <w:rsid w:val="00403AF8"/>
    <w:rsid w:val="00421485"/>
    <w:rsid w:val="00434F36"/>
    <w:rsid w:val="0043526C"/>
    <w:rsid w:val="0043720C"/>
    <w:rsid w:val="004528F7"/>
    <w:rsid w:val="00483C7E"/>
    <w:rsid w:val="00490DA1"/>
    <w:rsid w:val="00496F64"/>
    <w:rsid w:val="004F43D0"/>
    <w:rsid w:val="00501233"/>
    <w:rsid w:val="005246AB"/>
    <w:rsid w:val="00526763"/>
    <w:rsid w:val="00527FBB"/>
    <w:rsid w:val="005601C4"/>
    <w:rsid w:val="00567BE1"/>
    <w:rsid w:val="00572EAC"/>
    <w:rsid w:val="005A5FC7"/>
    <w:rsid w:val="005C4CD7"/>
    <w:rsid w:val="005D21A8"/>
    <w:rsid w:val="006376C5"/>
    <w:rsid w:val="00645B98"/>
    <w:rsid w:val="00657878"/>
    <w:rsid w:val="0067358E"/>
    <w:rsid w:val="00681647"/>
    <w:rsid w:val="006A3B92"/>
    <w:rsid w:val="006E3671"/>
    <w:rsid w:val="00711390"/>
    <w:rsid w:val="00762C27"/>
    <w:rsid w:val="00782AD4"/>
    <w:rsid w:val="007A4D15"/>
    <w:rsid w:val="007D378A"/>
    <w:rsid w:val="007E2030"/>
    <w:rsid w:val="0081791D"/>
    <w:rsid w:val="00840EB8"/>
    <w:rsid w:val="00851983"/>
    <w:rsid w:val="0085201E"/>
    <w:rsid w:val="00865F02"/>
    <w:rsid w:val="00870DC4"/>
    <w:rsid w:val="00894882"/>
    <w:rsid w:val="008D38F9"/>
    <w:rsid w:val="008F7D59"/>
    <w:rsid w:val="00916E10"/>
    <w:rsid w:val="009631EC"/>
    <w:rsid w:val="009750C3"/>
    <w:rsid w:val="009B3A15"/>
    <w:rsid w:val="009B546F"/>
    <w:rsid w:val="009D2BAC"/>
    <w:rsid w:val="00A31E57"/>
    <w:rsid w:val="00A4050B"/>
    <w:rsid w:val="00A41645"/>
    <w:rsid w:val="00A65F79"/>
    <w:rsid w:val="00AA27FA"/>
    <w:rsid w:val="00AA6AF0"/>
    <w:rsid w:val="00AA75F0"/>
    <w:rsid w:val="00AB1BA3"/>
    <w:rsid w:val="00AE3919"/>
    <w:rsid w:val="00AE6D9A"/>
    <w:rsid w:val="00AF0778"/>
    <w:rsid w:val="00B21B67"/>
    <w:rsid w:val="00B723CB"/>
    <w:rsid w:val="00BE2222"/>
    <w:rsid w:val="00BE31A7"/>
    <w:rsid w:val="00C0668C"/>
    <w:rsid w:val="00C1082C"/>
    <w:rsid w:val="00C125F5"/>
    <w:rsid w:val="00C142B2"/>
    <w:rsid w:val="00C16BED"/>
    <w:rsid w:val="00C16EFE"/>
    <w:rsid w:val="00C46AC6"/>
    <w:rsid w:val="00CA70B8"/>
    <w:rsid w:val="00CB4080"/>
    <w:rsid w:val="00CD7487"/>
    <w:rsid w:val="00D31511"/>
    <w:rsid w:val="00D62DAD"/>
    <w:rsid w:val="00D643F3"/>
    <w:rsid w:val="00D6784D"/>
    <w:rsid w:val="00D777D3"/>
    <w:rsid w:val="00D77804"/>
    <w:rsid w:val="00DC2D56"/>
    <w:rsid w:val="00DE20A4"/>
    <w:rsid w:val="00E16783"/>
    <w:rsid w:val="00E66368"/>
    <w:rsid w:val="00E7530F"/>
    <w:rsid w:val="00EB115C"/>
    <w:rsid w:val="00ED3CEB"/>
    <w:rsid w:val="00EE5AF0"/>
    <w:rsid w:val="00EF0251"/>
    <w:rsid w:val="00F2167E"/>
    <w:rsid w:val="00F22CF0"/>
    <w:rsid w:val="00F61F53"/>
    <w:rsid w:val="00FB7653"/>
    <w:rsid w:val="00FC5A4A"/>
    <w:rsid w:val="00FF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1797"/>
  <w15:docId w15:val="{D4A20891-77B9-458E-8385-8FC073BC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67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67DE"/>
    <w:rPr>
      <w:sz w:val="20"/>
      <w:szCs w:val="20"/>
    </w:rPr>
  </w:style>
  <w:style w:type="character" w:styleId="FootnoteReference">
    <w:name w:val="footnote reference"/>
    <w:basedOn w:val="DefaultParagraphFont"/>
    <w:uiPriority w:val="99"/>
    <w:semiHidden/>
    <w:unhideWhenUsed/>
    <w:rsid w:val="001B67DE"/>
    <w:rPr>
      <w:vertAlign w:val="superscript"/>
    </w:rPr>
  </w:style>
  <w:style w:type="character" w:styleId="CommentReference">
    <w:name w:val="annotation reference"/>
    <w:basedOn w:val="DefaultParagraphFont"/>
    <w:uiPriority w:val="99"/>
    <w:semiHidden/>
    <w:unhideWhenUsed/>
    <w:rsid w:val="0043720C"/>
    <w:rPr>
      <w:sz w:val="16"/>
      <w:szCs w:val="16"/>
    </w:rPr>
  </w:style>
  <w:style w:type="paragraph" w:styleId="CommentText">
    <w:name w:val="annotation text"/>
    <w:basedOn w:val="Normal"/>
    <w:link w:val="CommentTextChar"/>
    <w:uiPriority w:val="99"/>
    <w:semiHidden/>
    <w:unhideWhenUsed/>
    <w:rsid w:val="0043720C"/>
    <w:pPr>
      <w:spacing w:line="240" w:lineRule="auto"/>
    </w:pPr>
    <w:rPr>
      <w:sz w:val="20"/>
      <w:szCs w:val="20"/>
    </w:rPr>
  </w:style>
  <w:style w:type="character" w:customStyle="1" w:styleId="CommentTextChar">
    <w:name w:val="Comment Text Char"/>
    <w:basedOn w:val="DefaultParagraphFont"/>
    <w:link w:val="CommentText"/>
    <w:uiPriority w:val="99"/>
    <w:semiHidden/>
    <w:rsid w:val="0043720C"/>
    <w:rPr>
      <w:sz w:val="20"/>
      <w:szCs w:val="20"/>
    </w:rPr>
  </w:style>
  <w:style w:type="paragraph" w:styleId="CommentSubject">
    <w:name w:val="annotation subject"/>
    <w:basedOn w:val="CommentText"/>
    <w:next w:val="CommentText"/>
    <w:link w:val="CommentSubjectChar"/>
    <w:uiPriority w:val="99"/>
    <w:semiHidden/>
    <w:unhideWhenUsed/>
    <w:rsid w:val="0043720C"/>
    <w:rPr>
      <w:b/>
      <w:bCs/>
    </w:rPr>
  </w:style>
  <w:style w:type="character" w:customStyle="1" w:styleId="CommentSubjectChar">
    <w:name w:val="Comment Subject Char"/>
    <w:basedOn w:val="CommentTextChar"/>
    <w:link w:val="CommentSubject"/>
    <w:uiPriority w:val="99"/>
    <w:semiHidden/>
    <w:rsid w:val="0043720C"/>
    <w:rPr>
      <w:b/>
      <w:bCs/>
      <w:sz w:val="20"/>
      <w:szCs w:val="20"/>
    </w:rPr>
  </w:style>
  <w:style w:type="paragraph" w:styleId="BalloonText">
    <w:name w:val="Balloon Text"/>
    <w:basedOn w:val="Normal"/>
    <w:link w:val="BalloonTextChar"/>
    <w:uiPriority w:val="99"/>
    <w:semiHidden/>
    <w:unhideWhenUsed/>
    <w:rsid w:val="00437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20C"/>
    <w:rPr>
      <w:rFonts w:ascii="Tahoma" w:hAnsi="Tahoma" w:cs="Tahoma"/>
      <w:sz w:val="16"/>
      <w:szCs w:val="16"/>
    </w:rPr>
  </w:style>
  <w:style w:type="character" w:styleId="Hyperlink">
    <w:name w:val="Hyperlink"/>
    <w:basedOn w:val="DefaultParagraphFont"/>
    <w:uiPriority w:val="99"/>
    <w:unhideWhenUsed/>
    <w:rsid w:val="00421485"/>
    <w:rPr>
      <w:color w:val="0000FF" w:themeColor="hyperlink"/>
      <w:u w:val="single"/>
    </w:rPr>
  </w:style>
  <w:style w:type="character" w:styleId="FollowedHyperlink">
    <w:name w:val="FollowedHyperlink"/>
    <w:basedOn w:val="DefaultParagraphFont"/>
    <w:uiPriority w:val="99"/>
    <w:semiHidden/>
    <w:unhideWhenUsed/>
    <w:rsid w:val="00360B58"/>
    <w:rPr>
      <w:color w:val="800080" w:themeColor="followedHyperlink"/>
      <w:u w:val="single"/>
    </w:rPr>
  </w:style>
  <w:style w:type="paragraph" w:styleId="Header">
    <w:name w:val="header"/>
    <w:basedOn w:val="Normal"/>
    <w:link w:val="HeaderChar"/>
    <w:uiPriority w:val="99"/>
    <w:unhideWhenUsed/>
    <w:rsid w:val="00645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B98"/>
  </w:style>
  <w:style w:type="paragraph" w:styleId="Footer">
    <w:name w:val="footer"/>
    <w:basedOn w:val="Normal"/>
    <w:link w:val="FooterChar"/>
    <w:uiPriority w:val="99"/>
    <w:unhideWhenUsed/>
    <w:rsid w:val="00645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8746">
      <w:bodyDiv w:val="1"/>
      <w:marLeft w:val="0"/>
      <w:marRight w:val="0"/>
      <w:marTop w:val="0"/>
      <w:marBottom w:val="0"/>
      <w:divBdr>
        <w:top w:val="none" w:sz="0" w:space="0" w:color="auto"/>
        <w:left w:val="none" w:sz="0" w:space="0" w:color="auto"/>
        <w:bottom w:val="none" w:sz="0" w:space="0" w:color="auto"/>
        <w:right w:val="none" w:sz="0" w:space="0" w:color="auto"/>
      </w:divBdr>
    </w:div>
    <w:div w:id="1035733260">
      <w:bodyDiv w:val="1"/>
      <w:marLeft w:val="0"/>
      <w:marRight w:val="0"/>
      <w:marTop w:val="0"/>
      <w:marBottom w:val="0"/>
      <w:divBdr>
        <w:top w:val="none" w:sz="0" w:space="0" w:color="auto"/>
        <w:left w:val="none" w:sz="0" w:space="0" w:color="auto"/>
        <w:bottom w:val="none" w:sz="0" w:space="0" w:color="auto"/>
        <w:right w:val="none" w:sz="0" w:space="0" w:color="auto"/>
      </w:divBdr>
    </w:div>
    <w:div w:id="1220675687">
      <w:bodyDiv w:val="1"/>
      <w:marLeft w:val="0"/>
      <w:marRight w:val="0"/>
      <w:marTop w:val="0"/>
      <w:marBottom w:val="0"/>
      <w:divBdr>
        <w:top w:val="none" w:sz="0" w:space="0" w:color="auto"/>
        <w:left w:val="none" w:sz="0" w:space="0" w:color="auto"/>
        <w:bottom w:val="none" w:sz="0" w:space="0" w:color="auto"/>
        <w:right w:val="none" w:sz="0" w:space="0" w:color="auto"/>
      </w:divBdr>
      <w:divsChild>
        <w:div w:id="514929113">
          <w:marLeft w:val="0"/>
          <w:marRight w:val="0"/>
          <w:marTop w:val="0"/>
          <w:marBottom w:val="0"/>
          <w:divBdr>
            <w:top w:val="none" w:sz="0" w:space="0" w:color="auto"/>
            <w:left w:val="none" w:sz="0" w:space="0" w:color="auto"/>
            <w:bottom w:val="none" w:sz="0" w:space="0" w:color="auto"/>
            <w:right w:val="none" w:sz="0" w:space="0" w:color="auto"/>
          </w:divBdr>
        </w:div>
        <w:div w:id="1961036899">
          <w:marLeft w:val="0"/>
          <w:marRight w:val="0"/>
          <w:marTop w:val="0"/>
          <w:marBottom w:val="150"/>
          <w:divBdr>
            <w:top w:val="none" w:sz="0" w:space="0" w:color="auto"/>
            <w:left w:val="none" w:sz="0" w:space="0" w:color="auto"/>
            <w:bottom w:val="none" w:sz="0" w:space="0" w:color="auto"/>
            <w:right w:val="none" w:sz="0" w:space="0" w:color="auto"/>
          </w:divBdr>
        </w:div>
        <w:div w:id="741802240">
          <w:marLeft w:val="0"/>
          <w:marRight w:val="0"/>
          <w:marTop w:val="0"/>
          <w:marBottom w:val="300"/>
          <w:divBdr>
            <w:top w:val="none" w:sz="0" w:space="0" w:color="auto"/>
            <w:left w:val="none" w:sz="0" w:space="0" w:color="auto"/>
            <w:bottom w:val="none" w:sz="0" w:space="0" w:color="auto"/>
            <w:right w:val="none" w:sz="0" w:space="0" w:color="auto"/>
          </w:divBdr>
        </w:div>
        <w:div w:id="448818301">
          <w:marLeft w:val="0"/>
          <w:marRight w:val="0"/>
          <w:marTop w:val="0"/>
          <w:marBottom w:val="375"/>
          <w:divBdr>
            <w:top w:val="none" w:sz="0" w:space="0" w:color="auto"/>
            <w:left w:val="none" w:sz="0" w:space="0" w:color="auto"/>
            <w:bottom w:val="none" w:sz="0" w:space="0" w:color="auto"/>
            <w:right w:val="none" w:sz="0" w:space="0" w:color="auto"/>
          </w:divBdr>
          <w:divsChild>
            <w:div w:id="1896508111">
              <w:marLeft w:val="0"/>
              <w:marRight w:val="0"/>
              <w:marTop w:val="0"/>
              <w:marBottom w:val="0"/>
              <w:divBdr>
                <w:top w:val="none" w:sz="0" w:space="0" w:color="auto"/>
                <w:left w:val="none" w:sz="0" w:space="0" w:color="auto"/>
                <w:bottom w:val="none" w:sz="0" w:space="0" w:color="auto"/>
                <w:right w:val="none" w:sz="0" w:space="0" w:color="auto"/>
              </w:divBdr>
            </w:div>
            <w:div w:id="899244777">
              <w:marLeft w:val="0"/>
              <w:marRight w:val="0"/>
              <w:marTop w:val="0"/>
              <w:marBottom w:val="0"/>
              <w:divBdr>
                <w:top w:val="none" w:sz="0" w:space="0" w:color="auto"/>
                <w:left w:val="none" w:sz="0" w:space="0" w:color="auto"/>
                <w:bottom w:val="none" w:sz="0" w:space="0" w:color="auto"/>
                <w:right w:val="none" w:sz="0" w:space="0" w:color="auto"/>
              </w:divBdr>
            </w:div>
          </w:divsChild>
        </w:div>
        <w:div w:id="963004967">
          <w:marLeft w:val="0"/>
          <w:marRight w:val="0"/>
          <w:marTop w:val="0"/>
          <w:marBottom w:val="375"/>
          <w:divBdr>
            <w:top w:val="none" w:sz="0" w:space="0" w:color="auto"/>
            <w:left w:val="none" w:sz="0" w:space="0" w:color="auto"/>
            <w:bottom w:val="none" w:sz="0" w:space="0" w:color="auto"/>
            <w:right w:val="none" w:sz="0" w:space="0" w:color="auto"/>
          </w:divBdr>
          <w:divsChild>
            <w:div w:id="2725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i_1512706725159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52BD6-FA47-434C-90FD-21CB34AA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Harvard Kennedy School</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Jon Skinner</cp:lastModifiedBy>
  <cp:revision>2</cp:revision>
  <cp:lastPrinted>2014-09-10T16:09:00Z</cp:lastPrinted>
  <dcterms:created xsi:type="dcterms:W3CDTF">2016-06-18T18:39:00Z</dcterms:created>
  <dcterms:modified xsi:type="dcterms:W3CDTF">2016-06-18T18:39:00Z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tgardnerh@gmail.com@www.mendeley.com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