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B8B48">
      <w:pPr>
        <w:jc w:val="center"/>
        <w:rPr>
          <w:rFonts w:hint="default"/>
          <w:lang w:val="en-US" w:eastAsia="zh-CN"/>
        </w:rPr>
      </w:pPr>
      <w:bookmarkStart w:id="0" w:name="_GoBack"/>
      <w:r>
        <w:rPr>
          <w:rFonts w:hint="eastAsia"/>
          <w:sz w:val="30"/>
          <w:szCs w:val="30"/>
          <w:lang w:val="en-US" w:eastAsia="zh-CN"/>
        </w:rPr>
        <w:t>消融实验思路</w:t>
      </w:r>
    </w:p>
    <w:bookmarkEnd w:id="0"/>
    <w:p w14:paraId="65BE64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论文模型有三个创新模块：</w:t>
      </w:r>
    </w:p>
    <w:p w14:paraId="1EBE79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1.生成对抗模块(WGAN-GP)：用于约束全局数据的分布流形，拉开正常与异常信号的边界。</w:t>
      </w:r>
    </w:p>
    <w:p w14:paraId="46923B5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2.特征引导/蒸馏模块(Dual-path Feature Head)：即教师-学生头，用于将专家物理知识迁移到无标签数据上，防止模型在异常样本中迷失。</w:t>
      </w:r>
    </w:p>
    <w:p w14:paraId="74A56D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3.自适应动态阈值(AQT 算法)：在无监督训练阶段充当“数据过滤器”，动态剔除</w:t>
      </w:r>
      <w:r>
        <w:rPr>
          <w:rFonts w:hint="eastAsia"/>
          <w:sz w:val="24"/>
          <w:szCs w:val="24"/>
          <w:lang w:val="en-US" w:eastAsia="zh-CN"/>
        </w:rPr>
        <w:t>脏数据。</w:t>
      </w:r>
    </w:p>
    <w:p w14:paraId="09EE0E71">
      <w:pPr>
        <w:rPr>
          <w:rFonts w:hint="eastAsia"/>
          <w:sz w:val="24"/>
          <w:szCs w:val="24"/>
          <w:lang w:val="en-US" w:eastAsia="zh-CN"/>
        </w:rPr>
      </w:pPr>
    </w:p>
    <w:p w14:paraId="3E4DBA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思路</w:t>
      </w:r>
      <w:r>
        <w:rPr>
          <w:rFonts w:hint="eastAsia"/>
          <w:sz w:val="24"/>
          <w:szCs w:val="24"/>
          <w:lang w:val="en-US" w:eastAsia="zh-CN"/>
        </w:rPr>
        <w:t>：留一法，每次只拿掉一个模块。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090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17004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方案</w:t>
            </w:r>
          </w:p>
        </w:tc>
        <w:tc>
          <w:tcPr>
            <w:tcW w:w="1704" w:type="dxa"/>
          </w:tcPr>
          <w:p w14:paraId="1A5A4B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生成对抗模块</w:t>
            </w:r>
          </w:p>
        </w:tc>
        <w:tc>
          <w:tcPr>
            <w:tcW w:w="1704" w:type="dxa"/>
          </w:tcPr>
          <w:p w14:paraId="71AD3E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蒸馏模块</w:t>
            </w:r>
          </w:p>
        </w:tc>
        <w:tc>
          <w:tcPr>
            <w:tcW w:w="1705" w:type="dxa"/>
          </w:tcPr>
          <w:p w14:paraId="1D9E6F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AQT算法模块</w:t>
            </w:r>
          </w:p>
        </w:tc>
        <w:tc>
          <w:tcPr>
            <w:tcW w:w="1705" w:type="dxa"/>
          </w:tcPr>
          <w:p w14:paraId="620D06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</w:tr>
      <w:tr w14:paraId="1D13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76644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Base</w:t>
            </w:r>
          </w:p>
        </w:tc>
        <w:tc>
          <w:tcPr>
            <w:tcW w:w="1704" w:type="dxa"/>
          </w:tcPr>
          <w:p w14:paraId="4CF4FA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4" w:type="dxa"/>
          </w:tcPr>
          <w:p w14:paraId="35F4EA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5" w:type="dxa"/>
          </w:tcPr>
          <w:p w14:paraId="3D0F35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5" w:type="dxa"/>
            <w:vMerge w:val="restart"/>
          </w:tcPr>
          <w:p w14:paraId="729814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Recall（召回率）</w:t>
            </w:r>
          </w:p>
          <w:p w14:paraId="2EDBCD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F1-Score</w:t>
            </w:r>
          </w:p>
          <w:p w14:paraId="6227B8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AUC-ROC（ROC曲线下面积）</w:t>
            </w:r>
          </w:p>
        </w:tc>
      </w:tr>
      <w:tr w14:paraId="5F9F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11B76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 w14:paraId="1BB04C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4" w:type="dxa"/>
          </w:tcPr>
          <w:p w14:paraId="654C2C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4040E3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  <w:vMerge w:val="continue"/>
            <w:tcBorders/>
          </w:tcPr>
          <w:p w14:paraId="558250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B2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D841C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1704" w:type="dxa"/>
          </w:tcPr>
          <w:p w14:paraId="2BF26A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00614C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5" w:type="dxa"/>
          </w:tcPr>
          <w:p w14:paraId="07C3B9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  <w:vMerge w:val="continue"/>
            <w:tcBorders/>
          </w:tcPr>
          <w:p w14:paraId="6B18B6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8C2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E4269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1704" w:type="dxa"/>
          </w:tcPr>
          <w:p w14:paraId="34FE70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57093D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30C14F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1705" w:type="dxa"/>
            <w:vMerge w:val="continue"/>
            <w:tcBorders/>
          </w:tcPr>
          <w:p w14:paraId="22CEC7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09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969DE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Full</w:t>
            </w:r>
          </w:p>
        </w:tc>
        <w:tc>
          <w:tcPr>
            <w:tcW w:w="1704" w:type="dxa"/>
          </w:tcPr>
          <w:p w14:paraId="5D9D19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6E09B8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20C3A5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  <w:vMerge w:val="continue"/>
            <w:tcBorders/>
          </w:tcPr>
          <w:p w14:paraId="2AFD32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DF204D1">
      <w:pPr>
        <w:rPr>
          <w:rFonts w:hint="default"/>
          <w:sz w:val="24"/>
          <w:szCs w:val="24"/>
          <w:lang w:val="en-US" w:eastAsia="zh-CN"/>
        </w:rPr>
      </w:pPr>
    </w:p>
    <w:p w14:paraId="7EED574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指标意义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705E943D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Recall</w:t>
      </w:r>
      <w:r>
        <w:rPr>
          <w:rFonts w:hint="eastAsia"/>
          <w:sz w:val="24"/>
          <w:szCs w:val="24"/>
          <w:lang w:val="en-US" w:eastAsia="zh-CN"/>
        </w:rPr>
        <w:t>：真正找出来的异常样本数÷实际上所有的异常样本总数。表征模型防止“漏报”的能力。</w:t>
      </w:r>
    </w:p>
    <w:p w14:paraId="563B3780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F1-Score</w:t>
      </w:r>
      <w:r>
        <w:rPr>
          <w:rFonts w:hint="eastAsia"/>
          <w:sz w:val="24"/>
          <w:szCs w:val="24"/>
          <w:lang w:val="en-US" w:eastAsia="zh-CN"/>
        </w:rPr>
        <w:t>：精确率（查准率）和召回率（查全率）的“调和平均数”。表征模型在极端数据不平衡下的综合实战水平。即误报少漏报少分才高。</w:t>
      </w:r>
    </w:p>
    <w:p w14:paraId="0688180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AUC-ROC（ROC 曲线下面积）</w:t>
      </w:r>
      <w:r>
        <w:rPr>
          <w:rFonts w:hint="eastAsia"/>
          <w:sz w:val="24"/>
          <w:szCs w:val="24"/>
          <w:lang w:val="en-US" w:eastAsia="zh-CN"/>
        </w:rPr>
        <w:t>：模型对正负样本的“全局排序区分”硬实力。ROC 曲线的横坐标是假阳性率（误报率），纵坐标是真阳性率（召回率）。AUC则是这条曲线下的面积，满分是1.0，越接近1说明性能越好。如果随机抽一个真异常样本和一个真正常样本，模型给异常样本打分高于正常样本的概率。如果模型AUC很高，说明无论是加了特征引导还是对抗模块，它确实在潜在的特征空间里，把正常信号的流形和异常信号彻底拉开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A0BBC"/>
    <w:rsid w:val="0CDA0BBC"/>
    <w:rsid w:val="176C6845"/>
    <w:rsid w:val="21C608A5"/>
    <w:rsid w:val="657C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2026-10-22T02:28:00Z</dcterms:created>
  <dc:creator>川</dc:creator>
  <cp:lastModifiedBy>川</cp:lastModifiedBy>
  <dcterms:modified xsi:type="dcterms:W3CDTF">2026-10-22T06:37:52Z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E28A0C7723D348C590E8EEC5D8CECD3C_11</vt:lpwstr>
  </property>
  <property fmtid="{D5CDD505-2E9C-101B-9397-08002B2CF9AE}" pid="4" name="KSOTemplateDocerSaveRecord">
    <vt:lpwstr>eyJoZGlkIjoiNzZiZjE3ZjlhYTJhY2IyNDkwN2Q4ZDNhMzU3MmE1OGYiLCJ1c2VySWQiOiI3NDY3NDg5ODEifQ==</vt:lpwstr>
  </property>
</Properties>
</file>