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intech-audit-analytics-dashboard"/>
    <w:p>
      <w:pPr>
        <w:pStyle w:val="Heading1"/>
      </w:pPr>
      <w:r>
        <w:t xml:space="preserve">Fintech Audit Analytics Dashboard</w:t>
      </w:r>
    </w:p>
    <w:bookmarkStart w:id="20" w:name="project-overview"/>
    <w:p>
      <w:pPr>
        <w:pStyle w:val="Heading2"/>
      </w:pPr>
      <w:r>
        <w:t xml:space="preserve">Project Overview</w:t>
      </w:r>
    </w:p>
    <w:p>
      <w:pPr>
        <w:pStyle w:val="FirstParagraph"/>
      </w:pPr>
      <w:r>
        <w:t xml:space="preserve">The Fintech Audit Analytics Dashboard is an end-to-end Business Intelligence project developed to analyze audit quality, partner performance, fatal error rates, and operational trends across multiple Lines of Business (LOBs). The objective of this project was to transform raw audit data into meaningful business insights that can support operational decision-making and quality improvement initiatives.</w:t>
      </w:r>
    </w:p>
    <w:p>
      <w:pPr>
        <w:pStyle w:val="BodyText"/>
      </w:pPr>
      <w:r>
        <w:t xml:space="preserve">The project was built using PostgreSQL for data storage and analysis, SQL for data transformation and business query development, and Power BI for interactive dashboard creation and data visualization.</w:t>
      </w:r>
    </w:p>
    <w:p>
      <w:r>
        <w:pict>
          <v:rect style="width:0;height:1.5pt" o:hralign="center" o:hrstd="t" o:hr="t"/>
        </w:pict>
      </w:r>
    </w:p>
    <w:bookmarkEnd w:id="20"/>
    <w:bookmarkStart w:id="21" w:name="business-problem"/>
    <w:p>
      <w:pPr>
        <w:pStyle w:val="Heading2"/>
      </w:pPr>
      <w:r>
        <w:t xml:space="preserve">Business Problem</w:t>
      </w:r>
    </w:p>
    <w:p>
      <w:pPr>
        <w:pStyle w:val="FirstParagraph"/>
      </w:pPr>
      <w:r>
        <w:t xml:space="preserve">Organizations conducting large-scale audit operations often manage thousands of audit records across multiple outsourcing partners and business lines. While data is available, deriving actionable insights from raw records can be challenging without a centralized analytics solution.</w:t>
      </w:r>
    </w:p>
    <w:p>
      <w:pPr>
        <w:pStyle w:val="BodyText"/>
      </w:pPr>
      <w:r>
        <w:t xml:space="preserve">This project aimed to answer key business questions such as:</w:t>
      </w:r>
    </w:p>
    <w:p>
      <w:pPr>
        <w:pStyle w:val="Compact"/>
        <w:numPr>
          <w:ilvl w:val="0"/>
          <w:numId w:val="1001"/>
        </w:numPr>
      </w:pPr>
      <w:r>
        <w:t xml:space="preserve">Which partners handle the highest audit volumes?</w:t>
      </w:r>
    </w:p>
    <w:p>
      <w:pPr>
        <w:pStyle w:val="Compact"/>
        <w:numPr>
          <w:ilvl w:val="0"/>
          <w:numId w:val="1001"/>
        </w:numPr>
      </w:pPr>
      <w:r>
        <w:t xml:space="preserve">Which partners consistently deliver better audit quality?</w:t>
      </w:r>
    </w:p>
    <w:p>
      <w:pPr>
        <w:pStyle w:val="Compact"/>
        <w:numPr>
          <w:ilvl w:val="0"/>
          <w:numId w:val="1001"/>
        </w:numPr>
      </w:pPr>
      <w:r>
        <w:t xml:space="preserve">What are the fatal error trends across operations?</w:t>
      </w:r>
    </w:p>
    <w:p>
      <w:pPr>
        <w:pStyle w:val="Compact"/>
        <w:numPr>
          <w:ilvl w:val="0"/>
          <w:numId w:val="1001"/>
        </w:numPr>
      </w:pPr>
      <w:r>
        <w:t xml:space="preserve">How does performance differ between business lines?</w:t>
      </w:r>
    </w:p>
    <w:p>
      <w:pPr>
        <w:pStyle w:val="Compact"/>
        <w:numPr>
          <w:ilvl w:val="0"/>
          <w:numId w:val="1001"/>
        </w:numPr>
      </w:pPr>
      <w:r>
        <w:t xml:space="preserve">Are audit quality scores improving or deteriorating over time?</w:t>
      </w:r>
    </w:p>
    <w:p>
      <w:pPr>
        <w:pStyle w:val="Compact"/>
        <w:numPr>
          <w:ilvl w:val="0"/>
          <w:numId w:val="1001"/>
        </w:numPr>
      </w:pPr>
      <w:r>
        <w:t xml:space="preserve">Which operational areas require additional quality interventions?</w:t>
      </w:r>
    </w:p>
    <w:p>
      <w:r>
        <w:pict>
          <v:rect style="width:0;height:1.5pt" o:hralign="center" o:hrstd="t" o:hr="t"/>
        </w:pict>
      </w:r>
    </w:p>
    <w:bookmarkEnd w:id="21"/>
    <w:bookmarkStart w:id="24" w:name="dataset-overview"/>
    <w:p>
      <w:pPr>
        <w:pStyle w:val="Heading2"/>
      </w:pPr>
      <w:r>
        <w:t xml:space="preserve">Dataset Overview</w:t>
      </w:r>
    </w:p>
    <w:p>
      <w:pPr>
        <w:pStyle w:val="FirstParagraph"/>
      </w:pPr>
      <w:r>
        <w:t xml:space="preserve">The dataset consists of audit records collected across two Lines of Business:</w:t>
      </w:r>
    </w:p>
    <w:p>
      <w:pPr>
        <w:pStyle w:val="Compact"/>
        <w:numPr>
          <w:ilvl w:val="0"/>
          <w:numId w:val="1002"/>
        </w:numPr>
      </w:pPr>
      <w:r>
        <w:t xml:space="preserve">Customer Experience (CX)</w:t>
      </w:r>
    </w:p>
    <w:p>
      <w:pPr>
        <w:pStyle w:val="Compact"/>
        <w:numPr>
          <w:ilvl w:val="0"/>
          <w:numId w:val="1002"/>
        </w:numPr>
      </w:pPr>
      <w:r>
        <w:t xml:space="preserve">Merchant Help Desk (MHD)</w:t>
      </w:r>
    </w:p>
    <w:bookmarkStart w:id="22" w:name="dataset-statistics"/>
    <w:p>
      <w:pPr>
        <w:pStyle w:val="Heading3"/>
      </w:pPr>
      <w:r>
        <w:t xml:space="preserve">Dataset Statistics</w:t>
      </w:r>
    </w:p>
    <w:p>
      <w:pPr>
        <w:pStyle w:val="Compact"/>
        <w:numPr>
          <w:ilvl w:val="0"/>
          <w:numId w:val="1003"/>
        </w:numPr>
      </w:pPr>
      <w:r>
        <w:t xml:space="preserve">Total Audit Records: 11,811</w:t>
      </w:r>
    </w:p>
    <w:p>
      <w:pPr>
        <w:pStyle w:val="Compact"/>
        <w:numPr>
          <w:ilvl w:val="0"/>
          <w:numId w:val="1003"/>
        </w:numPr>
      </w:pPr>
      <w:r>
        <w:t xml:space="preserve">Total Partners: 5</w:t>
      </w:r>
    </w:p>
    <w:p>
      <w:pPr>
        <w:pStyle w:val="Compact"/>
        <w:numPr>
          <w:ilvl w:val="0"/>
          <w:numId w:val="1003"/>
        </w:numPr>
      </w:pPr>
      <w:r>
        <w:t xml:space="preserve">Lines of Business: 2</w:t>
      </w:r>
    </w:p>
    <w:p>
      <w:pPr>
        <w:pStyle w:val="Compact"/>
        <w:numPr>
          <w:ilvl w:val="0"/>
          <w:numId w:val="1003"/>
        </w:numPr>
      </w:pPr>
      <w:r>
        <w:t xml:space="preserve">Reporting Period: January 2025 to December 2025</w:t>
      </w:r>
    </w:p>
    <w:bookmarkEnd w:id="22"/>
    <w:bookmarkStart w:id="23" w:name="partners-included"/>
    <w:p>
      <w:pPr>
        <w:pStyle w:val="Heading3"/>
      </w:pPr>
      <w:r>
        <w:t xml:space="preserve">Partners Included</w:t>
      </w:r>
    </w:p>
    <w:p>
      <w:pPr>
        <w:pStyle w:val="Compact"/>
        <w:numPr>
          <w:ilvl w:val="0"/>
          <w:numId w:val="1004"/>
        </w:numPr>
      </w:pPr>
      <w:r>
        <w:t xml:space="preserve">TRANS</w:t>
      </w:r>
    </w:p>
    <w:p>
      <w:pPr>
        <w:pStyle w:val="Compact"/>
        <w:numPr>
          <w:ilvl w:val="0"/>
          <w:numId w:val="1004"/>
        </w:numPr>
      </w:pPr>
      <w:r>
        <w:t xml:space="preserve">Concentrix</w:t>
      </w:r>
    </w:p>
    <w:p>
      <w:pPr>
        <w:pStyle w:val="Compact"/>
        <w:numPr>
          <w:ilvl w:val="0"/>
          <w:numId w:val="1004"/>
        </w:numPr>
      </w:pPr>
      <w:r>
        <w:t xml:space="preserve">Hexaware</w:t>
      </w:r>
    </w:p>
    <w:p>
      <w:pPr>
        <w:pStyle w:val="Compact"/>
        <w:numPr>
          <w:ilvl w:val="0"/>
          <w:numId w:val="1004"/>
        </w:numPr>
      </w:pPr>
      <w:r>
        <w:t xml:space="preserve">TechM</w:t>
      </w:r>
    </w:p>
    <w:p>
      <w:pPr>
        <w:pStyle w:val="Compact"/>
        <w:numPr>
          <w:ilvl w:val="0"/>
          <w:numId w:val="1004"/>
        </w:numPr>
      </w:pPr>
      <w:r>
        <w:t xml:space="preserve">Startek</w:t>
      </w:r>
    </w:p>
    <w:p>
      <w:pPr>
        <w:pStyle w:val="FirstParagraph"/>
      </w:pPr>
      <w:r>
        <w:t xml:space="preserve">To maintain confidentiality and data privacy, all agent-level identifiers and sensitive information were anonymized before analysis.</w:t>
      </w:r>
    </w:p>
    <w:p>
      <w:r>
        <w:pict>
          <v:rect style="width:0;height:1.5pt" o:hralign="center" o:hrstd="t" o:hr="t"/>
        </w:pict>
      </w:r>
    </w:p>
    <w:bookmarkEnd w:id="23"/>
    <w:bookmarkEnd w:id="24"/>
    <w:bookmarkStart w:id="28" w:name="technology-stack"/>
    <w:p>
      <w:pPr>
        <w:pStyle w:val="Heading2"/>
      </w:pPr>
      <w:r>
        <w:t xml:space="preserve">Technology Stack</w:t>
      </w:r>
    </w:p>
    <w:bookmarkStart w:id="25" w:name="database-data-processing"/>
    <w:p>
      <w:pPr>
        <w:pStyle w:val="Heading3"/>
      </w:pPr>
      <w:r>
        <w:t xml:space="preserve">Database &amp; Data Processing</w:t>
      </w:r>
    </w:p>
    <w:p>
      <w:pPr>
        <w:pStyle w:val="Compact"/>
        <w:numPr>
          <w:ilvl w:val="0"/>
          <w:numId w:val="1005"/>
        </w:numPr>
      </w:pPr>
      <w:r>
        <w:t xml:space="preserve">PostgreSQL</w:t>
      </w:r>
    </w:p>
    <w:p>
      <w:pPr>
        <w:pStyle w:val="Compact"/>
        <w:numPr>
          <w:ilvl w:val="0"/>
          <w:numId w:val="1005"/>
        </w:numPr>
      </w:pPr>
      <w:r>
        <w:t xml:space="preserve">SQL</w:t>
      </w:r>
    </w:p>
    <w:bookmarkEnd w:id="25"/>
    <w:bookmarkStart w:id="26" w:name="business-intelligence-visualization"/>
    <w:p>
      <w:pPr>
        <w:pStyle w:val="Heading3"/>
      </w:pPr>
      <w:r>
        <w:t xml:space="preserve">Business Intelligence &amp; Visualization</w:t>
      </w:r>
    </w:p>
    <w:p>
      <w:pPr>
        <w:pStyle w:val="Compact"/>
        <w:numPr>
          <w:ilvl w:val="0"/>
          <w:numId w:val="1006"/>
        </w:numPr>
      </w:pPr>
      <w:r>
        <w:t xml:space="preserve">Power BI</w:t>
      </w:r>
    </w:p>
    <w:bookmarkEnd w:id="26"/>
    <w:bookmarkStart w:id="27" w:name="data-source"/>
    <w:p>
      <w:pPr>
        <w:pStyle w:val="Heading3"/>
      </w:pPr>
      <w:r>
        <w:t xml:space="preserve">Data Source</w:t>
      </w:r>
    </w:p>
    <w:p>
      <w:pPr>
        <w:pStyle w:val="Compact"/>
        <w:numPr>
          <w:ilvl w:val="0"/>
          <w:numId w:val="1007"/>
        </w:numPr>
      </w:pPr>
      <w:r>
        <w:t xml:space="preserve">Microsoft Excel</w:t>
      </w:r>
    </w:p>
    <w:p>
      <w:r>
        <w:pict>
          <v:rect style="width:0;height:1.5pt" o:hralign="center" o:hrstd="t" o:hr="t"/>
        </w:pict>
      </w:r>
    </w:p>
    <w:bookmarkEnd w:id="27"/>
    <w:bookmarkEnd w:id="28"/>
    <w:bookmarkStart w:id="29" w:name="data-preparation-process"/>
    <w:p>
      <w:pPr>
        <w:pStyle w:val="Heading2"/>
      </w:pPr>
      <w:r>
        <w:t xml:space="preserve">Data Preparation Process</w:t>
      </w:r>
    </w:p>
    <w:p>
      <w:pPr>
        <w:pStyle w:val="FirstParagraph"/>
      </w:pPr>
      <w:r>
        <w:t xml:space="preserve">The project followed a structured analytics workflow:</w:t>
      </w:r>
    </w:p>
    <w:p>
      <w:pPr>
        <w:pStyle w:val="Compact"/>
        <w:numPr>
          <w:ilvl w:val="0"/>
          <w:numId w:val="1008"/>
        </w:numPr>
      </w:pPr>
      <w:r>
        <w:t xml:space="preserve">Audit data from multiple sources was consolidated and standardized.</w:t>
      </w:r>
    </w:p>
    <w:p>
      <w:pPr>
        <w:pStyle w:val="Compact"/>
        <w:numPr>
          <w:ilvl w:val="0"/>
          <w:numId w:val="1008"/>
        </w:numPr>
      </w:pPr>
      <w:r>
        <w:t xml:space="preserve">Agent identifiers and sensitive information were anonymized.</w:t>
      </w:r>
    </w:p>
    <w:p>
      <w:pPr>
        <w:pStyle w:val="Compact"/>
        <w:numPr>
          <w:ilvl w:val="0"/>
          <w:numId w:val="1008"/>
        </w:numPr>
      </w:pPr>
      <w:r>
        <w:t xml:space="preserve">Data was imported into PostgreSQL.</w:t>
      </w:r>
    </w:p>
    <w:p>
      <w:pPr>
        <w:pStyle w:val="Compact"/>
        <w:numPr>
          <w:ilvl w:val="0"/>
          <w:numId w:val="1008"/>
        </w:numPr>
      </w:pPr>
      <w:r>
        <w:t xml:space="preserve">Separate datasets were merged into a centralized audit master table.</w:t>
      </w:r>
    </w:p>
    <w:p>
      <w:pPr>
        <w:pStyle w:val="Compact"/>
        <w:numPr>
          <w:ilvl w:val="0"/>
          <w:numId w:val="1008"/>
        </w:numPr>
      </w:pPr>
      <w:r>
        <w:t xml:space="preserve">SQL queries were developed to calculate KPIs and generate business insights.</w:t>
      </w:r>
    </w:p>
    <w:p>
      <w:pPr>
        <w:pStyle w:val="Compact"/>
        <w:numPr>
          <w:ilvl w:val="0"/>
          <w:numId w:val="1008"/>
        </w:numPr>
      </w:pPr>
      <w:r>
        <w:t xml:space="preserve">Power BI dashboards were built for executive-level reporting and analysis.</w:t>
      </w:r>
    </w:p>
    <w:p>
      <w:r>
        <w:pict>
          <v:rect style="width:0;height:1.5pt" o:hralign="center" o:hrstd="t" o:hr="t"/>
        </w:pict>
      </w:r>
    </w:p>
    <w:bookmarkEnd w:id="29"/>
    <w:bookmarkStart w:id="30" w:name="key-performance-indicators-kpis"/>
    <w:p>
      <w:pPr>
        <w:pStyle w:val="Heading2"/>
      </w:pPr>
      <w:r>
        <w:t xml:space="preserve">Key Performance Indicators (KPIs)</w:t>
      </w:r>
    </w:p>
    <w:p>
      <w:pPr>
        <w:pStyle w:val="FirstParagraph"/>
      </w:pPr>
      <w:r>
        <w:t xml:space="preserve">The dashboard tracks several operational and quality metrics, including:</w:t>
      </w:r>
    </w:p>
    <w:p>
      <w:pPr>
        <w:pStyle w:val="Compact"/>
        <w:numPr>
          <w:ilvl w:val="0"/>
          <w:numId w:val="1009"/>
        </w:numPr>
      </w:pPr>
      <w:r>
        <w:t xml:space="preserve">Total Audit Volume</w:t>
      </w:r>
    </w:p>
    <w:p>
      <w:pPr>
        <w:pStyle w:val="Compact"/>
        <w:numPr>
          <w:ilvl w:val="0"/>
          <w:numId w:val="1009"/>
        </w:numPr>
      </w:pPr>
      <w:r>
        <w:t xml:space="preserve">Average Audit Score</w:t>
      </w:r>
    </w:p>
    <w:p>
      <w:pPr>
        <w:pStyle w:val="Compact"/>
        <w:numPr>
          <w:ilvl w:val="0"/>
          <w:numId w:val="1009"/>
        </w:numPr>
      </w:pPr>
      <w:r>
        <w:t xml:space="preserve">Fatal Error Percentage</w:t>
      </w:r>
    </w:p>
    <w:p>
      <w:pPr>
        <w:pStyle w:val="Compact"/>
        <w:numPr>
          <w:ilvl w:val="0"/>
          <w:numId w:val="1009"/>
        </w:numPr>
      </w:pPr>
      <w:r>
        <w:t xml:space="preserve">Total Partners Audited</w:t>
      </w:r>
    </w:p>
    <w:p>
      <w:pPr>
        <w:pStyle w:val="Compact"/>
        <w:numPr>
          <w:ilvl w:val="0"/>
          <w:numId w:val="1009"/>
        </w:numPr>
      </w:pPr>
      <w:r>
        <w:t xml:space="preserve">Monthly Audit Trends</w:t>
      </w:r>
    </w:p>
    <w:p>
      <w:pPr>
        <w:pStyle w:val="Compact"/>
        <w:numPr>
          <w:ilvl w:val="0"/>
          <w:numId w:val="1009"/>
        </w:numPr>
      </w:pPr>
      <w:r>
        <w:t xml:space="preserve">Partner Performance Metrics</w:t>
      </w:r>
    </w:p>
    <w:p>
      <w:pPr>
        <w:pStyle w:val="Compact"/>
        <w:numPr>
          <w:ilvl w:val="0"/>
          <w:numId w:val="1009"/>
        </w:numPr>
      </w:pPr>
      <w:r>
        <w:t xml:space="preserve">LOB Performance Comparison</w:t>
      </w:r>
    </w:p>
    <w:p>
      <w:r>
        <w:pict>
          <v:rect style="width:0;height:1.5pt" o:hralign="center" o:hrstd="t" o:hr="t"/>
        </w:pict>
      </w:r>
    </w:p>
    <w:bookmarkEnd w:id="30"/>
    <w:bookmarkStart w:id="33" w:name="dashboard-structure"/>
    <w:p>
      <w:pPr>
        <w:pStyle w:val="Heading2"/>
      </w:pPr>
      <w:r>
        <w:t xml:space="preserve">Dashboard Structure</w:t>
      </w:r>
    </w:p>
    <w:bookmarkStart w:id="31" w:name="page-1-executive-overview"/>
    <w:p>
      <w:pPr>
        <w:pStyle w:val="Heading3"/>
      </w:pPr>
      <w:r>
        <w:t xml:space="preserve">Page 1: Executive Overview</w:t>
      </w:r>
    </w:p>
    <w:p>
      <w:pPr>
        <w:pStyle w:val="FirstParagraph"/>
      </w:pPr>
      <w:r>
        <w:t xml:space="preserve">Provides a high-level summary of operational performance through:</w:t>
      </w:r>
    </w:p>
    <w:p>
      <w:pPr>
        <w:pStyle w:val="Compact"/>
        <w:numPr>
          <w:ilvl w:val="0"/>
          <w:numId w:val="1010"/>
        </w:numPr>
      </w:pPr>
      <w:r>
        <w:t xml:space="preserve">Total Audit Volume</w:t>
      </w:r>
    </w:p>
    <w:p>
      <w:pPr>
        <w:pStyle w:val="Compact"/>
        <w:numPr>
          <w:ilvl w:val="0"/>
          <w:numId w:val="1010"/>
        </w:numPr>
      </w:pPr>
      <w:r>
        <w:t xml:space="preserve">Average Audit Score</w:t>
      </w:r>
    </w:p>
    <w:p>
      <w:pPr>
        <w:pStyle w:val="Compact"/>
        <w:numPr>
          <w:ilvl w:val="0"/>
          <w:numId w:val="1010"/>
        </w:numPr>
      </w:pPr>
      <w:r>
        <w:t xml:space="preserve">Fatal Percentage</w:t>
      </w:r>
    </w:p>
    <w:p>
      <w:pPr>
        <w:pStyle w:val="Compact"/>
        <w:numPr>
          <w:ilvl w:val="0"/>
          <w:numId w:val="1010"/>
        </w:numPr>
      </w:pPr>
      <w:r>
        <w:t xml:space="preserve">Partner Performance Comparison</w:t>
      </w:r>
    </w:p>
    <w:p>
      <w:pPr>
        <w:pStyle w:val="Compact"/>
        <w:numPr>
          <w:ilvl w:val="0"/>
          <w:numId w:val="1010"/>
        </w:numPr>
      </w:pPr>
      <w:r>
        <w:t xml:space="preserve">Monthly Audit Score Trend</w:t>
      </w:r>
    </w:p>
    <w:p>
      <w:pPr>
        <w:pStyle w:val="Compact"/>
        <w:numPr>
          <w:ilvl w:val="0"/>
          <w:numId w:val="1010"/>
        </w:numPr>
      </w:pPr>
      <w:r>
        <w:t xml:space="preserve">Key Business Insights</w:t>
      </w:r>
    </w:p>
    <w:bookmarkEnd w:id="31"/>
    <w:bookmarkStart w:id="32" w:name="page-2-lob-performance-analysis"/>
    <w:p>
      <w:pPr>
        <w:pStyle w:val="Heading3"/>
      </w:pPr>
      <w:r>
        <w:t xml:space="preserve">Page 2: LOB Performance Analysis</w:t>
      </w:r>
    </w:p>
    <w:p>
      <w:pPr>
        <w:pStyle w:val="FirstParagraph"/>
      </w:pPr>
      <w:r>
        <w:t xml:space="preserve">Focuses on comparative analysis between CX and MHD operations through:</w:t>
      </w:r>
    </w:p>
    <w:p>
      <w:pPr>
        <w:pStyle w:val="Compact"/>
        <w:numPr>
          <w:ilvl w:val="0"/>
          <w:numId w:val="1011"/>
        </w:numPr>
      </w:pPr>
      <w:r>
        <w:t xml:space="preserve">Audit Volume by LOB</w:t>
      </w:r>
    </w:p>
    <w:p>
      <w:pPr>
        <w:pStyle w:val="Compact"/>
        <w:numPr>
          <w:ilvl w:val="0"/>
          <w:numId w:val="1011"/>
        </w:numPr>
      </w:pPr>
      <w:r>
        <w:t xml:space="preserve">Average Audit Score by LOB</w:t>
      </w:r>
    </w:p>
    <w:p>
      <w:pPr>
        <w:pStyle w:val="Compact"/>
        <w:numPr>
          <w:ilvl w:val="0"/>
          <w:numId w:val="1011"/>
        </w:numPr>
      </w:pPr>
      <w:r>
        <w:t xml:space="preserve">Fatal Percentage by LOB</w:t>
      </w:r>
    </w:p>
    <w:p>
      <w:pPr>
        <w:pStyle w:val="Compact"/>
        <w:numPr>
          <w:ilvl w:val="0"/>
          <w:numId w:val="1011"/>
        </w:numPr>
      </w:pPr>
      <w:r>
        <w:t xml:space="preserve">Monthly Audit Volume Trend</w:t>
      </w:r>
    </w:p>
    <w:p>
      <w:pPr>
        <w:pStyle w:val="Compact"/>
        <w:numPr>
          <w:ilvl w:val="0"/>
          <w:numId w:val="1011"/>
        </w:numPr>
      </w:pPr>
      <w:r>
        <w:t xml:space="preserve">Monthly Audit Score Trend</w:t>
      </w:r>
    </w:p>
    <w:p>
      <w:pPr>
        <w:pStyle w:val="Compact"/>
        <w:numPr>
          <w:ilvl w:val="0"/>
          <w:numId w:val="1011"/>
        </w:numPr>
      </w:pPr>
      <w:r>
        <w:t xml:space="preserve">Partner Performance Across LOBs</w:t>
      </w:r>
    </w:p>
    <w:p>
      <w:r>
        <w:pict>
          <v:rect style="width:0;height:1.5pt" o:hralign="center" o:hrstd="t" o:hr="t"/>
        </w:pict>
      </w:r>
    </w:p>
    <w:bookmarkEnd w:id="32"/>
    <w:bookmarkEnd w:id="33"/>
    <w:bookmarkStart w:id="37" w:name="key-insights-identified"/>
    <w:p>
      <w:pPr>
        <w:pStyle w:val="Heading2"/>
      </w:pPr>
      <w:r>
        <w:t xml:space="preserve">Key Insights Identified</w:t>
      </w:r>
    </w:p>
    <w:bookmarkStart w:id="34" w:name="partner-performance"/>
    <w:p>
      <w:pPr>
        <w:pStyle w:val="Heading3"/>
      </w:pPr>
      <w:r>
        <w:t xml:space="preserve">Partner Performance</w:t>
      </w:r>
    </w:p>
    <w:p>
      <w:pPr>
        <w:pStyle w:val="Compact"/>
        <w:numPr>
          <w:ilvl w:val="0"/>
          <w:numId w:val="1012"/>
        </w:numPr>
      </w:pPr>
      <w:r>
        <w:t xml:space="preserve">TRANS handled the highest audit volume among all partners.</w:t>
      </w:r>
    </w:p>
    <w:p>
      <w:pPr>
        <w:pStyle w:val="Compact"/>
        <w:numPr>
          <w:ilvl w:val="0"/>
          <w:numId w:val="1012"/>
        </w:numPr>
      </w:pPr>
      <w:r>
        <w:t xml:space="preserve">Concentrix achieved the highest average audit quality score.</w:t>
      </w:r>
    </w:p>
    <w:p>
      <w:pPr>
        <w:pStyle w:val="Compact"/>
        <w:numPr>
          <w:ilvl w:val="0"/>
          <w:numId w:val="1012"/>
        </w:numPr>
      </w:pPr>
      <w:r>
        <w:t xml:space="preserve">Startek recorded the lowest fatal percentage.</w:t>
      </w:r>
    </w:p>
    <w:bookmarkEnd w:id="34"/>
    <w:bookmarkStart w:id="35" w:name="lob-analysis"/>
    <w:p>
      <w:pPr>
        <w:pStyle w:val="Heading3"/>
      </w:pPr>
      <w:r>
        <w:t xml:space="preserve">LOB Analysis</w:t>
      </w:r>
    </w:p>
    <w:p>
      <w:pPr>
        <w:pStyle w:val="Compact"/>
        <w:numPr>
          <w:ilvl w:val="0"/>
          <w:numId w:val="1013"/>
        </w:numPr>
      </w:pPr>
      <w:r>
        <w:t xml:space="preserve">CX accounted for the majority of audit volume.</w:t>
      </w:r>
    </w:p>
    <w:p>
      <w:pPr>
        <w:pStyle w:val="Compact"/>
        <w:numPr>
          <w:ilvl w:val="0"/>
          <w:numId w:val="1013"/>
        </w:numPr>
      </w:pPr>
      <w:r>
        <w:t xml:space="preserve">CX consistently outperformed MHD in audit quality scores.</w:t>
      </w:r>
    </w:p>
    <w:p>
      <w:pPr>
        <w:pStyle w:val="Compact"/>
        <w:numPr>
          <w:ilvl w:val="0"/>
          <w:numId w:val="1013"/>
        </w:numPr>
      </w:pPr>
      <w:r>
        <w:t xml:space="preserve">Fatal percentages remained relatively stable across both LOBs.</w:t>
      </w:r>
    </w:p>
    <w:p>
      <w:pPr>
        <w:pStyle w:val="Compact"/>
        <w:numPr>
          <w:ilvl w:val="0"/>
          <w:numId w:val="1013"/>
        </w:numPr>
      </w:pPr>
      <w:r>
        <w:t xml:space="preserve">Audit quality showed strong recovery toward the end of the reporting period.</w:t>
      </w:r>
    </w:p>
    <w:bookmarkEnd w:id="35"/>
    <w:bookmarkStart w:id="36" w:name="trend-analysis"/>
    <w:p>
      <w:pPr>
        <w:pStyle w:val="Heading3"/>
      </w:pPr>
      <w:r>
        <w:t xml:space="preserve">Trend Analysis</w:t>
      </w:r>
    </w:p>
    <w:p>
      <w:pPr>
        <w:pStyle w:val="Compact"/>
        <w:numPr>
          <w:ilvl w:val="0"/>
          <w:numId w:val="1014"/>
        </w:numPr>
      </w:pPr>
      <w:r>
        <w:t xml:space="preserve">Audit quality experienced fluctuations during the year, with noticeable declines during specific periods.</w:t>
      </w:r>
    </w:p>
    <w:p>
      <w:pPr>
        <w:pStyle w:val="Compact"/>
        <w:numPr>
          <w:ilvl w:val="0"/>
          <w:numId w:val="1014"/>
        </w:numPr>
      </w:pPr>
      <w:r>
        <w:t xml:space="preserve">December recorded a significant improvement in average audit scores across operations.</w:t>
      </w:r>
    </w:p>
    <w:p>
      <w:r>
        <w:pict>
          <v:rect style="width:0;height:1.5pt" o:hralign="center" o:hrstd="t" o:hr="t"/>
        </w:pict>
      </w:r>
    </w:p>
    <w:bookmarkEnd w:id="36"/>
    <w:bookmarkEnd w:id="37"/>
    <w:bookmarkStart w:id="38" w:name="business-impact"/>
    <w:p>
      <w:pPr>
        <w:pStyle w:val="Heading2"/>
      </w:pPr>
      <w:r>
        <w:t xml:space="preserve">Business Impact</w:t>
      </w:r>
    </w:p>
    <w:p>
      <w:pPr>
        <w:pStyle w:val="FirstParagraph"/>
      </w:pPr>
      <w:r>
        <w:t xml:space="preserve">The dashboard enables stakeholders to:</w:t>
      </w:r>
    </w:p>
    <w:p>
      <w:pPr>
        <w:pStyle w:val="Compact"/>
        <w:numPr>
          <w:ilvl w:val="0"/>
          <w:numId w:val="1015"/>
        </w:numPr>
      </w:pPr>
      <w:r>
        <w:t xml:space="preserve">Monitor operational quality in real time.</w:t>
      </w:r>
    </w:p>
    <w:p>
      <w:pPr>
        <w:pStyle w:val="Compact"/>
        <w:numPr>
          <w:ilvl w:val="0"/>
          <w:numId w:val="1015"/>
        </w:numPr>
      </w:pPr>
      <w:r>
        <w:t xml:space="preserve">Compare partner performance objectively.</w:t>
      </w:r>
    </w:p>
    <w:p>
      <w:pPr>
        <w:pStyle w:val="Compact"/>
        <w:numPr>
          <w:ilvl w:val="0"/>
          <w:numId w:val="1015"/>
        </w:numPr>
      </w:pPr>
      <w:r>
        <w:t xml:space="preserve">Identify high-risk areas through fatal error analysis.</w:t>
      </w:r>
    </w:p>
    <w:p>
      <w:pPr>
        <w:pStyle w:val="Compact"/>
        <w:numPr>
          <w:ilvl w:val="0"/>
          <w:numId w:val="1015"/>
        </w:numPr>
      </w:pPr>
      <w:r>
        <w:t xml:space="preserve">Track performance trends across business lines.</w:t>
      </w:r>
    </w:p>
    <w:p>
      <w:pPr>
        <w:pStyle w:val="Compact"/>
        <w:numPr>
          <w:ilvl w:val="0"/>
          <w:numId w:val="1015"/>
        </w:numPr>
      </w:pPr>
      <w:r>
        <w:t xml:space="preserve">Support data-driven decision-making through centralized reporting.</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Fintech Audit Analytics Dashboard demonstrates the application of SQL, PostgreSQL, and Power BI to solve a real-world business problem. By transforming raw audit data into actionable insights, the solution provides a scalable framework for performance monitoring, quality management, and operational analysis within a fintech environment.</w:t>
      </w:r>
    </w:p>
    <w:p>
      <w:pPr>
        <w:pStyle w:val="BodyText"/>
      </w:pPr>
      <w:r>
        <w:t xml:space="preserve">This project highlights skills in data analysis, data modeling, SQL querying, KPI development, dashboard design, and business intelligence reporting.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2026-06-07T08:31:43Z</dcterms:created>
  <dcterms:modified xsi:type="dcterms:W3CDTF">2026-06-07T08:31:43Z</dcterms:modified>
</cp:coreProperties>
</file>

<file path=docProps/custom.xml><?xml version="1.0" encoding="utf-8"?>
<Properties xmlns="http://schemas.openxmlformats.org/officeDocument/2006/custom-properties" xmlns:vt="http://schemas.openxmlformats.org/officeDocument/2006/docPropsVTypes"/>
</file>