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D52"/>
          <w:sz w:val="38"/>
        </w:rPr>
        <w:t>BLOOD BANK INVENTORY AND DONOR MATCHER</w:t>
      </w:r>
    </w:p>
    <w:p>
      <w:pPr>
        <w:jc w:val="center"/>
      </w:pPr>
      <w:r>
        <w:rPr>
          <w:b/>
          <w:color w:val="A66E37"/>
          <w:sz w:val="30"/>
        </w:rPr>
        <w:t>MODULE 4 — DONOR MATCHER</w:t>
      </w:r>
    </w:p>
    <w:p>
      <w:pPr>
        <w:jc w:val="center"/>
      </w:pPr>
      <w:r>
        <w:rPr>
          <w:i/>
          <w:color w:val="6F7682"/>
          <w:sz w:val="20"/>
        </w:rPr>
        <w:t>Concepts and Java features used in the program</w:t>
      </w:r>
    </w:p>
    <w:p>
      <w:pPr>
        <w:pStyle w:val="Heading1"/>
      </w:pPr>
      <w:r>
        <w:t>1. Objective</w:t>
      </w:r>
    </w:p>
    <w:p>
      <w:r>
        <w:t>To compare the patient's required blood-group label with the donor's entered blood-group label and display whether the two labels match.</w:t>
      </w:r>
    </w:p>
    <w:p>
      <w:pPr>
        <w:pStyle w:val="Heading1"/>
      </w:pPr>
      <w:r>
        <w:t>2. Concepts I Used in the Code</w:t>
      </w:r>
    </w:p>
    <w:tbl>
      <w:tblPr>
        <w:tblStyle w:val="TableGrid"/>
        <w:tblW w:type="auto" w:w="0"/>
        <w:tblLook w:firstColumn="1" w:firstRow="1" w:lastColumn="0" w:lastRow="0" w:noHBand="0" w:noVBand="1" w:val="04A0"/>
      </w:tblPr>
      <w:tblGrid>
        <w:gridCol w:w="4968"/>
        <w:gridCol w:w="4968"/>
      </w:tblGrid>
      <w:tr>
        <w:tc>
          <w:tcPr>
            <w:tcW w:type="dxa" w:w="2952"/>
            <w:shd w:fill="DDEFEA"/>
          </w:tcPr>
          <w:p>
            <w:r>
              <w:rPr>
                <w:rFonts w:ascii="Calibri" w:hAnsi="Calibri"/>
                <w:b/>
                <w:color w:val="235D52"/>
                <w:sz w:val="20"/>
              </w:rPr>
              <w:t>Scanner class</w:t>
            </w:r>
          </w:p>
        </w:tc>
        <w:tc>
          <w:tcPr>
            <w:tcW w:type="dxa" w:w="7920"/>
            <w:shd w:fill="FBFCFD"/>
          </w:tcPr>
          <w:p>
            <w:r>
              <w:rPr>
                <w:rFonts w:ascii="Calibri" w:hAnsi="Calibri"/>
                <w:b w:val="0"/>
                <w:color w:val="374151"/>
                <w:sz w:val="20"/>
              </w:rPr>
              <w:t>Used to take input from the user, such as the patient name, required blood group, donor name, and donor blood group.</w:t>
            </w:r>
          </w:p>
        </w:tc>
      </w:tr>
      <w:tr>
        <w:tc>
          <w:tcPr>
            <w:tcW w:type="dxa" w:w="2952"/>
            <w:shd w:fill="F3E8D8"/>
          </w:tcPr>
          <w:p>
            <w:r>
              <w:rPr>
                <w:rFonts w:ascii="Calibri" w:hAnsi="Calibri"/>
                <w:b/>
                <w:color w:val="235D52"/>
                <w:sz w:val="20"/>
              </w:rPr>
              <w:t>String data type</w:t>
            </w:r>
          </w:p>
        </w:tc>
        <w:tc>
          <w:tcPr>
            <w:tcW w:type="dxa" w:w="7920"/>
            <w:shd w:fill="FBFCFD"/>
          </w:tcPr>
          <w:p>
            <w:r>
              <w:rPr>
                <w:rFonts w:ascii="Calibri" w:hAnsi="Calibri"/>
                <w:b w:val="0"/>
                <w:color w:val="374151"/>
                <w:sz w:val="20"/>
              </w:rPr>
              <w:t>Used to store the names and blood-group labels because they are text values.</w:t>
            </w:r>
          </w:p>
        </w:tc>
      </w:tr>
      <w:tr>
        <w:tc>
          <w:tcPr>
            <w:tcW w:type="dxa" w:w="2952"/>
            <w:shd w:fill="DDEFEA"/>
          </w:tcPr>
          <w:p>
            <w:r>
              <w:rPr>
                <w:rFonts w:ascii="Calibri" w:hAnsi="Calibri"/>
                <w:b/>
                <w:color w:val="235D52"/>
                <w:sz w:val="20"/>
              </w:rPr>
              <w:t>nextLine() method</w:t>
            </w:r>
          </w:p>
        </w:tc>
        <w:tc>
          <w:tcPr>
            <w:tcW w:type="dxa" w:w="7920"/>
            <w:shd w:fill="FBFCFD"/>
          </w:tcPr>
          <w:p>
            <w:r>
              <w:rPr>
                <w:rFonts w:ascii="Calibri" w:hAnsi="Calibri"/>
                <w:b w:val="0"/>
                <w:color w:val="374151"/>
                <w:sz w:val="20"/>
              </w:rPr>
              <w:t>Used to read the complete line entered by the user.</w:t>
            </w:r>
          </w:p>
        </w:tc>
      </w:tr>
      <w:tr>
        <w:tc>
          <w:tcPr>
            <w:tcW w:type="dxa" w:w="2952"/>
            <w:shd w:fill="F3E8D8"/>
          </w:tcPr>
          <w:p>
            <w:r>
              <w:rPr>
                <w:rFonts w:ascii="Calibri" w:hAnsi="Calibri"/>
                <w:b/>
                <w:color w:val="235D52"/>
                <w:sz w:val="20"/>
              </w:rPr>
              <w:t>Variables</w:t>
            </w:r>
          </w:p>
        </w:tc>
        <w:tc>
          <w:tcPr>
            <w:tcW w:type="dxa" w:w="7920"/>
            <w:shd w:fill="FBFCFD"/>
          </w:tcPr>
          <w:p>
            <w:r>
              <w:rPr>
                <w:rFonts w:ascii="Calibri" w:hAnsi="Calibri"/>
                <w:b w:val="0"/>
                <w:color w:val="374151"/>
                <w:sz w:val="20"/>
              </w:rPr>
              <w:t>patient stores the patient's name; requiredBlood stores the requested blood group; donor stores the donor's name; donorBlood stores the donor's blood group.</w:t>
            </w:r>
          </w:p>
        </w:tc>
      </w:tr>
      <w:tr>
        <w:tc>
          <w:tcPr>
            <w:tcW w:type="dxa" w:w="2952"/>
            <w:shd w:fill="DDEFEA"/>
          </w:tcPr>
          <w:p>
            <w:r>
              <w:rPr>
                <w:rFonts w:ascii="Calibri" w:hAnsi="Calibri"/>
                <w:b/>
                <w:color w:val="235D52"/>
                <w:sz w:val="20"/>
              </w:rPr>
              <w:t>equalsIgnoreCase() method</w:t>
            </w:r>
          </w:p>
        </w:tc>
        <w:tc>
          <w:tcPr>
            <w:tcW w:type="dxa" w:w="7920"/>
            <w:shd w:fill="FBFCFD"/>
          </w:tcPr>
          <w:p>
            <w:r>
              <w:rPr>
                <w:rFonts w:ascii="Calibri" w:hAnsi="Calibri"/>
                <w:b w:val="0"/>
                <w:color w:val="374151"/>
                <w:sz w:val="20"/>
              </w:rPr>
              <w:t>Used to compare the two blood-group labels without treating uppercase and lowercase letters as different.</w:t>
            </w:r>
          </w:p>
        </w:tc>
      </w:tr>
      <w:tr>
        <w:tc>
          <w:tcPr>
            <w:tcW w:type="dxa" w:w="2952"/>
            <w:shd w:fill="F3E8D8"/>
          </w:tcPr>
          <w:p>
            <w:r>
              <w:rPr>
                <w:rFonts w:ascii="Calibri" w:hAnsi="Calibri"/>
                <w:b/>
                <w:color w:val="235D52"/>
                <w:sz w:val="20"/>
              </w:rPr>
              <w:t>if-else statement</w:t>
            </w:r>
          </w:p>
        </w:tc>
        <w:tc>
          <w:tcPr>
            <w:tcW w:type="dxa" w:w="7920"/>
            <w:shd w:fill="FBFCFD"/>
          </w:tcPr>
          <w:p>
            <w:r>
              <w:rPr>
                <w:rFonts w:ascii="Calibri" w:hAnsi="Calibri"/>
                <w:b w:val="0"/>
                <w:color w:val="374151"/>
                <w:sz w:val="20"/>
              </w:rPr>
              <w:t>Used for decision-making: if the labels match, the program displays a match message; otherwise, it displays a no-match message.</w:t>
            </w:r>
          </w:p>
        </w:tc>
      </w:tr>
      <w:tr>
        <w:tc>
          <w:tcPr>
            <w:tcW w:type="dxa" w:w="2952"/>
            <w:shd w:fill="DDEFEA"/>
          </w:tcPr>
          <w:p>
            <w:r>
              <w:rPr>
                <w:rFonts w:ascii="Calibri" w:hAnsi="Calibri"/>
                <w:b/>
                <w:color w:val="235D52"/>
                <w:sz w:val="20"/>
              </w:rPr>
              <w:t>String concatenation (+)</w:t>
            </w:r>
          </w:p>
        </w:tc>
        <w:tc>
          <w:tcPr>
            <w:tcW w:type="dxa" w:w="7920"/>
            <w:shd w:fill="FBFCFD"/>
          </w:tcPr>
          <w:p>
            <w:r>
              <w:rPr>
                <w:rFonts w:ascii="Calibri" w:hAnsi="Calibri"/>
                <w:b w:val="0"/>
                <w:color w:val="374151"/>
                <w:sz w:val="20"/>
              </w:rPr>
              <w:t>Used to join labels such as 'Patient name' with the value stored in the patient variable when displaying output.</w:t>
            </w:r>
          </w:p>
        </w:tc>
      </w:tr>
      <w:tr>
        <w:tc>
          <w:tcPr>
            <w:tcW w:type="dxa" w:w="2952"/>
            <w:shd w:fill="F3E8D8"/>
          </w:tcPr>
          <w:p>
            <w:r>
              <w:rPr>
                <w:rFonts w:ascii="Calibri" w:hAnsi="Calibri"/>
                <w:b/>
                <w:color w:val="235D52"/>
                <w:sz w:val="20"/>
              </w:rPr>
              <w:t>System.out.print() and System.out.println()</w:t>
            </w:r>
          </w:p>
        </w:tc>
        <w:tc>
          <w:tcPr>
            <w:tcW w:type="dxa" w:w="7920"/>
            <w:shd w:fill="FBFCFD"/>
          </w:tcPr>
          <w:p>
            <w:r>
              <w:rPr>
                <w:rFonts w:ascii="Calibri" w:hAnsi="Calibri"/>
                <w:b w:val="0"/>
                <w:color w:val="374151"/>
                <w:sz w:val="20"/>
              </w:rPr>
              <w:t>Used to display prompts and results. print() keeps the cursor on the same line, while println() moves to the next line.</w:t>
            </w:r>
          </w:p>
        </w:tc>
      </w:tr>
      <w:tr>
        <w:tc>
          <w:tcPr>
            <w:tcW w:type="dxa" w:w="2952"/>
            <w:shd w:fill="DDEFEA"/>
          </w:tcPr>
          <w:p>
            <w:r>
              <w:rPr>
                <w:rFonts w:ascii="Calibri" w:hAnsi="Calibri"/>
                <w:b/>
                <w:color w:val="235D52"/>
                <w:sz w:val="20"/>
              </w:rPr>
              <w:t>close() method</w:t>
            </w:r>
          </w:p>
        </w:tc>
        <w:tc>
          <w:tcPr>
            <w:tcW w:type="dxa" w:w="7920"/>
            <w:shd w:fill="FBFCFD"/>
          </w:tcPr>
          <w:p>
            <w:r>
              <w:rPr>
                <w:rFonts w:ascii="Calibri" w:hAnsi="Calibri"/>
                <w:b w:val="0"/>
                <w:color w:val="374151"/>
                <w:sz w:val="20"/>
              </w:rPr>
              <w:t>Used to close the Scanner after taking the required input.</w:t>
            </w:r>
          </w:p>
        </w:tc>
      </w:tr>
    </w:tbl>
    <w:p>
      <w:pPr>
        <w:pStyle w:val="Heading1"/>
      </w:pPr>
      <w:r>
        <w:t>3. Program Flow</w:t>
      </w:r>
    </w:p>
    <w:p>
      <w:pPr>
        <w:pStyle w:val="ListNumber"/>
      </w:pPr>
      <w:r>
        <w:t>Start the program.</w:t>
      </w:r>
    </w:p>
    <w:p>
      <w:pPr>
        <w:pStyle w:val="ListNumber"/>
      </w:pPr>
      <w:r>
        <w:t>Read the patient's name and required blood group.</w:t>
      </w:r>
    </w:p>
    <w:p>
      <w:pPr>
        <w:pStyle w:val="ListNumber"/>
      </w:pPr>
      <w:r>
        <w:t>Read the donor's name and blood group.</w:t>
      </w:r>
    </w:p>
    <w:p>
      <w:pPr>
        <w:pStyle w:val="ListNumber"/>
      </w:pPr>
      <w:r>
        <w:t>Compare requiredBlood and donorBlood using equalsIgnoreCase().</w:t>
      </w:r>
    </w:p>
    <w:p>
      <w:pPr>
        <w:pStyle w:val="ListNumber"/>
      </w:pPr>
      <w:r>
        <w:t>Display the matching or non-matching message.</w:t>
      </w:r>
    </w:p>
    <w:p>
      <w:pPr>
        <w:pStyle w:val="ListNumber"/>
      </w:pPr>
      <w:r>
        <w:t>Close the Scanner and end the program.</w:t>
      </w:r>
    </w:p>
    <w:p>
      <w:pPr>
        <w:pStyle w:val="Heading1"/>
      </w:pPr>
      <w:r>
        <w:t>4. Output Behaviour</w:t>
      </w:r>
    </w:p>
    <w:p>
      <w:r>
        <w:t>When the entered blood-group labels are the same (ignoring letter case), the program displays “Blood group match found” along with the patient and donor details.</w:t>
      </w:r>
    </w:p>
    <w:p>
      <w:r>
        <w:t>When the labels are different, the program displays “Blood group does not match.”</w:t>
      </w:r>
    </w:p>
    <w:p>
      <w:pPr>
        <w:pStyle w:val="Heading1"/>
      </w:pPr>
      <w:r>
        <w:t>5. Important Note</w:t>
      </w:r>
    </w:p>
    <w:p>
      <w:r>
        <w:rPr>
          <w:i/>
          <w:color w:val="824F32"/>
        </w:rPr>
        <w:t>This module demonstrates basic text comparison only. Real blood transfusions require professional compatibility testing and verification by qualified healthcare staff. The program's label comparison must not be used for real medical decisions.</w:t>
      </w:r>
    </w:p>
    <w:p>
      <w:pPr>
        <w:pStyle w:val="Heading1"/>
      </w:pPr>
      <w:r>
        <w:t>6. Summary</w:t>
      </w:r>
    </w:p>
    <w:p>
      <w:r>
        <w:t>In Module 4, I used user input, String variables, a String comparison method, and an if-else statement. These concepts help the program collect donor and patient details, compare the entered blood-group labels, and show the result.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373D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