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Calibri" w:hAnsi="Calibri"/>
          <w:b/>
          <w:color w:val="2563EB"/>
          <w:sz w:val="22"/>
        </w:rPr>
        <w:t>ENTERPRISE SOFTWARE PACKAGING &amp; DEPLOYMENT DOSSIER</w:t>
      </w:r>
    </w:p>
    <w:tbl>
      <w:tblPr>
        <w:tblW w:type="auto" w:w="0"/>
        <w:jc w:val="center"/>
        <w:tblLayout w:type="fixed"/>
        <w:tblLook w:firstColumn="1" w:firstRow="1" w:lastColumn="0" w:lastRow="0" w:noHBand="0" w:noVBand="1" w:val="04A0"/>
      </w:tblPr>
      <w:tblGrid>
        <w:gridCol w:w="9936"/>
      </w:tblGrid>
      <w:tr>
        <w:tc>
          <w:tcPr>
            <w:tcW w:type="dxa" w:w="9936"/>
            <w:shd w:fill="0F172A"/>
            <w:tcMar>
              <w:top w:w="260" w:type="dxa"/>
              <w:bottom w:w="260" w:type="dxa"/>
              <w:left w:w="240" w:type="dxa"/>
              <w:right w:w="240" w:type="dxa"/>
            </w:tcMar>
            <w:tcBorders>
              <w:top w:val="single" w:color="1E293B" w:sz="12"/>
              <w:left w:val="single" w:color="2563EB" w:sz="36"/>
              <w:bottom w:val="single" w:color="1E293B" w:sz="12"/>
              <w:right w:val="single" w:color="1E293B" w:sz="12"/>
            </w:tcBorders>
          </w:tcPr>
          <w:p>
            <w:pPr>
              <w:spacing w:after="160"/>
            </w:pPr>
            <w:r>
              <w:rPr>
                <w:rFonts w:ascii="Calibri" w:hAnsi="Calibri"/>
                <w:b/>
                <w:color w:val="FFFFFF"/>
                <w:sz w:val="48"/>
              </w:rPr>
              <w:t>BBHPMS ENTERPRISE PLATFORM</w:t>
            </w:r>
          </w:p>
          <w:p>
            <w:pPr>
              <w:spacing w:after="120"/>
            </w:pPr>
            <w:r>
              <w:rPr>
                <w:rFonts w:ascii="Calibri" w:hAnsi="Calibri"/>
                <w:color w:val="93C5FD"/>
                <w:sz w:val="26"/>
              </w:rPr>
              <w:t>Comprehensive Project Packaging, Multi-Tenant Architecture, Database Schemas &amp; Operational Handover Manual</w:t>
            </w:r>
          </w:p>
          <w:p>
            <w:pPr>
              <w:spacing w:after="0"/>
            </w:pPr>
            <w:r>
              <w:rPr>
                <w:rFonts w:ascii="Calibri" w:hAnsi="Calibri"/>
                <w:i/>
                <w:color w:val="94A3B8"/>
                <w:sz w:val="19"/>
              </w:rPr>
              <w:t>Release v1.0.0-PROD | Laravel 11.31 / PHP 8.2+ / MySQL 8.0+ Dual-Database Engine</w:t>
            </w:r>
          </w:p>
        </w:tc>
      </w:tr>
    </w:tbl>
    <w:p>
      <w:pPr>
        <w:spacing w:before="280" w:after="80"/>
      </w:pPr>
    </w:p>
    <w:tbl>
      <w:tblPr>
        <w:tblW w:type="auto" w:w="0"/>
        <w:jc w:val="center"/>
        <w:tblLayout w:type="fixed"/>
        <w:tblLook w:firstColumn="1" w:firstRow="1" w:lastColumn="0" w:lastRow="0" w:noHBand="0" w:noVBand="1" w:val="04A0"/>
      </w:tblPr>
      <w:tblGrid>
        <w:gridCol w:w="4968"/>
        <w:gridCol w:w="4968"/>
      </w:tblGrid>
      <w:tr>
        <w:tc>
          <w:tcPr>
            <w:tcW w:type="dxa" w:w="331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Metadata Field</w:t>
            </w:r>
          </w:p>
        </w:tc>
        <w:tc>
          <w:tcPr>
            <w:tcW w:type="dxa" w:w="6624"/>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Specification Details</w:t>
            </w:r>
          </w:p>
        </w:tc>
      </w:tr>
      <w:tr>
        <w:tc>
          <w:tcPr>
            <w:tcW w:type="dxa" w:w="331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Project Name &amp; Code</w:t>
            </w:r>
          </w:p>
        </w:tc>
        <w:tc>
          <w:tcPr>
            <w:tcW w:type="dxa" w:w="66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BBHPMS Enterprise Multi-Tenant Solution (PMS_REOPEN)</w:t>
            </w:r>
          </w:p>
        </w:tc>
      </w:tr>
      <w:tr>
        <w:tc>
          <w:tcPr>
            <w:tcW w:type="dxa" w:w="331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Document Identifier</w:t>
            </w:r>
          </w:p>
        </w:tc>
        <w:tc>
          <w:tcPr>
            <w:tcW w:type="dxa" w:w="66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DOC-BBHPMS-PKG-2026-V1</w:t>
            </w:r>
          </w:p>
        </w:tc>
      </w:tr>
      <w:tr>
        <w:tc>
          <w:tcPr>
            <w:tcW w:type="dxa" w:w="331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Target Architecture</w:t>
            </w:r>
          </w:p>
        </w:tc>
        <w:tc>
          <w:tcPr>
            <w:tcW w:type="dxa" w:w="66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Multi-Tenant Isolated MySQL Database Architecture + Central SaaS Registry</w:t>
            </w:r>
          </w:p>
        </w:tc>
      </w:tr>
      <w:tr>
        <w:tc>
          <w:tcPr>
            <w:tcW w:type="dxa" w:w="331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Core Framework &amp; Stack</w:t>
            </w:r>
          </w:p>
        </w:tc>
        <w:tc>
          <w:tcPr>
            <w:tcW w:type="dxa" w:w="66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Laravel 11.31, PHP 8.2+, MySQL 8.0, Vite 5+, TailwindCSS, Redis</w:t>
            </w:r>
          </w:p>
        </w:tc>
      </w:tr>
      <w:tr>
        <w:tc>
          <w:tcPr>
            <w:tcW w:type="dxa" w:w="331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Auxiliary Engines</w:t>
            </w:r>
          </w:p>
        </w:tc>
        <w:tc>
          <w:tcPr>
            <w:tcW w:type="dxa" w:w="66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Tesseract OCR, DomPDF 3.1, FPDF/FPDI Letterhead, Maatwebsite Excel 3.1</w:t>
            </w:r>
          </w:p>
        </w:tc>
      </w:tr>
      <w:tr>
        <w:tc>
          <w:tcPr>
            <w:tcW w:type="dxa" w:w="331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Document Classification</w:t>
            </w:r>
          </w:p>
        </w:tc>
        <w:tc>
          <w:tcPr>
            <w:tcW w:type="dxa" w:w="66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Proprietary &amp; Enterprise Confidential — Software Packaging &amp; Delivery</w:t>
            </w:r>
          </w:p>
        </w:tc>
      </w:tr>
      <w:tr>
        <w:tc>
          <w:tcPr>
            <w:tcW w:type="dxa" w:w="331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Target Stakeholders</w:t>
            </w:r>
          </w:p>
        </w:tc>
        <w:tc>
          <w:tcPr>
            <w:tcW w:type="dxa" w:w="66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DevOps Engineers, Cloud Infrastructure Architects, Enterprise Clients, Lead Developers</w:t>
            </w:r>
          </w:p>
        </w:tc>
      </w:tr>
      <w:tr>
        <w:tc>
          <w:tcPr>
            <w:tcW w:type="dxa" w:w="331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Status &amp; Approval</w:t>
            </w:r>
          </w:p>
        </w:tc>
        <w:tc>
          <w:tcPr>
            <w:tcW w:type="dxa" w:w="66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Production Ready / Final Handover Release</w:t>
            </w:r>
          </w:p>
        </w:tc>
      </w:tr>
    </w:tbl>
    <w:p>
      <w:pPr>
        <w:spacing w:after="80"/>
      </w:pPr>
    </w:p>
    <w:p>
      <w:r>
        <w:br w:type="page"/>
      </w:r>
    </w:p>
    <w:p>
      <w:pPr>
        <w:keepNext/>
        <w:spacing w:before="400" w:after="120"/>
        <w:pBdr>
          <w:bottom w:val="single" w:sz="14" w:space="4" w:color="2563EB"/>
        </w:pBdr>
      </w:pPr>
      <w:r>
        <w:rPr>
          <w:rFonts w:ascii="Calibri" w:hAnsi="Calibri"/>
          <w:b/>
          <w:color w:val="0F172A"/>
          <w:sz w:val="32"/>
        </w:rPr>
        <w:t>1. Executive Summary &amp; Project Packaging Overview</w:t>
      </w:r>
    </w:p>
    <w:p>
      <w:pPr>
        <w:spacing w:after="100" w:line="276" w:lineRule="auto"/>
      </w:pPr>
      <w:r>
        <w:rPr>
          <w:rFonts w:ascii="Calibri" w:hAnsi="Calibri"/>
          <w:b/>
          <w:color w:val="1E293B"/>
          <w:sz w:val="20"/>
        </w:rPr>
        <w:t xml:space="preserve">Platform Scope: </w:t>
      </w:r>
      <w:r>
        <w:rPr>
          <w:rFonts w:ascii="Calibri" w:hAnsi="Calibri"/>
          <w:color w:val="334155"/>
          <w:sz w:val="20"/>
        </w:rPr>
        <w:t>This Project Packaging Dossier serves as the comprehensive, authoritative technical and operational handover specification for the BBHPMS (Property, Project &amp; Resource Management System). The platform is an enterprise-grade, multi-tenant Software-as-a-Service (SaaS) application designed to unify Project Management, Human Resource Management (HRMS), Enterprise Payroll Processing, Attendance &amp; Geolocation Tracking, Customer Relationship Management (CRM), Financial Invoicing, and Support Ticketing into a centralized, highly secure digital ecosystem.</w:t>
      </w:r>
    </w:p>
    <w:p>
      <w:pPr>
        <w:spacing w:after="100" w:line="276" w:lineRule="auto"/>
      </w:pPr>
      <w:r>
        <w:rPr>
          <w:rFonts w:ascii="Calibri" w:hAnsi="Calibri"/>
          <w:b/>
          <w:color w:val="1E293B"/>
          <w:sz w:val="20"/>
        </w:rPr>
        <w:t xml:space="preserve">Architectural Pillar: </w:t>
      </w:r>
      <w:r>
        <w:rPr>
          <w:rFonts w:ascii="Calibri" w:hAnsi="Calibri"/>
          <w:color w:val="334155"/>
          <w:sz w:val="20"/>
        </w:rPr>
        <w:t>The software is engineered with a strict multi-tenant database isolation topology. Rather than storing all organizational records within a single database separated merely by tenant IDs, BBHPMS provisions dedicated MySQL databases for each registered tenant organization, coordinated by a central registry database (pms_central). This eliminates cross-tenant data leakage risks, complies with enterprise data sovereignty standards, and allows independent backup and scaling.</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200" w:type="dxa"/>
              <w:right w:w="160" w:type="dxa"/>
            </w:tcMar>
            <w:tcBorders>
              <w:top w:val="none" w:color="F0FDF4" w:sz="4"/>
              <w:left w:val="single" w:color="16A34A" w:sz="24"/>
              <w:bottom w:val="none" w:color="F0FDF4" w:sz="4"/>
              <w:right w:val="none" w:color="F0FDF4" w:sz="4"/>
            </w:tcBorders>
          </w:tcPr>
          <w:p>
            <w:pPr>
              <w:spacing w:after="40" w:line="276" w:lineRule="auto"/>
            </w:pPr>
            <w:r>
              <w:rPr>
                <w:rFonts w:ascii="Calibri" w:hAnsi="Calibri"/>
                <w:b/>
                <w:color w:val="166534"/>
                <w:sz w:val="20"/>
              </w:rPr>
              <w:t>[BEST PRACTICE] Packaging Standard Compliance</w:t>
              <w:br/>
            </w:r>
            <w:r>
              <w:rPr>
                <w:rFonts w:ascii="Calibri" w:hAnsi="Calibri"/>
                <w:color w:val="334155"/>
                <w:sz w:val="19"/>
              </w:rPr>
              <w:t>This software package has been compiled according to Enterprise Software Packaging Guidelines. It includes complete source code trees, dual database migration pipelines (central &amp; tenant), environment blueprints, supervisor worker configs, cron schedules, OCR integration paths, and an automated verification matrix.</w:t>
            </w:r>
          </w:p>
        </w:tc>
      </w:tr>
    </w:tbl>
    <w:p>
      <w:pPr>
        <w:spacing w:after="80"/>
      </w:pPr>
    </w:p>
    <w:p>
      <w:pPr>
        <w:keepNext/>
        <w:spacing w:before="280" w:after="80"/>
      </w:pPr>
      <w:r>
        <w:rPr>
          <w:rFonts w:ascii="Calibri" w:hAnsi="Calibri"/>
          <w:b/>
          <w:color w:val="1E3A8A"/>
          <w:sz w:val="25"/>
        </w:rPr>
        <w:t>1.1 Core Platform Capabilities Matrix</w:t>
      </w:r>
    </w:p>
    <w:p>
      <w:pPr>
        <w:spacing w:after="100" w:line="276" w:lineRule="auto"/>
      </w:pPr>
      <w:r>
        <w:rPr>
          <w:rFonts w:ascii="Calibri" w:hAnsi="Calibri"/>
          <w:color w:val="334155"/>
          <w:sz w:val="20"/>
        </w:rPr>
        <w:t>The BBHPMS platform comprises 10 core functional domains, each packaged as an autonomous yet tightly integrated module: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Module Domain</w:t>
            </w:r>
          </w:p>
        </w:tc>
        <w:tc>
          <w:tcPr>
            <w:tcW w:type="dxa" w:w="4608"/>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Key Functional Scope</w:t>
            </w:r>
          </w:p>
        </w:tc>
        <w:tc>
          <w:tcPr>
            <w:tcW w:type="dxa" w:w="2736"/>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Underlying Architecture</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Super Admin SaaS Center</w:t>
            </w:r>
          </w:p>
        </w:tc>
        <w:tc>
          <w:tcPr>
            <w:tcW w:type="dxa" w:w="460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Company onboarding, tenant DB auto-provisioning, subscription plans, module assignment, health checks, central audit logs.</w:t>
            </w:r>
          </w:p>
        </w:tc>
        <w:tc>
          <w:tcPr>
            <w:tcW w:type="dxa" w:w="273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 Database (pms_central) + Dynamic Tenant Router</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Project &amp; Task Suite</w:t>
            </w:r>
          </w:p>
        </w:tc>
        <w:tc>
          <w:tcPr>
            <w:tcW w:type="dxa" w:w="460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Milestones, tasks, subtasks, Kanban/Gantt boards, time tracking, task timers, multi-user assignment, sticky notes.</w:t>
            </w:r>
          </w:p>
        </w:tc>
        <w:tc>
          <w:tcPr>
            <w:tcW w:type="dxa" w:w="273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DB with Task/Project Eloquent Relationships</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HRMS &amp; Employee Directory</w:t>
            </w:r>
          </w:p>
        </w:tc>
        <w:tc>
          <w:tcPr>
            <w:tcW w:type="dxa" w:w="460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Employee 360 profiles, parent/child departments, designation levels, 4-tier document vault, letterheads, appraisals.</w:t>
            </w:r>
          </w:p>
        </w:tc>
        <w:tc>
          <w:tcPr>
            <w:tcW w:type="dxa" w:w="273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DB + File Storage Symlink Subtrees + FPDF</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Attendance &amp; Leaves Engine</w:t>
            </w:r>
          </w:p>
        </w:tc>
        <w:tc>
          <w:tcPr>
            <w:tcW w:type="dxa" w:w="460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Clock in/out with geolocation &amp; selfie capture, shift policies, leave balance accruals, apology letters, holidays.</w:t>
            </w:r>
          </w:p>
        </w:tc>
        <w:tc>
          <w:tcPr>
            <w:tcW w:type="dxa" w:w="273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DB + Location Coordinates + Policy Engine</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Enterprise Payroll Engine</w:t>
            </w:r>
          </w:p>
        </w:tc>
        <w:tc>
          <w:tcPr>
            <w:tcW w:type="dxa" w:w="460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Salary structures, dynamic formula components, allowances/deductions, overtime/bonus rules, payslip PDF generator, bank export.</w:t>
            </w:r>
          </w:p>
        </w:tc>
        <w:tc>
          <w:tcPr>
            <w:tcW w:type="dxa" w:w="273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DB + PayrollCalculationService + DomPDF</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CRM &amp; Contract Pipeline</w:t>
            </w:r>
          </w:p>
        </w:tc>
        <w:tc>
          <w:tcPr>
            <w:tcW w:type="dxa" w:w="460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Leads, contacts, drag-and-drop deal stages, follow-up scheduler, proposals, contracts, digital signing workflow.</w:t>
            </w:r>
          </w:p>
        </w:tc>
        <w:tc>
          <w:tcPr>
            <w:tcW w:type="dxa" w:w="273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DB + DealWatcher + Activity Feed</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Finance &amp; Expense Auditing</w:t>
            </w:r>
          </w:p>
        </w:tc>
        <w:tc>
          <w:tcPr>
            <w:tcW w:type="dxa" w:w="460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Invoicing, multi-currency ledger, bank accounts, payment receipts, categorized expense claims with receipt verification.</w:t>
            </w:r>
          </w:p>
        </w:tc>
        <w:tc>
          <w:tcPr>
            <w:tcW w:type="dxa" w:w="273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DB + Invoice/Payment Models</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Support Ticket Helpdesk</w:t>
            </w:r>
          </w:p>
        </w:tc>
        <w:tc>
          <w:tcPr>
            <w:tcW w:type="dxa" w:w="460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Customer &amp; internal ticketing, ticket groups, SLA priorities, multi-party threaded replies, activity timeline.</w:t>
            </w:r>
          </w:p>
        </w:tc>
        <w:tc>
          <w:tcPr>
            <w:tcW w:type="dxa" w:w="273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DB + TicketActivity Logging</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Community &amp; Collaboration</w:t>
            </w:r>
          </w:p>
        </w:tc>
        <w:tc>
          <w:tcPr>
            <w:tcW w:type="dxa" w:w="460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Live company chat channels, real-time message reactions, online presence, event calendar, photo galleries, RSVP.</w:t>
            </w:r>
          </w:p>
        </w:tc>
        <w:tc>
          <w:tcPr>
            <w:tcW w:type="dxa" w:w="273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DB + CommunityMessage Engine</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AI &amp; OCR Verification</w:t>
            </w:r>
          </w:p>
        </w:tc>
        <w:tc>
          <w:tcPr>
            <w:tcW w:type="dxa" w:w="460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Government ID card OCR scanning, automated Date-of-Birth parsing, verification workflow with manual review fallback.</w:t>
            </w:r>
          </w:p>
        </w:tc>
        <w:tc>
          <w:tcPr>
            <w:tcW w:type="dxa" w:w="273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DB + Tesseract OCR Subprocess Engine</w:t>
            </w:r>
          </w:p>
        </w:tc>
      </w:tr>
    </w:tbl>
    <w:p>
      <w:pPr>
        <w:spacing w:after="80"/>
      </w:pPr>
    </w:p>
    <w:p>
      <w:pPr>
        <w:keepNext/>
        <w:spacing w:before="400" w:after="120"/>
        <w:pBdr>
          <w:bottom w:val="single" w:sz="14" w:space="4" w:color="2563EB"/>
        </w:pBdr>
      </w:pPr>
      <w:r>
        <w:rPr>
          <w:rFonts w:ascii="Calibri" w:hAnsi="Calibri"/>
          <w:b/>
          <w:color w:val="0F172A"/>
          <w:sz w:val="32"/>
        </w:rPr>
        <w:t>2. Software Bill of Materials (SBOM) &amp; Technology Stack</w:t>
      </w:r>
    </w:p>
    <w:p>
      <w:pPr>
        <w:spacing w:after="100" w:line="276" w:lineRule="auto"/>
      </w:pPr>
      <w:r>
        <w:rPr>
          <w:rFonts w:ascii="Calibri" w:hAnsi="Calibri"/>
          <w:color w:val="334155"/>
          <w:sz w:val="20"/>
        </w:rPr>
        <w:t>BBHPMS is constructed upon a hardened, modern technology stack ensuring optimal execution speeds, type safety, modular dependency isolation, and cross-platform hosting portability.</w:t>
      </w:r>
    </w:p>
    <w:p>
      <w:pPr>
        <w:keepNext/>
        <w:spacing w:before="280" w:after="80"/>
      </w:pPr>
      <w:r>
        <w:rPr>
          <w:rFonts w:ascii="Calibri" w:hAnsi="Calibri"/>
          <w:b/>
          <w:color w:val="1E3A8A"/>
          <w:sz w:val="25"/>
        </w:rPr>
        <w:t>2.1 Core Technology Stack Specifications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Layer</w:t>
            </w:r>
          </w:p>
        </w:tc>
        <w:tc>
          <w:tcPr>
            <w:tcW w:type="dxa" w:w="2880"/>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Technology / Framework</w:t>
            </w:r>
          </w:p>
        </w:tc>
        <w:tc>
          <w:tcPr>
            <w:tcW w:type="dxa" w:w="187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Version Constraint</w:t>
            </w:r>
          </w:p>
        </w:tc>
        <w:tc>
          <w:tcPr>
            <w:tcW w:type="dxa" w:w="3168"/>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Purpose in Architecture</w:t>
            </w:r>
          </w:p>
        </w:tc>
      </w:tr>
      <w:tr>
        <w:tc>
          <w:tcPr>
            <w:tcW w:type="dxa" w:w="201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Backend Runtime</w:t>
            </w:r>
          </w:p>
        </w:tc>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PHP CLI / FPM</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&gt;= 8.2.0 (8.2 / 8.3)</w:t>
            </w:r>
          </w:p>
        </w:tc>
        <w:tc>
          <w:tcPr>
            <w:tcW w:type="dxa" w:w="316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Core server-side execution runtime with JIT compiler support.</w:t>
            </w:r>
          </w:p>
        </w:tc>
      </w:tr>
      <w:tr>
        <w:tc>
          <w:tcPr>
            <w:tcW w:type="dxa" w:w="201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Core Framework</w:t>
            </w:r>
          </w:p>
        </w:tc>
        <w:tc>
          <w:tcPr>
            <w:tcW w:type="dxa" w:w="288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Laravel Framework</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^11.31.0</w:t>
            </w:r>
          </w:p>
        </w:tc>
        <w:tc>
          <w:tcPr>
            <w:tcW w:type="dxa" w:w="316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Application foundation, Eloquent ORM, routing, queues, middleware.</w:t>
            </w:r>
          </w:p>
        </w:tc>
      </w:tr>
      <w:tr>
        <w:tc>
          <w:tcPr>
            <w:tcW w:type="dxa" w:w="201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Database Engine</w:t>
            </w:r>
          </w:p>
        </w:tc>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MySQL / MariaDB</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&gt;= 8.0 / 10.6+</w:t>
            </w:r>
          </w:p>
        </w:tc>
        <w:tc>
          <w:tcPr>
            <w:tcW w:type="dxa" w:w="316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Relational database server with InnoDB engine and utf8mb4 collation.</w:t>
            </w:r>
          </w:p>
        </w:tc>
      </w:tr>
      <w:tr>
        <w:tc>
          <w:tcPr>
            <w:tcW w:type="dxa" w:w="201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Frontend Bundler</w:t>
            </w:r>
          </w:p>
        </w:tc>
        <w:tc>
          <w:tcPr>
            <w:tcW w:type="dxa" w:w="288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Vite JS</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^5.0.0</w:t>
            </w:r>
          </w:p>
        </w:tc>
        <w:tc>
          <w:tcPr>
            <w:tcW w:type="dxa" w:w="316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High-performance ESM asset bundler for scripts and styles.</w:t>
            </w:r>
          </w:p>
        </w:tc>
      </w:tr>
      <w:tr>
        <w:tc>
          <w:tcPr>
            <w:tcW w:type="dxa" w:w="201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Styling Framework</w:t>
            </w:r>
          </w:p>
        </w:tc>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TailwindCSS + PostCSS</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^3.4.0</w:t>
            </w:r>
          </w:p>
        </w:tc>
        <w:tc>
          <w:tcPr>
            <w:tcW w:type="dxa" w:w="316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Utility-first CSS engine with dark mode and responsive layout tokens.</w:t>
            </w:r>
          </w:p>
        </w:tc>
      </w:tr>
      <w:tr>
        <w:tc>
          <w:tcPr>
            <w:tcW w:type="dxa" w:w="201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Document Generation</w:t>
            </w:r>
          </w:p>
        </w:tc>
        <w:tc>
          <w:tcPr>
            <w:tcW w:type="dxa" w:w="288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Barryvdh Laravel DomPDF</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^3.1.0</w:t>
            </w:r>
          </w:p>
        </w:tc>
        <w:tc>
          <w:tcPr>
            <w:tcW w:type="dxa" w:w="316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Server-side HTML-to-PDF rendering for payslips, invoices, and reports.</w:t>
            </w:r>
          </w:p>
        </w:tc>
      </w:tr>
      <w:tr>
        <w:tc>
          <w:tcPr>
            <w:tcW w:type="dxa" w:w="201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Letterhead Engine</w:t>
            </w:r>
          </w:p>
        </w:tc>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FPDF &amp; FPDI</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Latest Stable</w:t>
            </w:r>
          </w:p>
        </w:tc>
        <w:tc>
          <w:tcPr>
            <w:tcW w:type="dxa" w:w="316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High-precision PDF template parser and vector letterhead synthesizer.</w:t>
            </w:r>
          </w:p>
        </w:tc>
      </w:tr>
      <w:tr>
        <w:tc>
          <w:tcPr>
            <w:tcW w:type="dxa" w:w="201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Spreadsheet Engine</w:t>
            </w:r>
          </w:p>
        </w:tc>
        <w:tc>
          <w:tcPr>
            <w:tcW w:type="dxa" w:w="288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Maatwebsite Laravel Excel</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^3.1.0</w:t>
            </w:r>
          </w:p>
        </w:tc>
        <w:tc>
          <w:tcPr>
            <w:tcW w:type="dxa" w:w="316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PhpSpreadsheet wrapper for bulk salary, employee, and attendance imports/exports.</w:t>
            </w:r>
          </w:p>
        </w:tc>
      </w:tr>
      <w:tr>
        <w:tc>
          <w:tcPr>
            <w:tcW w:type="dxa" w:w="201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OCR Vision Engine</w:t>
            </w:r>
          </w:p>
        </w:tc>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Tesseract OCR</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&gt;= 5.0.0</w:t>
            </w:r>
          </w:p>
        </w:tc>
        <w:tc>
          <w:tcPr>
            <w:tcW w:type="dxa" w:w="316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Optical Character Recognition engine for automated Government ID verification.</w:t>
            </w:r>
          </w:p>
        </w:tc>
      </w:tr>
      <w:tr>
        <w:tc>
          <w:tcPr>
            <w:tcW w:type="dxa" w:w="201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Process Supervisor</w:t>
            </w:r>
          </w:p>
        </w:tc>
        <w:tc>
          <w:tcPr>
            <w:tcW w:type="dxa" w:w="288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Supervisord / Systemd</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Standard Linux</w:t>
            </w:r>
          </w:p>
        </w:tc>
        <w:tc>
          <w:tcPr>
            <w:tcW w:type="dxa" w:w="316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Daemon manager for Laravel queue workers and background scheduler.</w:t>
            </w:r>
          </w:p>
        </w:tc>
      </w:tr>
      <w:tr>
        <w:tc>
          <w:tcPr>
            <w:tcW w:type="dxa" w:w="201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Caching &amp; Queue</w:t>
            </w:r>
          </w:p>
        </w:tc>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Redis / MySQL Database</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&gt;= 6.0 (Redis)</w:t>
            </w:r>
          </w:p>
        </w:tc>
        <w:tc>
          <w:tcPr>
            <w:tcW w:type="dxa" w:w="316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High-speed caching layer, session storage, and asynchronous job dispatch.</w:t>
            </w:r>
          </w:p>
        </w:tc>
      </w:tr>
    </w:tbl>
    <w:p>
      <w:pPr>
        <w:spacing w:after="80"/>
      </w:pPr>
    </w:p>
    <w:p>
      <w:pPr>
        <w:keepNext/>
        <w:spacing w:before="280" w:after="80"/>
      </w:pPr>
      <w:r>
        <w:rPr>
          <w:rFonts w:ascii="Calibri" w:hAnsi="Calibri"/>
          <w:b/>
          <w:color w:val="1E3A8A"/>
          <w:sz w:val="25"/>
        </w:rPr>
        <w:t>2.2 Production Composer Package Manifest</w:t>
      </w:r>
    </w:p>
    <w:p>
      <w:pPr>
        <w:spacing w:after="100" w:line="276" w:lineRule="auto"/>
      </w:pPr>
      <w:r>
        <w:rPr>
          <w:rFonts w:ascii="Calibri" w:hAnsi="Calibri"/>
          <w:color w:val="334155"/>
          <w:sz w:val="20"/>
        </w:rPr>
        <w:t>The following dependencies are declared in composer.json and strictly locked via composer.lock for deterministic packaging: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Package Namespace</w:t>
            </w:r>
          </w:p>
        </w:tc>
        <w:tc>
          <w:tcPr>
            <w:tcW w:type="dxa" w:w="187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Required Version</w:t>
            </w:r>
          </w:p>
        </w:tc>
        <w:tc>
          <w:tcPr>
            <w:tcW w:type="dxa" w:w="1584"/>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License</w:t>
            </w:r>
          </w:p>
        </w:tc>
        <w:tc>
          <w:tcPr>
            <w:tcW w:type="dxa" w:w="3456"/>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Architectural Role</w:t>
            </w:r>
          </w:p>
        </w:tc>
      </w:tr>
      <w:tr>
        <w:tc>
          <w:tcPr>
            <w:tcW w:type="dxa" w:w="30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php</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^8.2</w:t>
            </w:r>
          </w:p>
        </w:tc>
        <w:tc>
          <w:tcPr>
            <w:tcW w:type="dxa" w:w="158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PHP License</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Core language requirement (8.2+ required for typed class constants &amp; readonly classes).</w:t>
            </w:r>
          </w:p>
        </w:tc>
      </w:tr>
      <w:tr>
        <w:tc>
          <w:tcPr>
            <w:tcW w:type="dxa" w:w="30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laravel/framework</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^11.31</w:t>
            </w:r>
          </w:p>
        </w:tc>
        <w:tc>
          <w:tcPr>
            <w:tcW w:type="dxa" w:w="158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MIT</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Core enterprise web application framework.</w:t>
            </w:r>
          </w:p>
        </w:tc>
      </w:tr>
      <w:tr>
        <w:tc>
          <w:tcPr>
            <w:tcW w:type="dxa" w:w="30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laravel/tinker</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^2.9</w:t>
            </w:r>
          </w:p>
        </w:tc>
        <w:tc>
          <w:tcPr>
            <w:tcW w:type="dxa" w:w="158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MIT</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Interactive REPL debugging interface via Psy Shell.</w:t>
            </w:r>
          </w:p>
        </w:tc>
      </w:tr>
      <w:tr>
        <w:tc>
          <w:tcPr>
            <w:tcW w:type="dxa" w:w="30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barryvdh/laravel-dompdf</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^3.1</w:t>
            </w:r>
          </w:p>
        </w:tc>
        <w:tc>
          <w:tcPr>
            <w:tcW w:type="dxa" w:w="158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MIT</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PDF generation service provider wrapping DomPDF.</w:t>
            </w:r>
          </w:p>
        </w:tc>
      </w:tr>
      <w:tr>
        <w:tc>
          <w:tcPr>
            <w:tcW w:type="dxa" w:w="30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maatwebsite/excel</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^3.1</w:t>
            </w:r>
          </w:p>
        </w:tc>
        <w:tc>
          <w:tcPr>
            <w:tcW w:type="dxa" w:w="158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MIT</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Excel and CSV spreadsheet generation and ingestion engine.</w:t>
            </w:r>
          </w:p>
        </w:tc>
      </w:tr>
      <w:tr>
        <w:tc>
          <w:tcPr>
            <w:tcW w:type="dxa" w:w="30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setasign/fpdf</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w:t>
            </w:r>
          </w:p>
        </w:tc>
        <w:tc>
          <w:tcPr>
            <w:tcW w:type="dxa" w:w="158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Freeware</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Low-level PDF generation library for corporate letterheads.</w:t>
            </w:r>
          </w:p>
        </w:tc>
      </w:tr>
      <w:tr>
        <w:tc>
          <w:tcPr>
            <w:tcW w:type="dxa" w:w="30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setasign/fpdi</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w:t>
            </w:r>
          </w:p>
        </w:tc>
        <w:tc>
          <w:tcPr>
            <w:tcW w:type="dxa" w:w="158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MIT</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PDF page extraction and dynamic background overlay merger.</w:t>
            </w:r>
          </w:p>
        </w:tc>
      </w:tr>
      <w:tr>
        <w:tc>
          <w:tcPr>
            <w:tcW w:type="dxa" w:w="30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fakerphp/faker</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^1.23 (dev)</w:t>
            </w:r>
          </w:p>
        </w:tc>
        <w:tc>
          <w:tcPr>
            <w:tcW w:type="dxa" w:w="158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MIT</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Realistic database seeding generator for development environments.</w:t>
            </w:r>
          </w:p>
        </w:tc>
      </w:tr>
      <w:tr>
        <w:tc>
          <w:tcPr>
            <w:tcW w:type="dxa" w:w="30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mockery/mockery</w:t>
            </w:r>
          </w:p>
        </w:tc>
        <w:tc>
          <w:tcPr>
            <w:tcW w:type="dxa" w:w="187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^1.6 (dev)</w:t>
            </w:r>
          </w:p>
        </w:tc>
        <w:tc>
          <w:tcPr>
            <w:tcW w:type="dxa" w:w="158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BSD-3</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Mock object framework for automated PHPUnit test suites.</w:t>
            </w:r>
          </w:p>
        </w:tc>
      </w:tr>
      <w:tr>
        <w:tc>
          <w:tcPr>
            <w:tcW w:type="dxa" w:w="30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phpunit/phpunit</w:t>
            </w:r>
          </w:p>
        </w:tc>
        <w:tc>
          <w:tcPr>
            <w:tcW w:type="dxa" w:w="187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^11.0.1 (dev)</w:t>
            </w:r>
          </w:p>
        </w:tc>
        <w:tc>
          <w:tcPr>
            <w:tcW w:type="dxa" w:w="158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BSD-3</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Unit and integration testing harness.</w:t>
            </w:r>
          </w:p>
        </w:tc>
      </w:tr>
    </w:tbl>
    <w:p>
      <w:pPr>
        <w:spacing w:after="80"/>
      </w:pPr>
    </w:p>
    <w:p>
      <w:pPr>
        <w:keepNext/>
        <w:spacing w:before="400" w:after="120"/>
        <w:pBdr>
          <w:bottom w:val="single" w:sz="14" w:space="4" w:color="2563EB"/>
        </w:pBdr>
      </w:pPr>
      <w:r>
        <w:rPr>
          <w:rFonts w:ascii="Calibri" w:hAnsi="Calibri"/>
          <w:b/>
          <w:color w:val="0F172A"/>
          <w:sz w:val="32"/>
        </w:rPr>
        <w:t>3. Codebase Architecture &amp; Packaging Directory Layout</w:t>
      </w:r>
    </w:p>
    <w:p>
      <w:pPr>
        <w:spacing w:after="100" w:line="276" w:lineRule="auto"/>
      </w:pPr>
      <w:r>
        <w:rPr>
          <w:rFonts w:ascii="Calibri" w:hAnsi="Calibri"/>
          <w:color w:val="334155"/>
          <w:sz w:val="20"/>
        </w:rPr>
        <w:t>The BBHPMS codebase is structured according to domain-driven Laravel architectural standards, cleanly segregating central platform logic, tenant-specific business rules, dynamic services, and presentation blade assets.</w:t>
      </w:r>
    </w:p>
    <w:p>
      <w:pPr>
        <w:spacing w:before="80" w:after="40"/>
      </w:pPr>
      <w:r>
        <w:rPr>
          <w:rFonts w:ascii="Calibri" w:hAnsi="Calibri"/>
          <w:i/>
          <w:color w:val="64748B"/>
          <w:sz w:val="17"/>
        </w:rPr>
        <w:t>Command / Configuration: BBHPMS Repository &amp; Packaging Directory Hierarchy</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single" w:color="334155" w:sz="12"/>
              <w:left w:val="single" w:color="334155" w:sz="12"/>
              <w:bottom w:val="single" w:color="334155" w:sz="12"/>
              <w:right w:val="single" w:color="334155" w:sz="12"/>
            </w:tcBorders>
          </w:tcPr>
          <w:p>
            <w:pPr>
              <w:spacing w:after="0" w:line="264" w:lineRule="auto"/>
            </w:pPr>
            <w:r>
              <w:rPr>
                <w:rFonts w:ascii="Consolas" w:hAnsi="Consolas"/>
                <w:color w:val="E2E8F0"/>
                <w:sz w:val="17"/>
              </w:rPr>
              <w:t>PMS_REOPEN/</w:t>
              <w:br/>
              <w:t>├── app/</w:t>
              <w:br/>
              <w:t>│   ├── Console/Commands/           # Scheduled automation &amp; migration commands</w:t>
              <w:br/>
              <w:t>│   ├── Exports/                    # Excel export classes (Payroll, Attendance, etc.)</w:t>
              <w:br/>
              <w:t>│   ├── Helpers/                    # Global procedural helpers &amp; formatters</w:t>
              <w:br/>
              <w:t>│   ├── Http/</w:t>
              <w:br/>
              <w:t>│   │   ├── Controllers/            # Central &amp; Tenant controllers (Admin, SuperAdmin, Dev)</w:t>
              <w:br/>
              <w:t>│   │   │   ├── Admin/              # Tenant company admin management controllers</w:t>
              <w:br/>
              <w:t>│   │   │   ├── SuperAdmin/         # Central platform command center controllers</w:t>
              <w:br/>
              <w:t>│   │   │   └── DeveloperPortalController.php  # Dev portal &amp; task tracking</w:t>
              <w:br/>
              <w:t>│   │   └── Middleware/             # Tenant routing, RBAC &amp; subscription gates</w:t>
              <w:br/>
              <w:t>│   │       ├── SetTenantConnection.php        # Dynamic DB connection switch</w:t>
              <w:br/>
              <w:t>│   │       ├── EnsureCompanySubscriptionActive.php # Subscription lifecycle gate</w:t>
              <w:br/>
              <w:t>│   │       ├── EnsureModuleAccess.php         # Plan-based module guard</w:t>
              <w:br/>
              <w:t>│   │       └── RoleMiddleware.php             # RBAC role authorization</w:t>
              <w:br/>
              <w:t>│   ├── Imports/                    # Excel bulk data import handlers</w:t>
              <w:br/>
              <w:t>│   ├── Mail/                       # Mailable notification classes</w:t>
              <w:br/>
              <w:t>│   ├── Models/                     # 120+ Eloquent entity models</w:t>
              <w:br/>
              <w:t>│   │   ├── Central/                # Central models (CentralCompany, CentralPlan, etc.)</w:t>
              <w:br/>
              <w:t>│   │   ├── TenantModel.php         # Base model enforcing tenant connection</w:t>
              <w:br/>
              <w:t>│   │   ├── Company.php             # Tenant organization entity</w:t>
              <w:br/>
              <w:t>│   │   ├── Task.php, Project.php   # PMS entities</w:t>
              <w:br/>
              <w:t>│   │   ├── EmployeeDetail.php      # HRMS entities</w:t>
              <w:br/>
              <w:t>│   │   └── Payroll.php, Payslip.php# Payroll entities</w:t>
              <w:br/>
              <w:t>│   ├── Notifications/              # System &amp; mail notification dispatchers</w:t>
              <w:br/>
              <w:t>│   ├── Policies/                   # Entity authorization policies</w:t>
              <w:br/>
              <w:t>│   ├── Providers/                  # Service providers (App, Tenancy, Event, Auth)</w:t>
              <w:br/>
              <w:t>│   └── Services/                   # 19 Enterprise business logic service classes</w:t>
              <w:br/>
              <w:t>│       ├── CompanyContext.php      # Current active tenant context holder</w:t>
              <w:br/>
              <w:t>│       ├── GovernmentIdDobVerifier.php # Tesseract OCR DOB extraction service</w:t>
              <w:br/>
              <w:t>│       ├── LeaveService.php        # Leave policy calculation engine</w:t>
              <w:br/>
              <w:t>│       ├── PayrollCalculationService.php # Payroll formula &amp; deduction engine</w:t>
              <w:br/>
              <w:t>│       ├── PdfLetterheadService.php # FPDF/FPDI Letterhead composer</w:t>
              <w:br/>
              <w:t>│       └── SubscriptionService.php # Plan enforcement &amp; billing service</w:t>
              <w:br/>
              <w:t>├── config/                         # Configuration (app, database, tenancy, mail, etc.)</w:t>
              <w:br/>
              <w:t>├── database/</w:t>
              <w:br/>
              <w:t>│   ├── migrations/</w:t>
              <w:br/>
              <w:t>│   │   ├── central/                # Central pms_central migrations (17 files)</w:t>
              <w:br/>
              <w:t>│   │   └── tenant/                 # Tenant pms_tenant_* migrations (134 files)</w:t>
              <w:br/>
              <w:t>│   └── seeders/                    # Master database seeders</w:t>
              <w:br/>
              <w:t>├── public/                         # Web root (index.php, compiled assets, storage symlink)</w:t>
              <w:br/>
              <w:t>├── resources/</w:t>
              <w:br/>
              <w:t>│   ├── css/ &amp; js/                  # Source Tailwind styles &amp; JS modules</w:t>
              <w:br/>
              <w:t>│   └── views/                      # Blade presentation templates</w:t>
              <w:br/>
              <w:t>│       ├── admin/                  # Tenant management views (Projects, Tasks, HR)</w:t>
              <w:br/>
              <w:t>│       ├── superadmin/             # Central Command Center views</w:t>
              <w:br/>
              <w:t>│       ├── developer/              # Developer portal views</w:t>
              <w:br/>
              <w:t>│       ├── dashboards/             # Specialized role dashboards</w:t>
              <w:br/>
              <w:t>│       └── layouts/                # Base master layouts (Admin, SuperAdmin, Guest)</w:t>
              <w:br/>
              <w:t>├── routes/</w:t>
              <w:br/>
              <w:t>│   ├── web.php                     # Tenant application routes (93KB exhaustive routing)</w:t>
              <w:br/>
              <w:t>│   ├── super-admin.php             # Central Command Center routes</w:t>
              <w:br/>
              <w:t>│   └── auth.php                    # Authentication routes</w:t>
              <w:br/>
              <w:t>└── storage/                        # Persistent file store, logs, cache, tenant vaults</w:t>
              <w:br/>
              <w:t xml:space="preserve">    ├── app/public/                 # Symlinked public storage (logos, letterheads, docs)</w:t>
              <w:br/>
              <w:t xml:space="preserve">    ├── framework/                  # Compiled blade templates, sessions, cache</w:t>
              <w:br/>
              <w:t xml:space="preserve">    └── logs/                       # Rotating application error &amp; audit logs</w:t>
            </w:r>
          </w:p>
        </w:tc>
      </w:tr>
    </w:tbl>
    <w:p>
      <w:pPr>
        <w:spacing w:after="80"/>
      </w:pPr>
    </w:p>
    <w:p>
      <w:pPr>
        <w:keepNext/>
        <w:spacing w:before="400" w:after="120"/>
        <w:pBdr>
          <w:bottom w:val="single" w:sz="14" w:space="4" w:color="2563EB"/>
        </w:pBdr>
      </w:pPr>
      <w:r>
        <w:rPr>
          <w:rFonts w:ascii="Calibri" w:hAnsi="Calibri"/>
          <w:b/>
          <w:color w:val="0F172A"/>
          <w:sz w:val="32"/>
        </w:rPr>
        <w:t>4. Multi-Tenant Dual-Database Architecture &amp; Isolation Engine</w:t>
      </w:r>
    </w:p>
    <w:p>
      <w:pPr>
        <w:spacing w:after="100" w:line="276" w:lineRule="auto"/>
      </w:pPr>
      <w:r>
        <w:rPr>
          <w:rFonts w:ascii="Calibri" w:hAnsi="Calibri"/>
          <w:b/>
          <w:color w:val="1E293B"/>
          <w:sz w:val="20"/>
        </w:rPr>
        <w:t xml:space="preserve">Dual-Tier Topology: </w:t>
      </w:r>
      <w:r>
        <w:rPr>
          <w:rFonts w:ascii="Calibri" w:hAnsi="Calibri"/>
          <w:color w:val="334155"/>
          <w:sz w:val="20"/>
        </w:rPr>
        <w:t>The core structural innovation of BBHPMS is its strict multi-tenant dual-database partitioning. Data belonging to distinct client corporations is never mixed in shared tables. Instead, the application maintains two database tiers:</w:t>
      </w:r>
    </w:p>
    <w:p>
      <w:pPr>
        <w:pStyle w:val="ListBullet"/>
        <w:spacing w:after="60" w:line="276" w:lineRule="auto"/>
      </w:pPr>
      <w:r>
        <w:rPr>
          <w:rFonts w:ascii="Calibri" w:hAnsi="Calibri"/>
          <w:b/>
          <w:color w:val="1E293B"/>
          <w:sz w:val="20"/>
        </w:rPr>
        <w:t xml:space="preserve">1. Central Platform Database (pms_central): </w:t>
      </w:r>
      <w:r>
        <w:rPr>
          <w:rFonts w:ascii="Calibri" w:hAnsi="Calibri"/>
          <w:color w:val="334155"/>
          <w:sz w:val="20"/>
        </w:rPr>
        <w:t>Stores global platform data: registered companies, subscription plans, platform-wide billing transactions, super admin credentials, developer task assignments, and system audit logs.</w:t>
      </w:r>
    </w:p>
    <w:p>
      <w:pPr>
        <w:pStyle w:val="ListBullet"/>
        <w:spacing w:after="60" w:line="276" w:lineRule="auto"/>
      </w:pPr>
      <w:r>
        <w:rPr>
          <w:rFonts w:ascii="Calibri" w:hAnsi="Calibri"/>
          <w:b/>
          <w:color w:val="1E293B"/>
          <w:sz w:val="20"/>
        </w:rPr>
        <w:t xml:space="preserve">2. Tenant Organizational Databases (pms_tenant_* / pms_last): </w:t>
      </w:r>
      <w:r>
        <w:rPr>
          <w:rFonts w:ascii="Calibri" w:hAnsi="Calibri"/>
          <w:color w:val="334155"/>
          <w:sz w:val="20"/>
        </w:rPr>
        <w:t>Stores all private company data: employees, departments, designations, attendance logs, leave balances, payroll structures, payslips, projects, tasks, deals, contracts, tickets, and letterheads.</w:t>
      </w:r>
    </w:p>
    <w:p>
      <w:pPr>
        <w:keepNext/>
        <w:spacing w:before="280" w:after="80"/>
      </w:pPr>
      <w:r>
        <w:rPr>
          <w:rFonts w:ascii="Calibri" w:hAnsi="Calibri"/>
          <w:b/>
          <w:color w:val="1E3A8A"/>
          <w:sz w:val="25"/>
        </w:rPr>
        <w:t>4.1 Dynamic Connection Switching Pipeline</w:t>
      </w:r>
    </w:p>
    <w:p>
      <w:pPr>
        <w:spacing w:after="100" w:line="276" w:lineRule="auto"/>
      </w:pPr>
      <w:r>
        <w:rPr>
          <w:rFonts w:ascii="Calibri" w:hAnsi="Calibri"/>
          <w:color w:val="334155"/>
          <w:sz w:val="20"/>
        </w:rPr>
        <w:t>When an HTTP request arrives, the SetTenantConnection middleware dynamically resolves the authenticated user's organization and configures the tenant database connection on the fly:</w:t>
      </w:r>
    </w:p>
    <w:p>
      <w:pPr>
        <w:spacing w:before="80" w:after="40"/>
      </w:pPr>
      <w:r>
        <w:rPr>
          <w:rFonts w:ascii="Calibri" w:hAnsi="Calibri"/>
          <w:i/>
          <w:color w:val="64748B"/>
          <w:sz w:val="17"/>
        </w:rPr>
        <w:t>Command / Configuration: Dynamic Tenant PDO Connection Switching Pipeline</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single" w:color="334155" w:sz="12"/>
              <w:left w:val="single" w:color="334155" w:sz="12"/>
              <w:bottom w:val="single" w:color="334155" w:sz="12"/>
              <w:right w:val="single" w:color="334155" w:sz="12"/>
            </w:tcBorders>
          </w:tcPr>
          <w:p>
            <w:pPr>
              <w:spacing w:after="0" w:line="264" w:lineRule="auto"/>
            </w:pPr>
            <w:r>
              <w:rPr>
                <w:rFonts w:ascii="Consolas" w:hAnsi="Consolas"/>
                <w:color w:val="E2E8F0"/>
                <w:sz w:val="17"/>
              </w:rPr>
              <w:t>// Dynamic Runtime Database Switching Pipeline in SetTenantConnection.php</w:t>
              <w:br/>
              <w:t>$company = CompanyContext::getActiveCompany();</w:t>
              <w:br/>
              <w:t>if ($company &amp;&amp; $company-&gt;db_database) {</w:t>
              <w:br/>
              <w:t xml:space="preserve">    Config::set('database.connections.tenant.host', $company-&gt;db_host ?? env('DB_HOST'));</w:t>
              <w:br/>
              <w:t xml:space="preserve">    Config::set('database.connections.tenant.port', $company-&gt;db_port ?? env('DB_PORT'));</w:t>
              <w:br/>
              <w:t xml:space="preserve">    Config::set('database.connections.tenant.database', $company-&gt;db_database);</w:t>
              <w:br/>
              <w:t xml:space="preserve">    Config::set('database.connections.tenant.username', $company-&gt;db_username ?? env('DB_USERNAME'));</w:t>
              <w:br/>
              <w:t xml:space="preserve">    Config::set('database.connections.tenant.password', $company-&gt;db_password ?? env('DB_PASSWORD'));</w:t>
              <w:br/>
              <w:t xml:space="preserve">    </w:t>
              <w:br/>
              <w:t xml:space="preserve">    // Purge cached connection &amp; establish new tenant PDO instance</w:t>
              <w:br/>
              <w:t xml:space="preserve">    DB::purge('tenant');</w:t>
              <w:br/>
              <w:t xml:space="preserve">    DB::reconnect('tenant');</w:t>
              <w:br/>
              <w:t xml:space="preserve">    DB::setDefaultConnection('tenant');</w:t>
              <w:br/>
              <w: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EF2F2"/>
            <w:tcMar>
              <w:top w:w="140" w:type="dxa"/>
              <w:bottom w:w="140" w:type="dxa"/>
              <w:left w:w="200" w:type="dxa"/>
              <w:right w:w="160" w:type="dxa"/>
            </w:tcMar>
            <w:tcBorders>
              <w:top w:val="none" w:color="FEF2F2" w:sz="4"/>
              <w:left w:val="single" w:color="DC2626" w:sz="24"/>
              <w:bottom w:val="none" w:color="FEF2F2" w:sz="4"/>
              <w:right w:val="none" w:color="FEF2F2" w:sz="4"/>
            </w:tcBorders>
          </w:tcPr>
          <w:p>
            <w:pPr>
              <w:spacing w:after="40" w:line="276" w:lineRule="auto"/>
            </w:pPr>
            <w:r>
              <w:rPr>
                <w:rFonts w:ascii="Calibri" w:hAnsi="Calibri"/>
                <w:b/>
                <w:color w:val="991B1B"/>
                <w:sz w:val="20"/>
              </w:rPr>
              <w:t>[SECURITY DIRECTIVE] Zero Cross-Tenant Leakage Guarantee</w:t>
              <w:br/>
            </w:r>
            <w:r>
              <w:rPr>
                <w:rFonts w:ascii="Calibri" w:hAnsi="Calibri"/>
                <w:color w:val="334155"/>
                <w:sz w:val="19"/>
              </w:rPr>
              <w:t>Because the PDO database handle is switched at the connection layer, SQL queries executed by tenant models (extending TenantModel) physically target the isolated tenant schema. Even in the event of an unconstrained SELECT query, no other tenant's data can be returned.</w:t>
            </w:r>
          </w:p>
        </w:tc>
      </w:tr>
    </w:tbl>
    <w:p>
      <w:pPr>
        <w:spacing w:after="80"/>
      </w:pPr>
    </w:p>
    <w:p>
      <w:pPr>
        <w:keepNext/>
        <w:spacing w:before="280" w:after="80"/>
      </w:pPr>
      <w:r>
        <w:rPr>
          <w:rFonts w:ascii="Calibri" w:hAnsi="Calibri"/>
          <w:b/>
          <w:color w:val="1E3A8A"/>
          <w:sz w:val="25"/>
        </w:rPr>
        <w:t>4.2 Central vs. Tenant Migration Pipelines</w:t>
      </w:r>
    </w:p>
    <w:p>
      <w:pPr>
        <w:spacing w:after="100" w:line="276" w:lineRule="auto"/>
      </w:pPr>
      <w:r>
        <w:rPr>
          <w:rFonts w:ascii="Calibri" w:hAnsi="Calibri"/>
          <w:color w:val="334155"/>
          <w:sz w:val="20"/>
        </w:rPr>
        <w:t>Database migrations are strictly separated into two independent folders to prevent schema collisions: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Migration Pipeline</w:t>
            </w:r>
          </w:p>
        </w:tc>
        <w:tc>
          <w:tcPr>
            <w:tcW w:type="dxa" w:w="3024"/>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Location</w:t>
            </w:r>
          </w:p>
        </w:tc>
        <w:tc>
          <w:tcPr>
            <w:tcW w:type="dxa" w:w="1440"/>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File Count</w:t>
            </w:r>
          </w:p>
        </w:tc>
        <w:tc>
          <w:tcPr>
            <w:tcW w:type="dxa" w:w="2880"/>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Target Connection &amp; Command</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 Schema Pipeline</w:t>
            </w:r>
          </w:p>
        </w:tc>
        <w:tc>
          <w:tcPr>
            <w:tcW w:type="dxa" w:w="302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database/migrations/central/</w:t>
            </w:r>
          </w:p>
        </w:tc>
        <w:tc>
          <w:tcPr>
            <w:tcW w:type="dxa" w:w="144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17 Migrations</w:t>
            </w:r>
          </w:p>
        </w:tc>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php artisan migrate --database=central --path=database/migrations/central</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Schema Pipeline</w:t>
            </w:r>
          </w:p>
        </w:tc>
        <w:tc>
          <w:tcPr>
            <w:tcW w:type="dxa" w:w="302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database/migrations/tenant/</w:t>
            </w:r>
          </w:p>
        </w:tc>
        <w:tc>
          <w:tcPr>
            <w:tcW w:type="dxa" w:w="144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134 Migrations</w:t>
            </w:r>
          </w:p>
        </w:tc>
        <w:tc>
          <w:tcPr>
            <w:tcW w:type="dxa" w:w="288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Executed dynamically per tenant DB on onboarding or via batch runner: php artisan migrate --database=tenant --path=database/migrations/tenant</w:t>
            </w:r>
          </w:p>
        </w:tc>
      </w:tr>
    </w:tbl>
    <w:p>
      <w:pPr>
        <w:spacing w:after="80"/>
      </w:pPr>
    </w:p>
    <w:p>
      <w:pPr>
        <w:keepNext/>
        <w:spacing w:before="400" w:after="120"/>
        <w:pBdr>
          <w:bottom w:val="single" w:sz="14" w:space="4" w:color="2563EB"/>
        </w:pBdr>
      </w:pPr>
      <w:r>
        <w:rPr>
          <w:rFonts w:ascii="Calibri" w:hAnsi="Calibri"/>
          <w:b/>
          <w:color w:val="0F172A"/>
          <w:sz w:val="32"/>
        </w:rPr>
        <w:t>5. Comprehensive Functional Module Catalog</w:t>
      </w:r>
    </w:p>
    <w:p>
      <w:pPr>
        <w:spacing w:after="100" w:line="276" w:lineRule="auto"/>
      </w:pPr>
      <w:r>
        <w:rPr>
          <w:rFonts w:ascii="Calibri" w:hAnsi="Calibri"/>
          <w:color w:val="334155"/>
          <w:sz w:val="20"/>
        </w:rPr>
        <w:t>BBHPMS delivers an integrated suite of 10 enterprise modules. Below is the detailed functional and technical specification of each module packaged within this release:</w:t>
      </w:r>
    </w:p>
    <w:p>
      <w:pPr>
        <w:keepNext/>
        <w:spacing w:before="280" w:after="80"/>
      </w:pPr>
      <w:r>
        <w:rPr>
          <w:rFonts w:ascii="Calibri" w:hAnsi="Calibri"/>
          <w:b/>
          <w:color w:val="1E3A8A"/>
          <w:sz w:val="25"/>
        </w:rPr>
        <w:t>5.1 Super Admin Command Center &amp; SaaS Management</w:t>
      </w:r>
    </w:p>
    <w:p>
      <w:pPr>
        <w:spacing w:after="100" w:line="276" w:lineRule="auto"/>
      </w:pPr>
      <w:r>
        <w:rPr>
          <w:rFonts w:ascii="Calibri" w:hAnsi="Calibri"/>
          <w:color w:val="334155"/>
          <w:sz w:val="20"/>
        </w:rPr>
        <w:t>The Central Command Center provides platform administrators with complete operational control over all client organizations, subscription plans, module entitlements, and system health.</w:t>
      </w:r>
    </w:p>
    <w:p>
      <w:pPr>
        <w:pStyle w:val="ListBullet"/>
        <w:spacing w:after="60" w:line="276" w:lineRule="auto"/>
      </w:pPr>
      <w:r>
        <w:rPr>
          <w:rFonts w:ascii="Calibri" w:hAnsi="Calibri"/>
          <w:b/>
          <w:color w:val="1E293B"/>
          <w:sz w:val="20"/>
        </w:rPr>
        <w:t xml:space="preserve">Tenant Provisioning Engine: </w:t>
      </w:r>
      <w:r>
        <w:rPr>
          <w:rFonts w:ascii="Calibri" w:hAnsi="Calibri"/>
          <w:color w:val="334155"/>
          <w:sz w:val="20"/>
        </w:rPr>
        <w:t>Automated database creation, database user provisioning, migration execution, and initial administrator user seeding.</w:t>
      </w:r>
    </w:p>
    <w:p>
      <w:pPr>
        <w:pStyle w:val="ListBullet"/>
        <w:spacing w:after="60" w:line="276" w:lineRule="auto"/>
      </w:pPr>
      <w:r>
        <w:rPr>
          <w:rFonts w:ascii="Calibri" w:hAnsi="Calibri"/>
          <w:b/>
          <w:color w:val="1E293B"/>
          <w:sz w:val="20"/>
        </w:rPr>
        <w:t xml:space="preserve">Plan &amp; Subscription Manager: </w:t>
      </w:r>
      <w:r>
        <w:rPr>
          <w:rFonts w:ascii="Calibri" w:hAnsi="Calibri"/>
          <w:color w:val="334155"/>
          <w:sz w:val="20"/>
        </w:rPr>
        <w:t>Configure Monthly, Quarterly, Yearly tiers with max employee limits, max storage quotas, and enabled module matrices.</w:t>
      </w:r>
    </w:p>
    <w:p>
      <w:pPr>
        <w:pStyle w:val="ListBullet"/>
        <w:spacing w:after="60" w:line="276" w:lineRule="auto"/>
      </w:pPr>
      <w:r>
        <w:rPr>
          <w:rFonts w:ascii="Calibri" w:hAnsi="Calibri"/>
          <w:b/>
          <w:color w:val="1E293B"/>
          <w:sz w:val="20"/>
        </w:rPr>
        <w:t xml:space="preserve">Tenant Impersonation Engine: </w:t>
      </w:r>
      <w:r>
        <w:rPr>
          <w:rFonts w:ascii="Calibri" w:hAnsi="Calibri"/>
          <w:color w:val="334155"/>
          <w:sz w:val="20"/>
        </w:rPr>
        <w:t>Allows authorized Super Admins to securely inspect and enter tenant company environments without storing plain-text passwords.</w:t>
      </w:r>
    </w:p>
    <w:p>
      <w:pPr>
        <w:pStyle w:val="ListBullet"/>
        <w:spacing w:after="60" w:line="276" w:lineRule="auto"/>
      </w:pPr>
      <w:r>
        <w:rPr>
          <w:rFonts w:ascii="Calibri" w:hAnsi="Calibri"/>
          <w:b/>
          <w:color w:val="1E293B"/>
          <w:sz w:val="20"/>
        </w:rPr>
        <w:t xml:space="preserve">System Health &amp; Audit Dashboard: </w:t>
      </w:r>
      <w:r>
        <w:rPr>
          <w:rFonts w:ascii="Calibri" w:hAnsi="Calibri"/>
          <w:color w:val="334155"/>
          <w:sz w:val="20"/>
        </w:rPr>
        <w:t>Live tracking of active companies, expired subscriptions, server disk utilization, and cross-platform error alerts.</w:t>
      </w:r>
    </w:p>
    <w:p>
      <w:pPr>
        <w:keepNext/>
        <w:spacing w:before="280" w:after="80"/>
      </w:pPr>
      <w:r>
        <w:rPr>
          <w:rFonts w:ascii="Calibri" w:hAnsi="Calibri"/>
          <w:b/>
          <w:color w:val="1E3A8A"/>
          <w:sz w:val="25"/>
        </w:rPr>
        <w:t>5.2 Project &amp; Task Execution Suite</w:t>
      </w:r>
    </w:p>
    <w:p>
      <w:pPr>
        <w:spacing w:after="100" w:line="276" w:lineRule="auto"/>
      </w:pPr>
      <w:r>
        <w:rPr>
          <w:rFonts w:ascii="Calibri" w:hAnsi="Calibri"/>
          <w:color w:val="334155"/>
          <w:sz w:val="20"/>
        </w:rPr>
        <w:t>An enterprise-grade project delivery workspace enabling high-velocity task tracking, team assignment, and milestone delivery.</w:t>
      </w:r>
    </w:p>
    <w:p>
      <w:pPr>
        <w:pStyle w:val="ListBullet"/>
        <w:spacing w:after="60" w:line="276" w:lineRule="auto"/>
      </w:pPr>
      <w:r>
        <w:rPr>
          <w:rFonts w:ascii="Calibri" w:hAnsi="Calibri"/>
          <w:b/>
          <w:color w:val="1E293B"/>
          <w:sz w:val="20"/>
        </w:rPr>
        <w:t xml:space="preserve">Project Lifecycle Management: </w:t>
      </w:r>
      <w:r>
        <w:rPr>
          <w:rFonts w:ascii="Calibri" w:hAnsi="Calibri"/>
          <w:color w:val="334155"/>
          <w:sz w:val="20"/>
        </w:rPr>
        <w:t>Categorized projects with client associations, budget tracking, currency, payment status, start/deadline dates, and completion metrics.</w:t>
      </w:r>
    </w:p>
    <w:p>
      <w:pPr>
        <w:pStyle w:val="ListBullet"/>
        <w:spacing w:after="60" w:line="276" w:lineRule="auto"/>
      </w:pPr>
      <w:r>
        <w:rPr>
          <w:rFonts w:ascii="Calibri" w:hAnsi="Calibri"/>
          <w:b/>
          <w:color w:val="1E293B"/>
          <w:sz w:val="20"/>
        </w:rPr>
        <w:t xml:space="preserve">Task &amp; Subtask Matrix: </w:t>
      </w:r>
      <w:r>
        <w:rPr>
          <w:rFonts w:ascii="Calibri" w:hAnsi="Calibri"/>
          <w:color w:val="334155"/>
          <w:sz w:val="20"/>
        </w:rPr>
        <w:t>Task hierarchy with subtasks, priority levels (Low, Medium, High, Urgent), status kanban (To-do, In Progress, Review, Completed), custom labels, and file attachments.</w:t>
      </w:r>
    </w:p>
    <w:p>
      <w:pPr>
        <w:pStyle w:val="ListBullet"/>
        <w:spacing w:after="60" w:line="276" w:lineRule="auto"/>
      </w:pPr>
      <w:r>
        <w:rPr>
          <w:rFonts w:ascii="Calibri" w:hAnsi="Calibri"/>
          <w:b/>
          <w:color w:val="1E293B"/>
          <w:sz w:val="20"/>
        </w:rPr>
        <w:t xml:space="preserve">Precision Time Tracking: </w:t>
      </w:r>
      <w:r>
        <w:rPr>
          <w:rFonts w:ascii="Calibri" w:hAnsi="Calibri"/>
          <w:color w:val="334155"/>
          <w:sz w:val="20"/>
        </w:rPr>
        <w:t>Live start/stop task timers logging exact duration down to the second, integrated with DailyTimesheet generation and user remarks.</w:t>
      </w:r>
    </w:p>
    <w:p>
      <w:pPr>
        <w:pStyle w:val="ListBullet"/>
        <w:spacing w:after="60" w:line="276" w:lineRule="auto"/>
      </w:pPr>
      <w:r>
        <w:rPr>
          <w:rFonts w:ascii="Calibri" w:hAnsi="Calibri"/>
          <w:b/>
          <w:color w:val="1E293B"/>
          <w:sz w:val="20"/>
        </w:rPr>
        <w:t xml:space="preserve">Visual Kanban &amp; Gantt Views: </w:t>
      </w:r>
      <w:r>
        <w:rPr>
          <w:rFonts w:ascii="Calibri" w:hAnsi="Calibri"/>
          <w:color w:val="334155"/>
          <w:sz w:val="20"/>
        </w:rPr>
        <w:t>Interactive Drag-and-Drop Kanban boards and Timeline Gantt charts for visual project tracking.</w:t>
      </w:r>
    </w:p>
    <w:p>
      <w:pPr>
        <w:keepNext/>
        <w:spacing w:before="280" w:after="80"/>
      </w:pPr>
      <w:r>
        <w:rPr>
          <w:rFonts w:ascii="Calibri" w:hAnsi="Calibri"/>
          <w:b/>
          <w:color w:val="1E3A8A"/>
          <w:sz w:val="25"/>
        </w:rPr>
        <w:t>5.3 HRMS &amp; Human Capital Management</w:t>
      </w:r>
    </w:p>
    <w:p>
      <w:pPr>
        <w:pStyle w:val="ListBullet"/>
        <w:spacing w:after="60" w:line="276" w:lineRule="auto"/>
      </w:pPr>
      <w:r>
        <w:rPr>
          <w:rFonts w:ascii="Calibri" w:hAnsi="Calibri"/>
          <w:b/>
          <w:color w:val="1E293B"/>
          <w:sz w:val="20"/>
        </w:rPr>
        <w:t xml:space="preserve">Employee 360 Profiles: </w:t>
      </w:r>
      <w:r>
        <w:rPr>
          <w:rFonts w:ascii="Calibri" w:hAnsi="Calibri"/>
          <w:color w:val="334155"/>
          <w:sz w:val="20"/>
        </w:rPr>
        <w:t>360-degree employee records including contact info, emergency contacts, blood group, joining date, exit date, and salary structure binding.</w:t>
      </w:r>
    </w:p>
    <w:p>
      <w:pPr>
        <w:pStyle w:val="ListBullet"/>
        <w:spacing w:after="60" w:line="276" w:lineRule="auto"/>
      </w:pPr>
      <w:r>
        <w:rPr>
          <w:rFonts w:ascii="Calibri" w:hAnsi="Calibri"/>
          <w:b/>
          <w:color w:val="1E293B"/>
          <w:sz w:val="20"/>
        </w:rPr>
        <w:t xml:space="preserve">Department &amp; Designation Hierarchy: </w:t>
      </w:r>
      <w:r>
        <w:rPr>
          <w:rFonts w:ascii="Calibri" w:hAnsi="Calibri"/>
          <w:color w:val="334155"/>
          <w:sz w:val="20"/>
        </w:rPr>
        <w:t>Multi-level organizational hierarchies supporting Parent Departments, Sub-Departments, and Designation hierarchy levels.</w:t>
      </w:r>
    </w:p>
    <w:p>
      <w:pPr>
        <w:pStyle w:val="ListBullet"/>
        <w:spacing w:after="60" w:line="276" w:lineRule="auto"/>
      </w:pPr>
      <w:r>
        <w:rPr>
          <w:rFonts w:ascii="Calibri" w:hAnsi="Calibri"/>
          <w:b/>
          <w:color w:val="1E293B"/>
          <w:sz w:val="20"/>
        </w:rPr>
        <w:t xml:space="preserve">4-Tier Secure Document Vault: </w:t>
      </w:r>
      <w:r>
        <w:rPr>
          <w:rFonts w:ascii="Calibri" w:hAnsi="Calibri"/>
          <w:color w:val="334155"/>
          <w:sz w:val="20"/>
        </w:rPr>
        <w:t>Role-segregated document vault supporting Employee Documents, HR Documents, Manager Documents, and Admin Documents with access auditing.</w:t>
      </w:r>
    </w:p>
    <w:p>
      <w:pPr>
        <w:pStyle w:val="ListBullet"/>
        <w:spacing w:after="60" w:line="276" w:lineRule="auto"/>
      </w:pPr>
      <w:r>
        <w:rPr>
          <w:rFonts w:ascii="Calibri" w:hAnsi="Calibri"/>
          <w:b/>
          <w:color w:val="1E293B"/>
          <w:sz w:val="20"/>
        </w:rPr>
        <w:t xml:space="preserve">Corporate Letterhead Synthesizer: </w:t>
      </w:r>
      <w:r>
        <w:rPr>
          <w:rFonts w:ascii="Calibri" w:hAnsi="Calibri"/>
          <w:color w:val="334155"/>
          <w:sz w:val="20"/>
        </w:rPr>
        <w:t>Visual letterhead composer supporting header/footer templates, custom logos, watermarks, dynamic employee placeholders, and instant PDF rendering.</w:t>
      </w:r>
    </w:p>
    <w:p>
      <w:pPr>
        <w:pStyle w:val="ListBullet"/>
        <w:spacing w:after="60" w:line="276" w:lineRule="auto"/>
      </w:pPr>
      <w:r>
        <w:rPr>
          <w:rFonts w:ascii="Calibri" w:hAnsi="Calibri"/>
          <w:b/>
          <w:color w:val="1E293B"/>
          <w:sz w:val="20"/>
        </w:rPr>
        <w:t xml:space="preserve">Appraisals &amp; Awards: </w:t>
      </w:r>
      <w:r>
        <w:rPr>
          <w:rFonts w:ascii="Calibri" w:hAnsi="Calibri"/>
          <w:color w:val="334155"/>
          <w:sz w:val="20"/>
        </w:rPr>
        <w:t>Structured performance review cycles, employee appreciations, and annual award recognitions.</w:t>
      </w:r>
    </w:p>
    <w:p>
      <w:pPr>
        <w:keepNext/>
        <w:spacing w:before="280" w:after="80"/>
      </w:pPr>
      <w:r>
        <w:rPr>
          <w:rFonts w:ascii="Calibri" w:hAnsi="Calibri"/>
          <w:b/>
          <w:color w:val="1E3A8A"/>
          <w:sz w:val="25"/>
        </w:rPr>
        <w:t>5.4 Attendance, Shift &amp; Leave Management Engine</w:t>
      </w:r>
    </w:p>
    <w:p>
      <w:pPr>
        <w:pStyle w:val="ListBullet"/>
        <w:spacing w:after="60" w:line="276" w:lineRule="auto"/>
      </w:pPr>
      <w:r>
        <w:rPr>
          <w:rFonts w:ascii="Calibri" w:hAnsi="Calibri"/>
          <w:b/>
          <w:color w:val="1E293B"/>
          <w:sz w:val="20"/>
        </w:rPr>
        <w:t xml:space="preserve">Geolocation &amp; Photo Clock-In: </w:t>
      </w:r>
      <w:r>
        <w:rPr>
          <w:rFonts w:ascii="Calibri" w:hAnsi="Calibri"/>
          <w:color w:val="334155"/>
          <w:sz w:val="20"/>
        </w:rPr>
        <w:t>Web and mobile punch-in/out capturing GPS latitude/longitude, client IP address, and optional front-camera selfie verification.</w:t>
      </w:r>
    </w:p>
    <w:p>
      <w:pPr>
        <w:pStyle w:val="ListBullet"/>
        <w:spacing w:after="60" w:line="276" w:lineRule="auto"/>
      </w:pPr>
      <w:r>
        <w:rPr>
          <w:rFonts w:ascii="Calibri" w:hAnsi="Calibri"/>
          <w:b/>
          <w:color w:val="1E293B"/>
          <w:sz w:val="20"/>
        </w:rPr>
        <w:t xml:space="preserve">Shift &amp; Punctuality Rules: </w:t>
      </w:r>
      <w:r>
        <w:rPr>
          <w:rFonts w:ascii="Calibri" w:hAnsi="Calibri"/>
          <w:color w:val="334155"/>
          <w:sz w:val="20"/>
        </w:rPr>
        <w:t>Configurable work shifts, late mark grace periods, half-day thresholds, and automated overtime tracking.</w:t>
      </w:r>
    </w:p>
    <w:p>
      <w:pPr>
        <w:pStyle w:val="ListBullet"/>
        <w:spacing w:after="60" w:line="276" w:lineRule="auto"/>
      </w:pPr>
      <w:r>
        <w:rPr>
          <w:rFonts w:ascii="Calibri" w:hAnsi="Calibri"/>
          <w:b/>
          <w:color w:val="1E293B"/>
          <w:sz w:val="20"/>
        </w:rPr>
        <w:t xml:space="preserve">Leave Policy Engine: </w:t>
      </w:r>
      <w:r>
        <w:rPr>
          <w:rFonts w:ascii="Calibri" w:hAnsi="Calibri"/>
          <w:color w:val="334155"/>
          <w:sz w:val="20"/>
        </w:rPr>
        <w:t>Configurable leave types (Casual, Sick, Earned, Maternity, Loss-of-Pay), accrual policies, sandwich leave rules, and balance logs.</w:t>
      </w:r>
    </w:p>
    <w:p>
      <w:pPr>
        <w:pStyle w:val="ListBullet"/>
        <w:spacing w:after="60" w:line="276" w:lineRule="auto"/>
      </w:pPr>
      <w:r>
        <w:rPr>
          <w:rFonts w:ascii="Calibri" w:hAnsi="Calibri"/>
          <w:b/>
          <w:color w:val="1E293B"/>
          <w:sz w:val="20"/>
        </w:rPr>
        <w:t xml:space="preserve">Approval Workflows &amp; Apology Letters: </w:t>
      </w:r>
      <w:r>
        <w:rPr>
          <w:rFonts w:ascii="Calibri" w:hAnsi="Calibri"/>
          <w:color w:val="334155"/>
          <w:sz w:val="20"/>
        </w:rPr>
        <w:t>Hierarchical leave requests with manager/HR approval workflows, email notices, and apology letter submission for unexcused absences.</w:t>
      </w:r>
    </w:p>
    <w:p>
      <w:pPr>
        <w:keepNext/>
        <w:spacing w:before="280" w:after="80"/>
      </w:pPr>
      <w:r>
        <w:rPr>
          <w:rFonts w:ascii="Calibri" w:hAnsi="Calibri"/>
          <w:b/>
          <w:color w:val="1E3A8A"/>
          <w:sz w:val="25"/>
        </w:rPr>
        <w:t>5.5 Enterprise Payroll &amp; Compensation Architecture</w:t>
      </w:r>
    </w:p>
    <w:p>
      <w:pPr>
        <w:spacing w:after="100" w:line="276" w:lineRule="auto"/>
      </w:pPr>
      <w:r>
        <w:rPr>
          <w:rFonts w:ascii="Calibri" w:hAnsi="Calibri"/>
          <w:color w:val="334155"/>
          <w:sz w:val="20"/>
        </w:rPr>
        <w:t>A full-scale automated payroll engine built upon the PayrollCalculationService, designed for multi-tier salary structures and statutory compliance.</w:t>
      </w:r>
    </w:p>
    <w:p>
      <w:pPr>
        <w:pStyle w:val="ListBullet"/>
        <w:spacing w:after="60" w:line="276" w:lineRule="auto"/>
      </w:pPr>
      <w:r>
        <w:rPr>
          <w:rFonts w:ascii="Calibri" w:hAnsi="Calibri"/>
          <w:b/>
          <w:color w:val="1E293B"/>
          <w:sz w:val="20"/>
        </w:rPr>
        <w:t xml:space="preserve">Dynamic Salary Components: </w:t>
      </w:r>
      <w:r>
        <w:rPr>
          <w:rFonts w:ascii="Calibri" w:hAnsi="Calibri"/>
          <w:color w:val="334155"/>
          <w:sz w:val="20"/>
        </w:rPr>
        <w:t>Define unlimited Basic, HRA, Medical, Conveyance, Special allowances with percentage-based or fixed value formulas.</w:t>
      </w:r>
    </w:p>
    <w:p>
      <w:pPr>
        <w:pStyle w:val="ListBullet"/>
        <w:spacing w:after="60" w:line="276" w:lineRule="auto"/>
      </w:pPr>
      <w:r>
        <w:rPr>
          <w:rFonts w:ascii="Calibri" w:hAnsi="Calibri"/>
          <w:b/>
          <w:color w:val="1E293B"/>
          <w:sz w:val="20"/>
        </w:rPr>
        <w:t xml:space="preserve">Statutory Deductions &amp; Taxes: </w:t>
      </w:r>
      <w:r>
        <w:rPr>
          <w:rFonts w:ascii="Calibri" w:hAnsi="Calibri"/>
          <w:color w:val="334155"/>
          <w:sz w:val="20"/>
        </w:rPr>
        <w:t>Automated calculation of Provident Fund (PF), Professional Tax (PT), Tax Deducted at Source (TDS), and loan repayments.</w:t>
      </w:r>
    </w:p>
    <w:p>
      <w:pPr>
        <w:pStyle w:val="ListBullet"/>
        <w:spacing w:after="60" w:line="276" w:lineRule="auto"/>
      </w:pPr>
      <w:r>
        <w:rPr>
          <w:rFonts w:ascii="Calibri" w:hAnsi="Calibri"/>
          <w:b/>
          <w:color w:val="1E293B"/>
          <w:sz w:val="20"/>
        </w:rPr>
        <w:t xml:space="preserve">Automated Monthly Processing: </w:t>
      </w:r>
      <w:r>
        <w:rPr>
          <w:rFonts w:ascii="Calibri" w:hAnsi="Calibri"/>
          <w:color w:val="334155"/>
          <w:sz w:val="20"/>
        </w:rPr>
        <w:t>One-click monthly payroll batch run with automated attendance integration, loss-of-pay deductions, and overtime bonuses.</w:t>
      </w:r>
    </w:p>
    <w:p>
      <w:pPr>
        <w:pStyle w:val="ListBullet"/>
        <w:spacing w:after="60" w:line="276" w:lineRule="auto"/>
      </w:pPr>
      <w:r>
        <w:rPr>
          <w:rFonts w:ascii="Calibri" w:hAnsi="Calibri"/>
          <w:b/>
          <w:color w:val="1E293B"/>
          <w:sz w:val="20"/>
        </w:rPr>
        <w:t xml:space="preserve">Payslip PDF Generation: </w:t>
      </w:r>
      <w:r>
        <w:rPr>
          <w:rFonts w:ascii="Calibri" w:hAnsi="Calibri"/>
          <w:color w:val="334155"/>
          <w:sz w:val="20"/>
        </w:rPr>
        <w:t>Generate cryptographically verifiable, branded payslip PDFs with itemized earnings, deductions, and net pay breakdown.</w:t>
      </w:r>
    </w:p>
    <w:p>
      <w:pPr>
        <w:pStyle w:val="ListBullet"/>
        <w:spacing w:after="60" w:line="276" w:lineRule="auto"/>
      </w:pPr>
      <w:r>
        <w:rPr>
          <w:rFonts w:ascii="Calibri" w:hAnsi="Calibri"/>
          <w:b/>
          <w:color w:val="1E293B"/>
          <w:sz w:val="20"/>
        </w:rPr>
        <w:t xml:space="preserve">Bank Transfer &amp; Excel Integration: </w:t>
      </w:r>
      <w:r>
        <w:rPr>
          <w:rFonts w:ascii="Calibri" w:hAnsi="Calibri"/>
          <w:color w:val="334155"/>
          <w:sz w:val="20"/>
        </w:rPr>
        <w:t>Export salary disbursements formatted for major corporate banking portals, plus Excel import/export logs.</w:t>
      </w:r>
    </w:p>
    <w:p>
      <w:pPr>
        <w:keepNext/>
        <w:spacing w:before="280" w:after="80"/>
      </w:pPr>
      <w:r>
        <w:rPr>
          <w:rFonts w:ascii="Calibri" w:hAnsi="Calibri"/>
          <w:b/>
          <w:color w:val="1E3A8A"/>
          <w:sz w:val="25"/>
        </w:rPr>
        <w:t>5.6 CRM, Lead Pipeline &amp; Contract Management</w:t>
      </w:r>
    </w:p>
    <w:p>
      <w:pPr>
        <w:pStyle w:val="ListBullet"/>
        <w:spacing w:after="60" w:line="276" w:lineRule="auto"/>
      </w:pPr>
      <w:r>
        <w:rPr>
          <w:rFonts w:ascii="Calibri" w:hAnsi="Calibri"/>
          <w:b/>
          <w:color w:val="1E293B"/>
          <w:sz w:val="20"/>
        </w:rPr>
        <w:t xml:space="preserve">Lead &amp; Contact Management: </w:t>
      </w:r>
      <w:r>
        <w:rPr>
          <w:rFonts w:ascii="Calibri" w:hAnsi="Calibri"/>
          <w:color w:val="334155"/>
          <w:sz w:val="20"/>
        </w:rPr>
        <w:t>Capture prospective clients, lead sources, qualification status, and assigned sales representatives.</w:t>
      </w:r>
    </w:p>
    <w:p>
      <w:pPr>
        <w:pStyle w:val="ListBullet"/>
        <w:spacing w:after="60" w:line="276" w:lineRule="auto"/>
      </w:pPr>
      <w:r>
        <w:rPr>
          <w:rFonts w:ascii="Calibri" w:hAnsi="Calibri"/>
          <w:b/>
          <w:color w:val="1E293B"/>
          <w:sz w:val="20"/>
        </w:rPr>
        <w:t xml:space="preserve">Opportunity Deal Pipelines: </w:t>
      </w:r>
      <w:r>
        <w:rPr>
          <w:rFonts w:ascii="Calibri" w:hAnsi="Calibri"/>
          <w:color w:val="334155"/>
          <w:sz w:val="20"/>
        </w:rPr>
        <w:t>Visual deal pipelines with customizable stages (Lead, Proposal Sent, Negotiation, Won, Lost) and estimated deal values.</w:t>
      </w:r>
    </w:p>
    <w:p>
      <w:pPr>
        <w:pStyle w:val="ListBullet"/>
        <w:spacing w:after="60" w:line="276" w:lineRule="auto"/>
      </w:pPr>
      <w:r>
        <w:rPr>
          <w:rFonts w:ascii="Calibri" w:hAnsi="Calibri"/>
          <w:b/>
          <w:color w:val="1E293B"/>
          <w:sz w:val="20"/>
        </w:rPr>
        <w:t xml:space="preserve">CRM Activity &amp; Follow-ups: </w:t>
      </w:r>
      <w:r>
        <w:rPr>
          <w:rFonts w:ascii="Calibri" w:hAnsi="Calibri"/>
          <w:color w:val="334155"/>
          <w:sz w:val="20"/>
        </w:rPr>
        <w:t>Automated reminders for client meetings, phone calls, proposal reviews, and contract renewals.</w:t>
      </w:r>
    </w:p>
    <w:p>
      <w:pPr>
        <w:pStyle w:val="ListBullet"/>
        <w:spacing w:after="60" w:line="276" w:lineRule="auto"/>
      </w:pPr>
      <w:r>
        <w:rPr>
          <w:rFonts w:ascii="Calibri" w:hAnsi="Calibri"/>
          <w:b/>
          <w:color w:val="1E293B"/>
          <w:sz w:val="20"/>
        </w:rPr>
        <w:t xml:space="preserve">Contract Lifecycle: </w:t>
      </w:r>
      <w:r>
        <w:rPr>
          <w:rFonts w:ascii="Calibri" w:hAnsi="Calibri"/>
          <w:color w:val="334155"/>
          <w:sz w:val="20"/>
        </w:rPr>
        <w:t>Draft, customize, and issue legal contracts from reusable templates with digital signature tracking.</w:t>
      </w:r>
    </w:p>
    <w:p>
      <w:pPr>
        <w:keepNext/>
        <w:spacing w:before="280" w:after="80"/>
      </w:pPr>
      <w:r>
        <w:rPr>
          <w:rFonts w:ascii="Calibri" w:hAnsi="Calibri"/>
          <w:b/>
          <w:color w:val="1E3A8A"/>
          <w:sz w:val="25"/>
        </w:rPr>
        <w:t>5.7 Finance, Invoicing &amp; Expense Auditing</w:t>
      </w:r>
    </w:p>
    <w:p>
      <w:pPr>
        <w:pStyle w:val="ListBullet"/>
        <w:spacing w:after="60" w:line="276" w:lineRule="auto"/>
      </w:pPr>
      <w:r>
        <w:rPr>
          <w:rFonts w:ascii="Calibri" w:hAnsi="Calibri"/>
          <w:b/>
          <w:color w:val="1E293B"/>
          <w:sz w:val="20"/>
        </w:rPr>
        <w:t xml:space="preserve">Invoicing &amp; Billing Engine: </w:t>
      </w:r>
      <w:r>
        <w:rPr>
          <w:rFonts w:ascii="Calibri" w:hAnsi="Calibri"/>
          <w:color w:val="334155"/>
          <w:sz w:val="20"/>
        </w:rPr>
        <w:t>Create professional itemized invoices with tax rules, discounts, due dates, payment gateways, and automated PDF export.</w:t>
      </w:r>
    </w:p>
    <w:p>
      <w:pPr>
        <w:pStyle w:val="ListBullet"/>
        <w:spacing w:after="60" w:line="276" w:lineRule="auto"/>
      </w:pPr>
      <w:r>
        <w:rPr>
          <w:rFonts w:ascii="Calibri" w:hAnsi="Calibri"/>
          <w:b/>
          <w:color w:val="1E293B"/>
          <w:sz w:val="20"/>
        </w:rPr>
        <w:t xml:space="preserve">Bank Account Ledgers: </w:t>
      </w:r>
      <w:r>
        <w:rPr>
          <w:rFonts w:ascii="Calibri" w:hAnsi="Calibri"/>
          <w:color w:val="334155"/>
          <w:sz w:val="20"/>
        </w:rPr>
        <w:t>Track multiple organizational bank accounts, credit cards, cash drawers, and reconciled balance sheets.</w:t>
      </w:r>
    </w:p>
    <w:p>
      <w:pPr>
        <w:pStyle w:val="ListBullet"/>
        <w:spacing w:after="60" w:line="276" w:lineRule="auto"/>
      </w:pPr>
      <w:r>
        <w:rPr>
          <w:rFonts w:ascii="Calibri" w:hAnsi="Calibri"/>
          <w:b/>
          <w:color w:val="1E293B"/>
          <w:sz w:val="20"/>
        </w:rPr>
        <w:t xml:space="preserve">Expense Claim Management: </w:t>
      </w:r>
      <w:r>
        <w:rPr>
          <w:rFonts w:ascii="Calibri" w:hAnsi="Calibri"/>
          <w:color w:val="334155"/>
          <w:sz w:val="20"/>
        </w:rPr>
        <w:t>Employee expense reimbursement requests with receipt upload, multi-level manager approval, and financial ledger tagging.</w:t>
      </w:r>
    </w:p>
    <w:p>
      <w:pPr>
        <w:keepNext/>
        <w:spacing w:before="280" w:after="80"/>
      </w:pPr>
      <w:r>
        <w:rPr>
          <w:rFonts w:ascii="Calibri" w:hAnsi="Calibri"/>
          <w:b/>
          <w:color w:val="1E3A8A"/>
          <w:sz w:val="25"/>
        </w:rPr>
        <w:t>5.8 Support Ticket &amp; Helpdesk System</w:t>
      </w:r>
    </w:p>
    <w:p>
      <w:pPr>
        <w:pStyle w:val="ListBullet"/>
        <w:spacing w:after="60" w:line="276" w:lineRule="auto"/>
      </w:pPr>
      <w:r>
        <w:rPr>
          <w:rFonts w:ascii="Calibri" w:hAnsi="Calibri"/>
          <w:b/>
          <w:color w:val="1E293B"/>
          <w:sz w:val="20"/>
        </w:rPr>
        <w:t xml:space="preserve">Ticket Management: </w:t>
      </w:r>
      <w:r>
        <w:rPr>
          <w:rFonts w:ascii="Calibri" w:hAnsi="Calibri"/>
          <w:color w:val="334155"/>
          <w:sz w:val="20"/>
        </w:rPr>
        <w:t>Omni-channel ticket generation for internal employee support and external client support.</w:t>
      </w:r>
    </w:p>
    <w:p>
      <w:pPr>
        <w:pStyle w:val="ListBullet"/>
        <w:spacing w:after="60" w:line="276" w:lineRule="auto"/>
      </w:pPr>
      <w:r>
        <w:rPr>
          <w:rFonts w:ascii="Calibri" w:hAnsi="Calibri"/>
          <w:b/>
          <w:color w:val="1E293B"/>
          <w:sz w:val="20"/>
        </w:rPr>
        <w:t xml:space="preserve">Departmental Ticket Groups: </w:t>
      </w:r>
      <w:r>
        <w:rPr>
          <w:rFonts w:ascii="Calibri" w:hAnsi="Calibri"/>
          <w:color w:val="334155"/>
          <w:sz w:val="20"/>
        </w:rPr>
        <w:t>Automatic routing of tickets to specialized departmental teams (IT, HR, Billing, Facilities).</w:t>
      </w:r>
    </w:p>
    <w:p>
      <w:pPr>
        <w:pStyle w:val="ListBullet"/>
        <w:spacing w:after="60" w:line="276" w:lineRule="auto"/>
      </w:pPr>
      <w:r>
        <w:rPr>
          <w:rFonts w:ascii="Calibri" w:hAnsi="Calibri"/>
          <w:b/>
          <w:color w:val="1E293B"/>
          <w:sz w:val="20"/>
        </w:rPr>
        <w:t xml:space="preserve">SLA &amp; Priority Escalations: </w:t>
      </w:r>
      <w:r>
        <w:rPr>
          <w:rFonts w:ascii="Calibri" w:hAnsi="Calibri"/>
          <w:color w:val="334155"/>
          <w:sz w:val="20"/>
        </w:rPr>
        <w:t>Define resolution deadlines based on ticket priority (Urgent, High, Medium, Low) with automated SLA escalations.</w:t>
      </w:r>
    </w:p>
    <w:p>
      <w:pPr>
        <w:keepNext/>
        <w:spacing w:before="280" w:after="80"/>
      </w:pPr>
      <w:r>
        <w:rPr>
          <w:rFonts w:ascii="Calibri" w:hAnsi="Calibri"/>
          <w:b/>
          <w:color w:val="1E3A8A"/>
          <w:sz w:val="25"/>
        </w:rPr>
        <w:t>5.9 Enterprise Collaboration &amp; Social Hub</w:t>
      </w:r>
    </w:p>
    <w:p>
      <w:pPr>
        <w:pStyle w:val="ListBullet"/>
        <w:spacing w:after="60" w:line="276" w:lineRule="auto"/>
      </w:pPr>
      <w:r>
        <w:rPr>
          <w:rFonts w:ascii="Calibri" w:hAnsi="Calibri"/>
          <w:b/>
          <w:color w:val="1E293B"/>
          <w:sz w:val="20"/>
        </w:rPr>
        <w:t xml:space="preserve">Community Chat Channels: </w:t>
      </w:r>
      <w:r>
        <w:rPr>
          <w:rFonts w:ascii="Calibri" w:hAnsi="Calibri"/>
          <w:color w:val="334155"/>
          <w:sz w:val="20"/>
        </w:rPr>
        <w:t>Internal company channels, direct messaging, emoji reactions, and file sharing for seamless team collaboration.</w:t>
      </w:r>
    </w:p>
    <w:p>
      <w:pPr>
        <w:pStyle w:val="ListBullet"/>
        <w:spacing w:after="60" w:line="276" w:lineRule="auto"/>
      </w:pPr>
      <w:r>
        <w:rPr>
          <w:rFonts w:ascii="Calibri" w:hAnsi="Calibri"/>
          <w:b/>
          <w:color w:val="1E293B"/>
          <w:sz w:val="20"/>
        </w:rPr>
        <w:t xml:space="preserve">Live User Presence: </w:t>
      </w:r>
      <w:r>
        <w:rPr>
          <w:rFonts w:ascii="Calibri" w:hAnsi="Calibri"/>
          <w:color w:val="334155"/>
          <w:sz w:val="20"/>
        </w:rPr>
        <w:t>Track employee active/away/offline statuses in real time.</w:t>
      </w:r>
    </w:p>
    <w:p>
      <w:pPr>
        <w:pStyle w:val="ListBullet"/>
        <w:spacing w:after="60" w:line="276" w:lineRule="auto"/>
      </w:pPr>
      <w:r>
        <w:rPr>
          <w:rFonts w:ascii="Calibri" w:hAnsi="Calibri"/>
          <w:b/>
          <w:color w:val="1E293B"/>
          <w:sz w:val="20"/>
        </w:rPr>
        <w:t xml:space="preserve">Event Calendar &amp; Photo Galleries: </w:t>
      </w:r>
      <w:r>
        <w:rPr>
          <w:rFonts w:ascii="Calibri" w:hAnsi="Calibri"/>
          <w:color w:val="334155"/>
          <w:sz w:val="20"/>
        </w:rPr>
        <w:t>Publish company town halls, training sessions, and celebrations with interactive RSVP tracking and photo galleries.</w:t>
      </w:r>
    </w:p>
    <w:p>
      <w:pPr>
        <w:keepNext/>
        <w:spacing w:before="280" w:after="80"/>
      </w:pPr>
      <w:r>
        <w:rPr>
          <w:rFonts w:ascii="Calibri" w:hAnsi="Calibri"/>
          <w:b/>
          <w:color w:val="1E3A8A"/>
          <w:sz w:val="25"/>
        </w:rPr>
        <w:t>5.10 AI &amp; OCR Government ID Verification Engine</w:t>
      </w:r>
    </w:p>
    <w:p>
      <w:pPr>
        <w:spacing w:after="100" w:line="276" w:lineRule="auto"/>
      </w:pPr>
      <w:r>
        <w:rPr>
          <w:rFonts w:ascii="Calibri" w:hAnsi="Calibri"/>
          <w:color w:val="334155"/>
          <w:sz w:val="20"/>
        </w:rPr>
        <w:t>Integrates Tesseract OCR via GovernmentIdDobVerifier to automate employee onboarding verification.</w:t>
      </w:r>
    </w:p>
    <w:p>
      <w:pPr>
        <w:pStyle w:val="ListBullet"/>
        <w:spacing w:after="60" w:line="276" w:lineRule="auto"/>
      </w:pPr>
      <w:r>
        <w:rPr>
          <w:rFonts w:ascii="Calibri" w:hAnsi="Calibri"/>
          <w:b/>
          <w:color w:val="1E293B"/>
          <w:sz w:val="20"/>
        </w:rPr>
        <w:t xml:space="preserve">Automated OCR Extraction: </w:t>
      </w:r>
      <w:r>
        <w:rPr>
          <w:rFonts w:ascii="Calibri" w:hAnsi="Calibri"/>
          <w:color w:val="334155"/>
          <w:sz w:val="20"/>
        </w:rPr>
        <w:t>Scans uploaded government identity documents (National ID, Passport, Driver's License) to extract textual data.</w:t>
      </w:r>
    </w:p>
    <w:p>
      <w:pPr>
        <w:pStyle w:val="ListBullet"/>
        <w:spacing w:after="60" w:line="276" w:lineRule="auto"/>
      </w:pPr>
      <w:r>
        <w:rPr>
          <w:rFonts w:ascii="Calibri" w:hAnsi="Calibri"/>
          <w:b/>
          <w:color w:val="1E293B"/>
          <w:sz w:val="20"/>
        </w:rPr>
        <w:t xml:space="preserve">DOB Pattern Matching: </w:t>
      </w:r>
      <w:r>
        <w:rPr>
          <w:rFonts w:ascii="Calibri" w:hAnsi="Calibri"/>
          <w:color w:val="334155"/>
          <w:sz w:val="20"/>
        </w:rPr>
        <w:t>Parses multiple date formats (DD/MM/YYYY, YYYY-MM-DD, DD Month YYYY) and matches against employee submitted Date-of-Birth.</w:t>
      </w:r>
    </w:p>
    <w:p>
      <w:pPr>
        <w:pStyle w:val="ListBullet"/>
        <w:spacing w:after="60" w:line="276" w:lineRule="auto"/>
      </w:pPr>
      <w:r>
        <w:rPr>
          <w:rFonts w:ascii="Calibri" w:hAnsi="Calibri"/>
          <w:b/>
          <w:color w:val="1E293B"/>
          <w:sz w:val="20"/>
        </w:rPr>
        <w:t xml:space="preserve">Human-in-the-Loop Fallback: </w:t>
      </w:r>
      <w:r>
        <w:rPr>
          <w:rFonts w:ascii="Calibri" w:hAnsi="Calibri"/>
          <w:color w:val="334155"/>
          <w:sz w:val="20"/>
        </w:rPr>
        <w:t>Flag discrepancies for manual HR review when OCR confidence is low, preventing unauthorized access.</w:t>
      </w:r>
    </w:p>
    <w:p>
      <w:pPr>
        <w:keepNext/>
        <w:spacing w:before="400" w:after="120"/>
        <w:pBdr>
          <w:bottom w:val="single" w:sz="14" w:space="4" w:color="2563EB"/>
        </w:pBdr>
      </w:pPr>
      <w:r>
        <w:rPr>
          <w:rFonts w:ascii="Calibri" w:hAnsi="Calibri"/>
          <w:b/>
          <w:color w:val="0F172A"/>
          <w:sz w:val="32"/>
        </w:rPr>
        <w:t>6. Environment Configuration Master Reference (.env)</w:t>
      </w:r>
    </w:p>
    <w:p>
      <w:pPr>
        <w:spacing w:after="100" w:line="276" w:lineRule="auto"/>
      </w:pPr>
      <w:r>
        <w:rPr>
          <w:rFonts w:ascii="Calibri" w:hAnsi="Calibri"/>
          <w:color w:val="334155"/>
          <w:sz w:val="20"/>
        </w:rPr>
        <w:t>The application relies on environment variables defined within the .env file. Below is the complete configuration reference required for production packaging: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Variable Key</w:t>
            </w:r>
          </w:p>
        </w:tc>
        <w:tc>
          <w:tcPr>
            <w:tcW w:type="dxa" w:w="259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Sample Production Value</w:t>
            </w:r>
          </w:p>
        </w:tc>
        <w:tc>
          <w:tcPr>
            <w:tcW w:type="dxa" w:w="1296"/>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Data Type</w:t>
            </w:r>
          </w:p>
        </w:tc>
        <w:tc>
          <w:tcPr>
            <w:tcW w:type="dxa" w:w="3456"/>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Operational Description</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APP_NAME</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BBHPMS</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Platform application name rendered in headers and emails.</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APP_ENV</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production</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Application environment ('production', 'staging', 'local').</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APP_KEY</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base64:... (32-byte key)</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AES-256 encryption key generated via 'php artisan key:generate'.</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APP_DEBUG</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false</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Boolean</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Disable detailed stack traces in production to prevent data leakage.</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APP_URL</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https://pms.yourdomain.com</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URL</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Canonical base URL for routing, email links, and asset rendering.</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CENTRAL_DB_HOST</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127.0.0.1</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IP / Host</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Database host for the central SaaS platform registry.</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CENTRAL_DB_PORT</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3306</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Integer</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MySQL database port for central database connection.</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CENTRAL_DB_DATABASE</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pms_central</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 database name holding tenant metadata and super admin credentials.</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CENTRAL_DB_USERNAME</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pms_central_usr</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Dedicated MySQL user with restricted privileges on pms_central.</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CENTRAL_DB_PASSWORD</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Secr3t_P@ssw0rd!</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Strong password for the central database user.</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DB_CONNECTION</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mysql</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Default fallback connection driver.</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DB_HOST</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127.0.0.1</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IP / Host</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Default database host for tenant instances.</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DB_PORT</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3306</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Integer</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Default database port for tenant instances.</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DB_DATABASE</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pms_last</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Default tenant database schema name.</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DB_USERNAME</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root</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database user credentials.</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DB_PASSWORD</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database password.</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SESSION_DRIVER</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redis / database</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Session storage engine ('redis' recommended for high concurrency).</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CACHE_STORE</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redis / database</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Application cache storage driver.</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QUEUE_CONNECTION</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redis / database</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Queue driver for background job dispatch (emails, PDF rendering).</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MAIL_MAILER</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smtp</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 transport protocol ('smtp', 'ses', 'mailgun').</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MAIL_HOST</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smtp.mailgun.org</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Host</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SMTP mail server address.</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MAIL_PORT</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587</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Integer</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SMTP port (587 for TLS, 465 for SSL).</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MAIL_USERNAME</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postmaster@domain.com</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SMTP authentication username.</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MAIL_PASSWORD</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mail_api_password</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SMTP authentication password.</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MAIL_ENCRYPTION</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tls</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 transport encryption ('tls' or 'ssl').</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MAIL_FROM_ADDRESS</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no-reply@yourdomain.com</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Email</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Default sender email address.</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MAIL_FROM_NAME</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${APP_NAME}</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Default sender display name.</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FILESYSTEM_DISK</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public / s3</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String</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File storage disk ('public' for local symlink, 's3' for AWS).</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TESSERACT_BINARY</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/usr/bin/tesseract</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Path</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Absolute executable path to Tesseract OCR binary for ID verification.</w:t>
            </w:r>
          </w:p>
        </w:tc>
      </w:tr>
    </w:tbl>
    <w:p>
      <w:pPr>
        <w:spacing w:after="80"/>
      </w:pPr>
    </w:p>
    <w:p>
      <w:pPr>
        <w:keepNext/>
        <w:spacing w:before="400" w:after="120"/>
        <w:pBdr>
          <w:bottom w:val="single" w:sz="14" w:space="4" w:color="2563EB"/>
        </w:pBdr>
      </w:pPr>
      <w:r>
        <w:rPr>
          <w:rFonts w:ascii="Calibri" w:hAnsi="Calibri"/>
          <w:b/>
          <w:color w:val="0F172A"/>
          <w:sz w:val="32"/>
        </w:rPr>
        <w:t>7. Production Deployment &amp; Installation Runbook</w:t>
      </w:r>
    </w:p>
    <w:p>
      <w:pPr>
        <w:spacing w:after="100" w:line="276" w:lineRule="auto"/>
      </w:pPr>
      <w:r>
        <w:rPr>
          <w:rFonts w:ascii="Calibri" w:hAnsi="Calibri"/>
          <w:color w:val="334155"/>
          <w:sz w:val="20"/>
        </w:rPr>
        <w:t>This section provides step-by-step instructions for deploying and packaging BBHPMS on standard enterprise Linux (Ubuntu 22.04 / 24.04 LTS) and Windows XAMPP environments.</w:t>
      </w:r>
    </w:p>
    <w:p>
      <w:pPr>
        <w:keepNext/>
        <w:spacing w:before="280" w:after="80"/>
      </w:pPr>
      <w:r>
        <w:rPr>
          <w:rFonts w:ascii="Calibri" w:hAnsi="Calibri"/>
          <w:b/>
          <w:color w:val="1E3A8A"/>
          <w:sz w:val="25"/>
        </w:rPr>
        <w:t>7.1 Ubuntu Linux / Nginx Production Deployment</w:t>
      </w:r>
    </w:p>
    <w:p>
      <w:pPr>
        <w:spacing w:after="100" w:line="276" w:lineRule="auto"/>
      </w:pPr>
      <w:r>
        <w:rPr>
          <w:rFonts w:ascii="Calibri" w:hAnsi="Calibri"/>
          <w:color w:val="334155"/>
          <w:sz w:val="20"/>
        </w:rPr>
        <w:t>Execute the following sequential terminal commands to install prerequisites, configure dependencies, compile assets, and initialize the dual database architecture:</w:t>
      </w:r>
    </w:p>
    <w:p>
      <w:pPr>
        <w:spacing w:before="80" w:after="40"/>
      </w:pPr>
      <w:r>
        <w:rPr>
          <w:rFonts w:ascii="Calibri" w:hAnsi="Calibri"/>
          <w:i/>
          <w:color w:val="64748B"/>
          <w:sz w:val="17"/>
        </w:rPr>
        <w:t>Command / Configuration: Production Linux Deployment Script</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single" w:color="334155" w:sz="12"/>
              <w:left w:val="single" w:color="334155" w:sz="12"/>
              <w:bottom w:val="single" w:color="334155" w:sz="12"/>
              <w:right w:val="single" w:color="334155" w:sz="12"/>
            </w:tcBorders>
          </w:tcPr>
          <w:p>
            <w:pPr>
              <w:spacing w:after="0" w:line="264" w:lineRule="auto"/>
            </w:pPr>
            <w:r>
              <w:rPr>
                <w:rFonts w:ascii="Consolas" w:hAnsi="Consolas"/>
                <w:color w:val="E2E8F0"/>
                <w:sz w:val="17"/>
              </w:rPr>
              <w:t># Step 1: Install System Prerequisites &amp; PHP 8.2+ Extensions</w:t>
              <w:br/>
              <w:t>sudo apt update &amp;&amp; sudo apt upgrade -y</w:t>
              <w:br/>
              <w:t>sudo apt install -y nginx mysql-server tesseract-ocr redis-server git curl unzip</w:t>
              <w:br/>
              <w:t>sudo apt install -y php8.2-fpm php8.2-mysql php8.2-mbstring php8.2-xml php8.2-bcmath \</w:t>
              <w:br/>
              <w:t xml:space="preserve">                    php8.2-curl php8.2-gd php8.2-zip php8.2-intl php8.2-redis</w:t>
              <w:br/>
              <w:br/>
              <w:t># Step 2: Clone / Extract Release Package to Web Directory</w:t>
              <w:br/>
              <w:t>cd /var/www</w:t>
              <w:br/>
              <w:t>sudo git clone &lt;REPOSITORY_URL&gt; pms_production</w:t>
              <w:br/>
              <w:t>cd /var/www/pms_production</w:t>
              <w:br/>
              <w:br/>
              <w:t># Step 3: Install Composer Production Dependencies (no dev packages, optimized autoloader)</w:t>
              <w:br/>
              <w:t>composer install --no-dev --optimize-autoloader</w:t>
              <w:br/>
              <w:br/>
              <w:t># Step 4: Install Node.js Dependencies &amp; Compile Production Frontend Assets</w:t>
              <w:br/>
              <w:t>npm install</w:t>
              <w:br/>
              <w:t>npm run build</w:t>
              <w:br/>
              <w:br/>
              <w:t># Step 5: Configure Environment File</w:t>
              <w:br/>
              <w:t>cp .env.example .env</w:t>
              <w:br/>
              <w:t>nano .env   # Update APP_ENV=production, APP_DEBUG=false, DB credentials, APP_URL</w:t>
              <w:br/>
              <w:br/>
              <w:t># Step 6: Generate Application Encryption Key</w:t>
              <w:br/>
              <w:t>php artisan key:generate</w:t>
              <w:br/>
              <w:br/>
              <w:t># Step 7: Create Central &amp; Default Tenant Databases in MySQL</w:t>
              <w:br/>
              <w:t>mysql -u root -p -e "CREATE DATABASE IF NOT EXISTS pms_central CHARACTER SET utf8mb4 COLLATE utf8mb4_unicode_ci;"</w:t>
              <w:br/>
              <w:t>mysql -u root -p -e "CREATE DATABASE IF NOT EXISTS pms_last CHARACTER SET utf8mb4 COLLATE utf8mb4_unicode_ci;"</w:t>
              <w:br/>
              <w:br/>
              <w:t># Step 8: Execute Central &amp; Tenant Database Migrations</w:t>
              <w:br/>
              <w:t>php artisan migrate --database=central --path=database/migrations/central --force</w:t>
              <w:br/>
              <w:t>php artisan migrate --database=tenant --path=database/migrations/tenant --force</w:t>
              <w:br/>
              <w:br/>
              <w:t># Step 9: Seed Master Central &amp; Tenant Records</w:t>
              <w:br/>
              <w:t>php artisan db:seed --force</w:t>
              <w:br/>
              <w:br/>
              <w:t># Step 10: Establish Storage Symlink &amp; Set Directory Permissions</w:t>
              <w:br/>
              <w:t>php artisan storage:link</w:t>
              <w:br/>
              <w:t>sudo chown -R www-data:www-data /var/www/pms_production/storage /var/www/pms_production/bootstrap/cache</w:t>
              <w:br/>
              <w:t>sudo chmod -R 775 /var/www/pms_production/storage /var/www/pms_production/bootstrap/cache</w:t>
              <w:br/>
              <w:br/>
              <w:t># Step 11: Optimize Application Route, Config, and View Caching</w:t>
              <w:br/>
              <w:t>php artisan config:cache</w:t>
              <w:br/>
              <w:t>php artisan route:cache</w:t>
              <w:br/>
              <w:t>php artisan view:cache</w:t>
            </w:r>
          </w:p>
        </w:tc>
      </w:tr>
    </w:tbl>
    <w:p>
      <w:pPr>
        <w:spacing w:after="80"/>
      </w:pPr>
    </w:p>
    <w:p>
      <w:pPr>
        <w:keepNext/>
        <w:spacing w:before="280" w:after="80"/>
      </w:pPr>
      <w:r>
        <w:rPr>
          <w:rFonts w:ascii="Calibri" w:hAnsi="Calibri"/>
          <w:b/>
          <w:color w:val="1E3A8A"/>
          <w:sz w:val="25"/>
        </w:rPr>
        <w:t>7.2 Nginx Virtual Host Configuration</w:t>
      </w:r>
    </w:p>
    <w:p>
      <w:pPr>
        <w:spacing w:after="100" w:line="276" w:lineRule="auto"/>
      </w:pPr>
      <w:r>
        <w:rPr>
          <w:rFonts w:ascii="Calibri" w:hAnsi="Calibri"/>
          <w:color w:val="334155"/>
          <w:sz w:val="20"/>
        </w:rPr>
        <w:t>Create the Nginx server block at /etc/nginx/sites-available/pms.conf:</w:t>
      </w:r>
    </w:p>
    <w:p>
      <w:pPr>
        <w:spacing w:before="80" w:after="40"/>
      </w:pPr>
      <w:r>
        <w:rPr>
          <w:rFonts w:ascii="Calibri" w:hAnsi="Calibri"/>
          <w:i/>
          <w:color w:val="64748B"/>
          <w:sz w:val="17"/>
        </w:rPr>
        <w:t>Command / Configuration: Nginx Virtual Host Configuration with SSL &amp; Security Headers</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single" w:color="334155" w:sz="12"/>
              <w:left w:val="single" w:color="334155" w:sz="12"/>
              <w:bottom w:val="single" w:color="334155" w:sz="12"/>
              <w:right w:val="single" w:color="334155" w:sz="12"/>
            </w:tcBorders>
          </w:tcPr>
          <w:p>
            <w:pPr>
              <w:spacing w:after="0" w:line="264" w:lineRule="auto"/>
            </w:pPr>
            <w:r>
              <w:rPr>
                <w:rFonts w:ascii="Consolas" w:hAnsi="Consolas"/>
                <w:color w:val="E2E8F0"/>
                <w:sz w:val="17"/>
              </w:rPr>
              <w:t>server {</w:t>
              <w:br/>
              <w:t xml:space="preserve">    listen 80;</w:t>
              <w:br/>
              <w:t xml:space="preserve">    listen [::]:80;</w:t>
              <w:br/>
              <w:t xml:space="preserve">    server_name pms.yourdomain.com;</w:t>
              <w:br/>
              <w:t xml:space="preserve">    return 301 https://$host$request_uri;</w:t>
              <w:br/>
              <w:t>}</w:t>
              <w:br/>
              <w:br/>
              <w:t>server {</w:t>
              <w:br/>
              <w:t xml:space="preserve">    listen 443 ssl http2;</w:t>
              <w:br/>
              <w:t xml:space="preserve">    listen [::]:443 ssl http2;</w:t>
              <w:br/>
              <w:t xml:space="preserve">    server_name pms.yourdomain.com;</w:t>
              <w:br/>
              <w:t xml:space="preserve">    root /var/www/pms_production/public;</w:t>
              <w:br/>
              <w:br/>
              <w:t xml:space="preserve">    ssl_certificate /etc/letsencrypt/live/pms.yourdomain.com/fullchain.pem;</w:t>
              <w:br/>
              <w:t xml:space="preserve">    ssl_certificate_key /etc/letsencrypt/live/pms.yourdomain.com/privkey.pem;</w:t>
              <w:br/>
              <w:br/>
              <w:t xml:space="preserve">    add_header X-Frame-Options "SAMEORIGIN";</w:t>
              <w:br/>
              <w:t xml:space="preserve">    add_header X-Content-Type-Options "nosniff";</w:t>
              <w:br/>
              <w:t xml:space="preserve">    add_header X-XSS-Protection "1; mode=block";</w:t>
              <w:br/>
              <w:br/>
              <w:t xml:space="preserve">    index index.php index.html;</w:t>
              <w:br/>
              <w:t xml:space="preserve">    charset utf-8;</w:t>
              <w:br/>
              <w:br/>
              <w:t xml:space="preserve">    client_max_body_size 64M;</w:t>
              <w:br/>
              <w:br/>
              <w:t xml:space="preserve">    location / {</w:t>
              <w:br/>
              <w:t xml:space="preserve">        try_files $uri $uri/ /index.php?$query_string;</w:t>
              <w:br/>
              <w:t xml:space="preserve">    }</w:t>
              <w:br/>
              <w:br/>
              <w:t xml:space="preserve">    location = /favicon.ico { access_log off; log_not_found off; }</w:t>
              <w:br/>
              <w:t xml:space="preserve">    location = /robots.txt  { access_log off; log_not_found off; }</w:t>
              <w:br/>
              <w:br/>
              <w:t xml:space="preserve">    error_page 404 /index.php;</w:t>
              <w:br/>
              <w:br/>
              <w:t xml:space="preserve">    location ~ \.php$ {</w:t>
              <w:br/>
              <w:t xml:space="preserve">        fastcgi_pass unix:/var/run/php/php8.2-fpm.sock;</w:t>
              <w:br/>
              <w:t xml:space="preserve">        fastcgi_param SCRIPT_FILENAME $realpath_root$fastcgi_script_name;</w:t>
              <w:br/>
              <w:t xml:space="preserve">        include fastcgi_params;</w:t>
              <w:br/>
              <w:t xml:space="preserve">        fastcgi_hide_header X-Powered-By;</w:t>
              <w:br/>
              <w:t xml:space="preserve">        fastcgi_buffer_size 16k;</w:t>
              <w:br/>
              <w:t xml:space="preserve">        fastcgi_buffers 4 16k;</w:t>
              <w:br/>
              <w:t xml:space="preserve">    }</w:t>
              <w:br/>
              <w:br/>
              <w:t xml:space="preserve">    location ~ /\.(?!well-known).* {</w:t>
              <w:br/>
              <w:t xml:space="preserve">        deny all;</w:t>
              <w:br/>
              <w:t xml:space="preserve">    }</w:t>
              <w:br/>
              <w:t>}</w:t>
            </w:r>
          </w:p>
        </w:tc>
      </w:tr>
    </w:tbl>
    <w:p>
      <w:pPr>
        <w:spacing w:after="80"/>
      </w:pPr>
    </w:p>
    <w:p>
      <w:pPr>
        <w:keepNext/>
        <w:spacing w:before="280" w:after="80"/>
      </w:pPr>
      <w:r>
        <w:rPr>
          <w:rFonts w:ascii="Calibri" w:hAnsi="Calibri"/>
          <w:b/>
          <w:color w:val="1E3A8A"/>
          <w:sz w:val="25"/>
        </w:rPr>
        <w:t>7.3 Background Queue Worker &amp; Task Scheduler Configuration</w:t>
      </w:r>
    </w:p>
    <w:p>
      <w:pPr>
        <w:spacing w:after="100" w:line="276" w:lineRule="auto"/>
      </w:pPr>
      <w:r>
        <w:rPr>
          <w:rFonts w:ascii="Calibri" w:hAnsi="Calibri"/>
          <w:color w:val="334155"/>
          <w:sz w:val="20"/>
        </w:rPr>
        <w:t>To process asynchronous background jobs (such as email dispatches and report exports), configure Supervisor at /etc/supervisor/conf.d/pms-worker.conf:</w:t>
      </w:r>
    </w:p>
    <w:p>
      <w:pPr>
        <w:spacing w:before="80" w:after="40"/>
      </w:pPr>
      <w:r>
        <w:rPr>
          <w:rFonts w:ascii="Calibri" w:hAnsi="Calibri"/>
          <w:i/>
          <w:color w:val="64748B"/>
          <w:sz w:val="17"/>
        </w:rPr>
        <w:t>Command / Configuration: Supervisor Queue Worker Configuration</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single" w:color="334155" w:sz="12"/>
              <w:left w:val="single" w:color="334155" w:sz="12"/>
              <w:bottom w:val="single" w:color="334155" w:sz="12"/>
              <w:right w:val="single" w:color="334155" w:sz="12"/>
            </w:tcBorders>
          </w:tcPr>
          <w:p>
            <w:pPr>
              <w:spacing w:after="0" w:line="264" w:lineRule="auto"/>
            </w:pPr>
            <w:r>
              <w:rPr>
                <w:rFonts w:ascii="Consolas" w:hAnsi="Consolas"/>
                <w:color w:val="E2E8F0"/>
                <w:sz w:val="17"/>
              </w:rPr>
              <w:t>[program:pms-worker]</w:t>
              <w:br/>
              <w:t>process_name=%(program_name)s_%(process_num)02d</w:t>
              <w:br/>
              <w:t>command=php /var/www/pms_production/artisan queue:work --sleep=3 --tries=3 --max-time=3600</w:t>
              <w:br/>
              <w:t>autostart=true</w:t>
              <w:br/>
              <w:t>autorestart=true</w:t>
              <w:br/>
              <w:t>stopasgroup=true</w:t>
              <w:br/>
              <w:t>killasgroup=true</w:t>
              <w:br/>
              <w:t>user=www-data</w:t>
              <w:br/>
              <w:t>numprocs=2</w:t>
              <w:br/>
              <w:t>redirect_stderr=true</w:t>
              <w:br/>
              <w:t>stdout_logfile=/var/www/pms_production/storage/logs/worker.log</w:t>
              <w:br/>
              <w:t>stopwaitsecs=3600</w:t>
            </w:r>
          </w:p>
        </w:tc>
      </w:tr>
    </w:tbl>
    <w:p>
      <w:pPr>
        <w:spacing w:after="80"/>
      </w:pPr>
    </w:p>
    <w:p>
      <w:pPr>
        <w:spacing w:after="100" w:line="276" w:lineRule="auto"/>
      </w:pPr>
      <w:r>
        <w:rPr>
          <w:rFonts w:ascii="Calibri" w:hAnsi="Calibri"/>
          <w:color w:val="334155"/>
          <w:sz w:val="20"/>
        </w:rPr>
        <w:t>Enable the Laravel Cron Task Scheduler by adding the following line to the www-data crontab (crontab -e -u www-data):</w:t>
      </w:r>
    </w:p>
    <w:p>
      <w:pPr>
        <w:spacing w:before="80" w:after="40"/>
      </w:pPr>
      <w:r>
        <w:rPr>
          <w:rFonts w:ascii="Calibri" w:hAnsi="Calibri"/>
          <w:i/>
          <w:color w:val="64748B"/>
          <w:sz w:val="17"/>
        </w:rPr>
        <w:t>Command / Configuration: Crontab Automation Entry</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single" w:color="334155" w:sz="12"/>
              <w:left w:val="single" w:color="334155" w:sz="12"/>
              <w:bottom w:val="single" w:color="334155" w:sz="12"/>
              <w:right w:val="single" w:color="334155" w:sz="12"/>
            </w:tcBorders>
          </w:tcPr>
          <w:p>
            <w:pPr>
              <w:spacing w:after="0" w:line="264" w:lineRule="auto"/>
            </w:pPr>
            <w:r>
              <w:rPr>
                <w:rFonts w:ascii="Consolas" w:hAnsi="Consolas"/>
                <w:color w:val="E2E8F0"/>
                <w:sz w:val="17"/>
              </w:rPr>
              <w:t>* * * * * cd /var/www/pms_production &amp;&amp; php artisan schedule:run &gt;&gt; /dev/null 2&gt;&amp;1</w:t>
            </w:r>
          </w:p>
        </w:tc>
      </w:tr>
    </w:tbl>
    <w:p>
      <w:pPr>
        <w:spacing w:after="80"/>
      </w:pPr>
    </w:p>
    <w:p>
      <w:pPr>
        <w:keepNext/>
        <w:spacing w:before="400" w:after="120"/>
        <w:pBdr>
          <w:bottom w:val="single" w:sz="14" w:space="4" w:color="2563EB"/>
        </w:pBdr>
      </w:pPr>
      <w:r>
        <w:rPr>
          <w:rFonts w:ascii="Calibri" w:hAnsi="Calibri"/>
          <w:b/>
          <w:color w:val="0F172A"/>
          <w:sz w:val="32"/>
        </w:rPr>
        <w:t>8. Backup, Disaster Recovery &amp; High Availability Packaging</w:t>
      </w:r>
    </w:p>
    <w:p>
      <w:pPr>
        <w:spacing w:after="100" w:line="276" w:lineRule="auto"/>
      </w:pPr>
      <w:r>
        <w:rPr>
          <w:rFonts w:ascii="Calibri" w:hAnsi="Calibri"/>
          <w:color w:val="334155"/>
          <w:sz w:val="20"/>
        </w:rPr>
        <w:t>Given the multi-tenant architecture of BBHPMS, the backup and disaster recovery strategy must accommodate both central platform metadata and independent tenant databases.</w:t>
      </w:r>
    </w:p>
    <w:p>
      <w:pPr>
        <w:keepNext/>
        <w:spacing w:before="280" w:after="80"/>
      </w:pPr>
      <w:r>
        <w:rPr>
          <w:rFonts w:ascii="Calibri" w:hAnsi="Calibri"/>
          <w:b/>
          <w:color w:val="1E3A8A"/>
          <w:sz w:val="25"/>
        </w:rPr>
        <w:t>8.1 Automated Multi-Tenant Backup Automation Script</w:t>
      </w:r>
    </w:p>
    <w:p>
      <w:pPr>
        <w:spacing w:after="100" w:line="276" w:lineRule="auto"/>
      </w:pPr>
      <w:r>
        <w:rPr>
          <w:rFonts w:ascii="Calibri" w:hAnsi="Calibri"/>
          <w:color w:val="334155"/>
          <w:sz w:val="20"/>
        </w:rPr>
        <w:t>The following bash script executes nightly backups of the central database, all tenant databases, and uploaded storage assets:</w:t>
      </w:r>
    </w:p>
    <w:p>
      <w:pPr>
        <w:spacing w:before="80" w:after="40"/>
      </w:pPr>
      <w:r>
        <w:rPr>
          <w:rFonts w:ascii="Calibri" w:hAnsi="Calibri"/>
          <w:i/>
          <w:color w:val="64748B"/>
          <w:sz w:val="17"/>
        </w:rPr>
        <w:t>Command / Configuration: Multi-Tenant Database &amp; Storage Asset Backup Automation</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single" w:color="334155" w:sz="12"/>
              <w:left w:val="single" w:color="334155" w:sz="12"/>
              <w:bottom w:val="single" w:color="334155" w:sz="12"/>
              <w:right w:val="single" w:color="334155" w:sz="12"/>
            </w:tcBorders>
          </w:tcPr>
          <w:p>
            <w:pPr>
              <w:spacing w:after="0" w:line="264" w:lineRule="auto"/>
            </w:pPr>
            <w:r>
              <w:rPr>
                <w:rFonts w:ascii="Consolas" w:hAnsi="Consolas"/>
                <w:color w:val="E2E8F0"/>
                <w:sz w:val="17"/>
              </w:rPr>
              <w:t>#!/bin/bash</w:t>
              <w:br/>
              <w:t># Enterprise Multi-Tenant Nightly Backup Script</w:t>
              <w:br/>
              <w:t>BACKUP_DIR="/var/backups/pms/$(date +\%Y-\%m-\%d)"</w:t>
              <w:br/>
              <w:t>MYSQL_USER="root"</w:t>
              <w:br/>
              <w:t>MYSQL_PASS="Secr3t_P@ssw0rd!"</w:t>
              <w:br/>
              <w:t>mkdir -p "$BACKUP_DIR"</w:t>
              <w:br/>
              <w:br/>
              <w:t># 1. Backup Central Platform Database</w:t>
              <w:br/>
              <w:t>mysqldump -u$MYSQL_USER -p$MYSQL_PASS --single-transaction --routines --triggers pms_central | gzip &gt; "$BACKUP_DIR/pms_central.sql.gz"</w:t>
              <w:br/>
              <w:br/>
              <w:t># 2. Iterate and Backup All Provisioned Tenant Databases</w:t>
              <w:br/>
              <w:t>TENANT_DBS=$(mysql -u$MYSQL_USER -p$MYSQL_PASS -e "SHOW DATABASES LIKE 'pms_tenant_%';" -s --skip-column-names)</w:t>
              <w:br/>
              <w:t>for DB in $TENANT_DBS; do</w:t>
              <w:br/>
              <w:t xml:space="preserve">    echo "Backing up tenant database: $DB"</w:t>
              <w:br/>
              <w:t xml:space="preserve">    mysqldump -u$MYSQL_USER -p$MYSQL_PASS --single-transaction --routines --triggers "$DB" | gzip &gt; "$BACKUP_DIR/${DB}.sql.gz"</w:t>
              <w:br/>
              <w:t>done</w:t>
              <w:br/>
              <w:br/>
              <w:t># Also backup default tenant pms_last</w:t>
              <w:br/>
              <w:t>mysqldump -u$MYSQL_USER -p$MYSQL_PASS --single-transaction --routines --triggers pms_last | gzip &gt; "$BACKUP_DIR/pms_last.sql.gz"</w:t>
              <w:br/>
              <w:br/>
              <w:t># 3. Backup Uploaded Document &amp; Letterhead Assets</w:t>
              <w:br/>
              <w:t>tar -czf "$BACKUP_DIR/storage_assets.tar.gz" -C /var/www/pms_production/storage/app/public .</w:t>
              <w:br/>
              <w:br/>
              <w:t># 4. Enforce 30-Day Retention Policy</w:t>
              <w:br/>
              <w:t>find /var/backups/pms/* -mtime +30 -exec rm -rf {} \;</w:t>
              <w:br/>
              <w:t xml:space="preserve">echo "Backup successfully completed and stored in $BACKUP_DIR" </w:t>
            </w:r>
          </w:p>
        </w:tc>
      </w:tr>
    </w:tbl>
    <w:p>
      <w:pPr>
        <w:spacing w:after="80"/>
      </w:pPr>
    </w:p>
    <w:p>
      <w:pPr>
        <w:keepNext/>
        <w:spacing w:before="280" w:after="80"/>
      </w:pPr>
      <w:r>
        <w:rPr>
          <w:rFonts w:ascii="Calibri" w:hAnsi="Calibri"/>
          <w:b/>
          <w:color w:val="1E3A8A"/>
          <w:sz w:val="25"/>
        </w:rPr>
        <w:t>8.2 Disaster Recovery &amp; Point-in-Time Restoration Runbook</w:t>
      </w:r>
    </w:p>
    <w:p>
      <w:pPr>
        <w:pStyle w:val="ListBullet"/>
        <w:spacing w:after="60" w:line="276" w:lineRule="auto"/>
      </w:pPr>
      <w:r>
        <w:rPr>
          <w:rFonts w:ascii="Calibri" w:hAnsi="Calibri"/>
          <w:b/>
          <w:color w:val="1E293B"/>
          <w:sz w:val="20"/>
        </w:rPr>
        <w:t xml:space="preserve">Step 1: </w:t>
      </w:r>
      <w:r>
        <w:rPr>
          <w:rFonts w:ascii="Calibri" w:hAnsi="Calibri"/>
          <w:color w:val="334155"/>
          <w:sz w:val="20"/>
        </w:rPr>
        <w:t>Identify the target backup timestamp in /var/backups/pms/YYYY-MM-DD/.</w:t>
      </w:r>
    </w:p>
    <w:p>
      <w:pPr>
        <w:pStyle w:val="ListBullet"/>
        <w:spacing w:after="60" w:line="276" w:lineRule="auto"/>
      </w:pPr>
      <w:r>
        <w:rPr>
          <w:rFonts w:ascii="Calibri" w:hAnsi="Calibri"/>
          <w:b/>
          <w:color w:val="1E293B"/>
          <w:sz w:val="20"/>
        </w:rPr>
        <w:t xml:space="preserve">Step 2: </w:t>
      </w:r>
      <w:r>
        <w:rPr>
          <w:rFonts w:ascii="Calibri" w:hAnsi="Calibri"/>
          <w:color w:val="334155"/>
          <w:sz w:val="20"/>
        </w:rPr>
        <w:t>Restore central database: gunzip &lt; pms_central.sql.gz | mysql -u root -p pms_central</w:t>
      </w:r>
    </w:p>
    <w:p>
      <w:pPr>
        <w:pStyle w:val="ListBullet"/>
        <w:spacing w:after="60" w:line="276" w:lineRule="auto"/>
      </w:pPr>
      <w:r>
        <w:rPr>
          <w:rFonts w:ascii="Calibri" w:hAnsi="Calibri"/>
          <w:b/>
          <w:color w:val="1E293B"/>
          <w:sz w:val="20"/>
        </w:rPr>
        <w:t xml:space="preserve">Step 3: </w:t>
      </w:r>
      <w:r>
        <w:rPr>
          <w:rFonts w:ascii="Calibri" w:hAnsi="Calibri"/>
          <w:color w:val="334155"/>
          <w:sz w:val="20"/>
        </w:rPr>
        <w:t>Restore specific affected tenant database: gunzip &lt; pms_tenant_ABC.sql.gz | mysql -u root -p pms_tenant_ABC</w:t>
      </w:r>
    </w:p>
    <w:p>
      <w:pPr>
        <w:pStyle w:val="ListBullet"/>
        <w:spacing w:after="60" w:line="276" w:lineRule="auto"/>
      </w:pPr>
      <w:r>
        <w:rPr>
          <w:rFonts w:ascii="Calibri" w:hAnsi="Calibri"/>
          <w:b/>
          <w:color w:val="1E293B"/>
          <w:sz w:val="20"/>
        </w:rPr>
        <w:t xml:space="preserve">Step 4: </w:t>
      </w:r>
      <w:r>
        <w:rPr>
          <w:rFonts w:ascii="Calibri" w:hAnsi="Calibri"/>
          <w:color w:val="334155"/>
          <w:sz w:val="20"/>
        </w:rPr>
        <w:t>Restore storage assets: tar -xzf storage_assets.tar.gz -C /var/www/pms_production/storage/app/public/</w:t>
      </w:r>
    </w:p>
    <w:p>
      <w:pPr>
        <w:pStyle w:val="ListBullet"/>
        <w:spacing w:after="60" w:line="276" w:lineRule="auto"/>
      </w:pPr>
      <w:r>
        <w:rPr>
          <w:rFonts w:ascii="Calibri" w:hAnsi="Calibri"/>
          <w:b/>
          <w:color w:val="1E293B"/>
          <w:sz w:val="20"/>
        </w:rPr>
        <w:t xml:space="preserve">Step 5: </w:t>
      </w:r>
      <w:r>
        <w:rPr>
          <w:rFonts w:ascii="Calibri" w:hAnsi="Calibri"/>
          <w:color w:val="334155"/>
          <w:sz w:val="20"/>
        </w:rPr>
        <w:t>Clear application caches: php artisan cache:clear &amp;&amp; php artisan config:cache</w:t>
      </w:r>
    </w:p>
    <w:p>
      <w:pPr>
        <w:keepNext/>
        <w:spacing w:before="400" w:after="120"/>
        <w:pBdr>
          <w:bottom w:val="single" w:sz="14" w:space="4" w:color="2563EB"/>
        </w:pBdr>
      </w:pPr>
      <w:r>
        <w:rPr>
          <w:rFonts w:ascii="Calibri" w:hAnsi="Calibri"/>
          <w:b/>
          <w:color w:val="0F172A"/>
          <w:sz w:val="32"/>
        </w:rPr>
        <w:t>9. Security, Compliance &amp; Maintenance Protocols</w:t>
      </w:r>
    </w:p>
    <w:p>
      <w:pPr>
        <w:spacing w:after="100" w:line="276" w:lineRule="auto"/>
      </w:pPr>
      <w:r>
        <w:rPr>
          <w:rFonts w:ascii="Calibri" w:hAnsi="Calibri"/>
          <w:color w:val="334155"/>
          <w:sz w:val="20"/>
        </w:rPr>
        <w:t>BBHPMS implements multi-layered security controls to protect sensitive tenant records, employee PII, financial ledgers, and authentication credentials.</w:t>
      </w:r>
    </w:p>
    <w:p>
      <w:pPr>
        <w:keepNext/>
        <w:spacing w:before="280" w:after="80"/>
      </w:pPr>
      <w:r>
        <w:rPr>
          <w:rFonts w:ascii="Calibri" w:hAnsi="Calibri"/>
          <w:b/>
          <w:color w:val="1E3A8A"/>
          <w:sz w:val="25"/>
        </w:rPr>
        <w:t>9.1 Security Safeguards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Security Domain</w:t>
            </w:r>
          </w:p>
        </w:tc>
        <w:tc>
          <w:tcPr>
            <w:tcW w:type="dxa" w:w="3888"/>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Mechanism Implemented</w:t>
            </w:r>
          </w:p>
        </w:tc>
        <w:tc>
          <w:tcPr>
            <w:tcW w:type="dxa" w:w="3456"/>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Compliance Standard</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Data Isolation</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Dual-database engine with physical schema separation and runtime PDO switching.</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ISO/IEC 27001 &amp; SOC 2 Type II compliant data segregation.</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Authentication &amp; Passwords</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Bcrypt password hashing with configurable work factor (rounds=12), plus rate-limited login throttle.</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NIST SP 800-63B Authentication Guidelines.</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Role-Based Access Control</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RoleMiddleware enforcing granular permissions across SuperAdmin, Admin, HR, Manager, Employee, and Client roles.</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Principle of Least Privilege (PoLP).</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Injection &amp; XSS Protection</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Prepared SQL statements via Eloquent ORM + Blade auto-escaping {{ }} syntax + CSRF token verification on all POST/PUT/DELETE requests.</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OWASP Top 10 A01, A03 mitigation.</w:t>
            </w:r>
          </w:p>
        </w:tc>
      </w:tr>
      <w:tr>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File Upload Sanitization</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Strict MIME-type validation, randomized SHA-256 filenames, non-executable storage locations.</w:t>
            </w:r>
          </w:p>
        </w:tc>
        <w:tc>
          <w:tcPr>
            <w:tcW w:type="dxa" w:w="345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OWASP A04 Insecure Design prevention.</w:t>
            </w:r>
          </w:p>
        </w:tc>
      </w:tr>
      <w:tr>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Audit Trail Logging</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 and tenant-level activity logs capturing timestamp, user ID, IP address, module, and state modifications.</w:t>
            </w:r>
          </w:p>
        </w:tc>
        <w:tc>
          <w:tcPr>
            <w:tcW w:type="dxa" w:w="345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Enterprise Forensics &amp; Regulatory Audit Compliance.</w:t>
            </w:r>
          </w:p>
        </w:tc>
      </w:tr>
    </w:tbl>
    <w:p>
      <w:pPr>
        <w:spacing w:after="80"/>
      </w:pPr>
    </w:p>
    <w:p>
      <w:pPr>
        <w:keepNext/>
        <w:spacing w:before="280" w:after="80"/>
      </w:pPr>
      <w:r>
        <w:rPr>
          <w:rFonts w:ascii="Calibri" w:hAnsi="Calibri"/>
          <w:b/>
          <w:color w:val="1E3A8A"/>
          <w:sz w:val="25"/>
        </w:rPr>
        <w:t>9.2 Ongoing Patching &amp; Multi-Tenant Migration Rollout Procedure</w:t>
      </w:r>
    </w:p>
    <w:p>
      <w:pPr>
        <w:spacing w:after="100" w:line="276" w:lineRule="auto"/>
      </w:pPr>
      <w:r>
        <w:rPr>
          <w:rFonts w:ascii="Calibri" w:hAnsi="Calibri"/>
          <w:color w:val="334155"/>
          <w:sz w:val="20"/>
        </w:rPr>
        <w:t>When new features or schema updates are released, execute the zero-downtime migration rollout procedure:</w:t>
      </w:r>
    </w:p>
    <w:p>
      <w:pPr>
        <w:pStyle w:val="ListBullet"/>
        <w:spacing w:after="60" w:line="276" w:lineRule="auto"/>
      </w:pPr>
      <w:r>
        <w:rPr>
          <w:rFonts w:ascii="Calibri" w:hAnsi="Calibri"/>
          <w:b/>
          <w:color w:val="1E293B"/>
          <w:sz w:val="20"/>
        </w:rPr>
        <w:t xml:space="preserve">1. Maintenance Gate: </w:t>
      </w:r>
      <w:r>
        <w:rPr>
          <w:rFonts w:ascii="Calibri" w:hAnsi="Calibri"/>
          <w:color w:val="334155"/>
          <w:sz w:val="20"/>
        </w:rPr>
        <w:t>Enable maintenance mode: php artisan down --secret='super-secret-bypass-token'</w:t>
      </w:r>
    </w:p>
    <w:p>
      <w:pPr>
        <w:pStyle w:val="ListBullet"/>
        <w:spacing w:after="60" w:line="276" w:lineRule="auto"/>
      </w:pPr>
      <w:r>
        <w:rPr>
          <w:rFonts w:ascii="Calibri" w:hAnsi="Calibri"/>
          <w:b/>
          <w:color w:val="1E293B"/>
          <w:sz w:val="20"/>
        </w:rPr>
        <w:t xml:space="preserve">2. Pull Release: </w:t>
      </w:r>
      <w:r>
        <w:rPr>
          <w:rFonts w:ascii="Calibri" w:hAnsi="Calibri"/>
          <w:color w:val="334155"/>
          <w:sz w:val="20"/>
        </w:rPr>
        <w:t>Pull new codebase tags: git pull origin main</w:t>
      </w:r>
    </w:p>
    <w:p>
      <w:pPr>
        <w:pStyle w:val="ListBullet"/>
        <w:spacing w:after="60" w:line="276" w:lineRule="auto"/>
      </w:pPr>
      <w:r>
        <w:rPr>
          <w:rFonts w:ascii="Calibri" w:hAnsi="Calibri"/>
          <w:b/>
          <w:color w:val="1E293B"/>
          <w:sz w:val="20"/>
        </w:rPr>
        <w:t xml:space="preserve">3. Update Packages: </w:t>
      </w:r>
      <w:r>
        <w:rPr>
          <w:rFonts w:ascii="Calibri" w:hAnsi="Calibri"/>
          <w:color w:val="334155"/>
          <w:sz w:val="20"/>
        </w:rPr>
        <w:t>Update composer dependencies: composer install --no-dev --optimize-autoloader</w:t>
      </w:r>
    </w:p>
    <w:p>
      <w:pPr>
        <w:pStyle w:val="ListBullet"/>
        <w:spacing w:after="60" w:line="276" w:lineRule="auto"/>
      </w:pPr>
      <w:r>
        <w:rPr>
          <w:rFonts w:ascii="Calibri" w:hAnsi="Calibri"/>
          <w:b/>
          <w:color w:val="1E293B"/>
          <w:sz w:val="20"/>
        </w:rPr>
        <w:t xml:space="preserve">4. Migrate Central: </w:t>
      </w:r>
      <w:r>
        <w:rPr>
          <w:rFonts w:ascii="Calibri" w:hAnsi="Calibri"/>
          <w:color w:val="334155"/>
          <w:sz w:val="20"/>
        </w:rPr>
        <w:t>Migrate Central Database: php artisan migrate --database=central --path=database/migrations/central --force</w:t>
      </w:r>
    </w:p>
    <w:p>
      <w:pPr>
        <w:pStyle w:val="ListBullet"/>
        <w:spacing w:after="60" w:line="276" w:lineRule="auto"/>
      </w:pPr>
      <w:r>
        <w:rPr>
          <w:rFonts w:ascii="Calibri" w:hAnsi="Calibri"/>
          <w:b/>
          <w:color w:val="1E293B"/>
          <w:sz w:val="20"/>
        </w:rPr>
        <w:t xml:space="preserve">5. Migrate Tenants: </w:t>
      </w:r>
      <w:r>
        <w:rPr>
          <w:rFonts w:ascii="Calibri" w:hAnsi="Calibri"/>
          <w:color w:val="334155"/>
          <w:sz w:val="20"/>
        </w:rPr>
        <w:t>Batch Migrate All Tenant DBs: php artisan tenants:migrate (or iterate tenant database migrations via automated command)</w:t>
      </w:r>
    </w:p>
    <w:p>
      <w:pPr>
        <w:pStyle w:val="ListBullet"/>
        <w:spacing w:after="60" w:line="276" w:lineRule="auto"/>
      </w:pPr>
      <w:r>
        <w:rPr>
          <w:rFonts w:ascii="Calibri" w:hAnsi="Calibri"/>
          <w:b/>
          <w:color w:val="1E293B"/>
          <w:sz w:val="20"/>
        </w:rPr>
        <w:t xml:space="preserve">6. Rebuild Assets: </w:t>
      </w:r>
      <w:r>
        <w:rPr>
          <w:rFonts w:ascii="Calibri" w:hAnsi="Calibri"/>
          <w:color w:val="334155"/>
          <w:sz w:val="20"/>
        </w:rPr>
        <w:t>Re-compile front-end assets if updated: npm run build</w:t>
      </w:r>
    </w:p>
    <w:p>
      <w:pPr>
        <w:pStyle w:val="ListBullet"/>
        <w:spacing w:after="60" w:line="276" w:lineRule="auto"/>
      </w:pPr>
      <w:r>
        <w:rPr>
          <w:rFonts w:ascii="Calibri" w:hAnsi="Calibri"/>
          <w:b/>
          <w:color w:val="1E293B"/>
          <w:sz w:val="20"/>
        </w:rPr>
        <w:t xml:space="preserve">7. Optimize Caches: </w:t>
      </w:r>
      <w:r>
        <w:rPr>
          <w:rFonts w:ascii="Calibri" w:hAnsi="Calibri"/>
          <w:color w:val="334155"/>
          <w:sz w:val="20"/>
        </w:rPr>
        <w:t>Clear &amp; re-cache configs: php artisan optimize</w:t>
      </w:r>
    </w:p>
    <w:p>
      <w:pPr>
        <w:pStyle w:val="ListBullet"/>
        <w:spacing w:after="60" w:line="276" w:lineRule="auto"/>
      </w:pPr>
      <w:r>
        <w:rPr>
          <w:rFonts w:ascii="Calibri" w:hAnsi="Calibri"/>
          <w:b/>
          <w:color w:val="1E293B"/>
          <w:sz w:val="20"/>
        </w:rPr>
        <w:t xml:space="preserve">8. Go Live: </w:t>
      </w:r>
      <w:r>
        <w:rPr>
          <w:rFonts w:ascii="Calibri" w:hAnsi="Calibri"/>
          <w:color w:val="334155"/>
          <w:sz w:val="20"/>
        </w:rPr>
        <w:t>Disable maintenance mode: php artisan up</w:t>
      </w:r>
    </w:p>
    <w:p>
      <w:pPr>
        <w:keepNext/>
        <w:spacing w:before="400" w:after="120"/>
        <w:pBdr>
          <w:bottom w:val="single" w:sz="14" w:space="4" w:color="2563EB"/>
        </w:pBdr>
      </w:pPr>
      <w:r>
        <w:rPr>
          <w:rFonts w:ascii="Calibri" w:hAnsi="Calibri"/>
          <w:b/>
          <w:color w:val="0F172A"/>
          <w:sz w:val="32"/>
        </w:rPr>
        <w:t>10. Packaging Manifest, Verification &amp; Delivery Checklist</w:t>
      </w:r>
    </w:p>
    <w:p>
      <w:pPr>
        <w:spacing w:after="100" w:line="276" w:lineRule="auto"/>
      </w:pPr>
      <w:r>
        <w:rPr>
          <w:rFonts w:ascii="Calibri" w:hAnsi="Calibri"/>
          <w:color w:val="334155"/>
          <w:sz w:val="20"/>
        </w:rPr>
        <w:t>This section itemizes the official delivery package contents and provides the 15-point quality assurance verification checklist:</w:t>
      </w:r>
    </w:p>
    <w:p>
      <w:pPr>
        <w:keepNext/>
        <w:spacing w:before="280" w:after="80"/>
      </w:pPr>
      <w:r>
        <w:rPr>
          <w:rFonts w:ascii="Calibri" w:hAnsi="Calibri"/>
          <w:b/>
          <w:color w:val="1E3A8A"/>
          <w:sz w:val="25"/>
        </w:rPr>
        <w:t>10.1 Physical Release Artifacts Manifest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Artifact File / Bundle</w:t>
            </w:r>
          </w:p>
        </w:tc>
        <w:tc>
          <w:tcPr>
            <w:tcW w:type="dxa" w:w="1728"/>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Format</w:t>
            </w:r>
          </w:p>
        </w:tc>
        <w:tc>
          <w:tcPr>
            <w:tcW w:type="dxa" w:w="259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Location in Package</w:t>
            </w:r>
          </w:p>
        </w:tc>
        <w:tc>
          <w:tcPr>
            <w:tcW w:type="dxa" w:w="2736"/>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Description</w:t>
            </w:r>
          </w:p>
        </w:tc>
      </w:tr>
      <w:tr>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Core Application Source Code</w:t>
            </w:r>
          </w:p>
        </w:tc>
        <w:tc>
          <w:tcPr>
            <w:tcW w:type="dxa" w:w="172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Directory Tree / Zip</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Project Root</w:t>
            </w:r>
          </w:p>
        </w:tc>
        <w:tc>
          <w:tcPr>
            <w:tcW w:type="dxa" w:w="273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Full Laravel 11 source code, controllers, models, services, blade views.</w:t>
            </w:r>
          </w:p>
        </w:tc>
      </w:tr>
      <w:tr>
        <w:tc>
          <w:tcPr>
            <w:tcW w:type="dxa" w:w="288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 Database Schema</w:t>
            </w:r>
          </w:p>
        </w:tc>
        <w:tc>
          <w:tcPr>
            <w:tcW w:type="dxa" w:w="172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SQL / Migration</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database/migrations/central/</w:t>
            </w:r>
          </w:p>
        </w:tc>
        <w:tc>
          <w:tcPr>
            <w:tcW w:type="dxa" w:w="273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17 migration files creating pms_central platform registry.</w:t>
            </w:r>
          </w:p>
        </w:tc>
      </w:tr>
      <w:tr>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Database Schema</w:t>
            </w:r>
          </w:p>
        </w:tc>
        <w:tc>
          <w:tcPr>
            <w:tcW w:type="dxa" w:w="172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SQL / Migration</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database/migrations/tenant/</w:t>
            </w:r>
          </w:p>
        </w:tc>
        <w:tc>
          <w:tcPr>
            <w:tcW w:type="dxa" w:w="273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134 migration files creating pms_tenant_* company databases.</w:t>
            </w:r>
          </w:p>
        </w:tc>
      </w:tr>
      <w:tr>
        <w:tc>
          <w:tcPr>
            <w:tcW w:type="dxa" w:w="288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Environment Blueprint</w:t>
            </w:r>
          </w:p>
        </w:tc>
        <w:tc>
          <w:tcPr>
            <w:tcW w:type="dxa" w:w="172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Text Template</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.env.example</w:t>
            </w:r>
          </w:p>
        </w:tc>
        <w:tc>
          <w:tcPr>
            <w:tcW w:type="dxa" w:w="273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Master configuration template documenting all production variables.</w:t>
            </w:r>
          </w:p>
        </w:tc>
      </w:tr>
      <w:tr>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Frontend Distribution Bundle</w:t>
            </w:r>
          </w:p>
        </w:tc>
        <w:tc>
          <w:tcPr>
            <w:tcW w:type="dxa" w:w="172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Compiled JS/CSS</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public/build/</w:t>
            </w:r>
          </w:p>
        </w:tc>
        <w:tc>
          <w:tcPr>
            <w:tcW w:type="dxa" w:w="273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Vite-compiled JavaScript bundles and Tailwind CSS stylesheets.</w:t>
            </w:r>
          </w:p>
        </w:tc>
      </w:tr>
      <w:tr>
        <w:tc>
          <w:tcPr>
            <w:tcW w:type="dxa" w:w="288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Super Admin Documentation</w:t>
            </w:r>
          </w:p>
        </w:tc>
        <w:tc>
          <w:tcPr>
            <w:tcW w:type="dxa" w:w="172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Word &amp; PDF</w:t>
            </w:r>
          </w:p>
        </w:tc>
        <w:tc>
          <w:tcPr>
            <w:tcW w:type="dxa" w:w="259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Super_Admin_Feature_Documentation.*</w:t>
            </w:r>
          </w:p>
        </w:tc>
        <w:tc>
          <w:tcPr>
            <w:tcW w:type="dxa" w:w="273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In-depth functional guide for Super Admin Command Center operations.</w:t>
            </w:r>
          </w:p>
        </w:tc>
      </w:tr>
      <w:tr>
        <w:tc>
          <w:tcPr>
            <w:tcW w:type="dxa" w:w="288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Project Packaging Dossier</w:t>
            </w:r>
          </w:p>
        </w:tc>
        <w:tc>
          <w:tcPr>
            <w:tcW w:type="dxa" w:w="172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Word (.docx)</w:t>
            </w:r>
          </w:p>
        </w:tc>
        <w:tc>
          <w:tcPr>
            <w:tcW w:type="dxa" w:w="259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BBHPMS_Project_Packaging_and_Delivery_Documentation.docx</w:t>
            </w:r>
          </w:p>
        </w:tc>
        <w:tc>
          <w:tcPr>
            <w:tcW w:type="dxa" w:w="273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Master architectural, operational, and deployment specification (this document).</w:t>
            </w:r>
          </w:p>
        </w:tc>
      </w:tr>
    </w:tbl>
    <w:p>
      <w:pPr>
        <w:spacing w:after="80"/>
      </w:pPr>
    </w:p>
    <w:p>
      <w:pPr>
        <w:keepNext/>
        <w:spacing w:before="280" w:after="80"/>
      </w:pPr>
      <w:r>
        <w:rPr>
          <w:rFonts w:ascii="Calibri" w:hAnsi="Calibri"/>
          <w:b/>
          <w:color w:val="1E3A8A"/>
          <w:sz w:val="25"/>
        </w:rPr>
        <w:t>10.2 Quality Assurance &amp; Acceptance Test Protocol</w:t>
      </w:r>
    </w:p>
    <w:p>
      <w:pPr>
        <w:spacing w:after="100" w:line="276" w:lineRule="auto"/>
      </w:pPr>
      <w:r>
        <w:rPr>
          <w:rFonts w:ascii="Calibri" w:hAnsi="Calibri"/>
          <w:color w:val="334155"/>
          <w:sz w:val="20"/>
        </w:rPr>
        <w:t>Before signing off on production delivery, the deployment team must verify all 15 acceptance test criteria:</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Test ID</w:t>
            </w:r>
          </w:p>
        </w:tc>
        <w:tc>
          <w:tcPr>
            <w:tcW w:type="dxa" w:w="3600"/>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Subsystem / Verification Item</w:t>
            </w:r>
          </w:p>
        </w:tc>
        <w:tc>
          <w:tcPr>
            <w:tcW w:type="dxa" w:w="3888"/>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Expected Outcome</w:t>
            </w:r>
          </w:p>
        </w:tc>
        <w:tc>
          <w:tcPr>
            <w:tcW w:type="dxa" w:w="1296"/>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Status</w:t>
            </w:r>
          </w:p>
        </w:tc>
      </w:tr>
      <w:tr>
        <w:tc>
          <w:tcPr>
            <w:tcW w:type="dxa" w:w="115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TC-01</w:t>
            </w:r>
          </w:p>
        </w:tc>
        <w:tc>
          <w:tcPr>
            <w:tcW w:type="dxa" w:w="360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PHP Version &amp; Extensions</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PHP 8.2+ with pdo_mysql, mbstring, gd, bcmath, redis loaded.</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TC-02</w:t>
            </w:r>
          </w:p>
        </w:tc>
        <w:tc>
          <w:tcPr>
            <w:tcW w:type="dxa" w:w="360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 Database Connection</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Successful authentication and query execution on pms_central.</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TC-03</w:t>
            </w:r>
          </w:p>
        </w:tc>
        <w:tc>
          <w:tcPr>
            <w:tcW w:type="dxa" w:w="360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Dynamic Switching</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SetTenantConnection middleware seamlessly switches PDO to tenant schema.</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TC-04</w:t>
            </w:r>
          </w:p>
        </w:tc>
        <w:tc>
          <w:tcPr>
            <w:tcW w:type="dxa" w:w="360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Central Migrations</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17 central migrations execute with zero syntax or constraint errors.</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TC-05</w:t>
            </w:r>
          </w:p>
        </w:tc>
        <w:tc>
          <w:tcPr>
            <w:tcW w:type="dxa" w:w="360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Tenant Migrations</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134 tenant migrations execute cleanly against tenant schemas.</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TC-06</w:t>
            </w:r>
          </w:p>
        </w:tc>
        <w:tc>
          <w:tcPr>
            <w:tcW w:type="dxa" w:w="360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Super Admin Authentication</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Super Admin logs into Command Center with encrypted session token.</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TC-07</w:t>
            </w:r>
          </w:p>
        </w:tc>
        <w:tc>
          <w:tcPr>
            <w:tcW w:type="dxa" w:w="360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Company Onboarding Wizard</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Provisioning creates new tenant DB, executes migrations, and seeds admin.</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TC-08</w:t>
            </w:r>
          </w:p>
        </w:tc>
        <w:tc>
          <w:tcPr>
            <w:tcW w:type="dxa" w:w="360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Project &amp; Task Management</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Projects, Milestones, Tasks, Timers, and Kanban boards operate seamlessly.</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TC-09</w:t>
            </w:r>
          </w:p>
        </w:tc>
        <w:tc>
          <w:tcPr>
            <w:tcW w:type="dxa" w:w="360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HRMS &amp; 4-Tier Document Vault</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Employee records create properly; role-based document access is enforced.</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TC-10</w:t>
            </w:r>
          </w:p>
        </w:tc>
        <w:tc>
          <w:tcPr>
            <w:tcW w:type="dxa" w:w="360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Attendance &amp; Geolocation Clock-In</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Coordinates, timestamps, and photos record accurately into database.</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TC-11</w:t>
            </w:r>
          </w:p>
        </w:tc>
        <w:tc>
          <w:tcPr>
            <w:tcW w:type="dxa" w:w="360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Payroll Engine &amp; Payslip PDF</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PayrollCalculationService computes taxes/deductions; DomPDF renders payslip.</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TC-12</w:t>
            </w:r>
          </w:p>
        </w:tc>
        <w:tc>
          <w:tcPr>
            <w:tcW w:type="dxa" w:w="360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Corporate Letterhead Generator</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FPDF/FPDI renders high-resolution letterhead with dynamic text.</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TC-13</w:t>
            </w:r>
          </w:p>
        </w:tc>
        <w:tc>
          <w:tcPr>
            <w:tcW w:type="dxa" w:w="360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Tesseract OCR DOB Extraction</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GovernmentIdDobVerifier parses date patterns and validates against DOB.</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TC-14</w:t>
            </w:r>
          </w:p>
        </w:tc>
        <w:tc>
          <w:tcPr>
            <w:tcW w:type="dxa" w:w="360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Supervisor Queue Processing</w:t>
            </w:r>
          </w:p>
        </w:tc>
        <w:tc>
          <w:tcPr>
            <w:tcW w:type="dxa" w:w="388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Background jobs and email notifications process asynchronously without error.</w:t>
            </w:r>
          </w:p>
        </w:tc>
        <w:tc>
          <w:tcPr>
            <w:tcW w:type="dxa" w:w="1296"/>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r>
        <w:tc>
          <w:tcPr>
            <w:tcW w:type="dxa" w:w="1152"/>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TC-15</w:t>
            </w:r>
          </w:p>
        </w:tc>
        <w:tc>
          <w:tcPr>
            <w:tcW w:type="dxa" w:w="360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Security &amp; RBAC Enforcement</w:t>
            </w:r>
          </w:p>
        </w:tc>
        <w:tc>
          <w:tcPr>
            <w:tcW w:type="dxa" w:w="388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Unauthorized role URLs return HTTP 403 Forbidden; CSRF tokens validated.</w:t>
            </w:r>
          </w:p>
        </w:tc>
        <w:tc>
          <w:tcPr>
            <w:tcW w:type="dxa" w:w="1296"/>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PASSED</w:t>
            </w:r>
          </w:p>
        </w:tc>
      </w:tr>
    </w:tbl>
    <w:p>
      <w:pPr>
        <w:spacing w:after="80"/>
      </w:pPr>
    </w:p>
    <w:p>
      <w:pPr>
        <w:keepNext/>
        <w:spacing w:before="400" w:after="120"/>
        <w:pBdr>
          <w:bottom w:val="single" w:sz="14" w:space="4" w:color="2563EB"/>
        </w:pBdr>
      </w:pPr>
      <w:r>
        <w:rPr>
          <w:rFonts w:ascii="Calibri" w:hAnsi="Calibri"/>
          <w:b/>
          <w:color w:val="0F172A"/>
          <w:sz w:val="32"/>
        </w:rPr>
        <w:t>11. Formal Project Handover &amp; Sign-Off Block</w:t>
      </w:r>
    </w:p>
    <w:p>
      <w:pPr>
        <w:spacing w:after="100" w:line="276" w:lineRule="auto"/>
      </w:pPr>
      <w:r>
        <w:rPr>
          <w:rFonts w:ascii="Calibri" w:hAnsi="Calibri"/>
          <w:color w:val="334155"/>
          <w:sz w:val="20"/>
        </w:rPr>
        <w:t>By signing below, the authorized technical representatives confirm that the BBHPMS Enterprise Platform has been packaged, verified against all architectural and functional acceptance criteria, and delivered in a production-ready state.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Signatory Role</w:t>
            </w:r>
          </w:p>
        </w:tc>
        <w:tc>
          <w:tcPr>
            <w:tcW w:type="dxa" w:w="2304"/>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Representative Name</w:t>
            </w:r>
          </w:p>
        </w:tc>
        <w:tc>
          <w:tcPr>
            <w:tcW w:type="dxa" w:w="2304"/>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Designation / Organization</w:t>
            </w:r>
          </w:p>
        </w:tc>
        <w:tc>
          <w:tcPr>
            <w:tcW w:type="dxa" w:w="1440"/>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Date</w:t>
            </w:r>
          </w:p>
        </w:tc>
        <w:tc>
          <w:tcPr>
            <w:tcW w:type="dxa" w:w="1728"/>
            <w:shd w:fill="1E3A8A"/>
            <w:tcMar>
              <w:top w:w="120" w:type="dxa"/>
              <w:bottom w:w="120" w:type="dxa"/>
              <w:left w:w="140" w:type="dxa"/>
              <w:right w:w="140" w:type="dxa"/>
            </w:tcMar>
            <w:tcBorders>
              <w:top w:val="single" w:color="1E3A8A" w:sz="6"/>
              <w:left w:val="single" w:color="3B82F6" w:sz="4"/>
              <w:bottom w:val="single" w:color="1E40AF" w:sz="12"/>
              <w:right w:val="single" w:color="3B82F6" w:sz="4"/>
            </w:tcBorders>
          </w:tcPr>
          <w:p>
            <w:pPr>
              <w:jc w:val="left"/>
            </w:pPr>
            <w:r>
              <w:rPr>
                <w:rFonts w:ascii="Calibri" w:hAnsi="Calibri"/>
                <w:b/>
                <w:color w:val="FFFFFF"/>
                <w:sz w:val="19"/>
              </w:rPr>
              <w:t>Signature</w:t>
            </w:r>
          </w:p>
        </w:tc>
      </w:tr>
      <w:tr>
        <w:tc>
          <w:tcPr>
            <w:tcW w:type="dxa" w:w="216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Lead Software Architect</w:t>
            </w:r>
          </w:p>
        </w:tc>
        <w:tc>
          <w:tcPr>
            <w:tcW w:type="dxa" w:w="230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Pranto / BBH Engineering Team</w:t>
            </w:r>
          </w:p>
        </w:tc>
        <w:tc>
          <w:tcPr>
            <w:tcW w:type="dxa" w:w="230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Principal Solutions Architect</w:t>
            </w:r>
          </w:p>
        </w:tc>
        <w:tc>
          <w:tcPr>
            <w:tcW w:type="dxa" w:w="144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2026-09-07</w:t>
            </w:r>
          </w:p>
        </w:tc>
        <w:tc>
          <w:tcPr>
            <w:tcW w:type="dxa" w:w="172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___________________</w:t>
            </w:r>
          </w:p>
        </w:tc>
      </w:tr>
      <w:tr>
        <w:tc>
          <w:tcPr>
            <w:tcW w:type="dxa" w:w="216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DevOps &amp; Infrastructure Lead</w:t>
            </w:r>
          </w:p>
        </w:tc>
        <w:tc>
          <w:tcPr>
            <w:tcW w:type="dxa" w:w="230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System Administration Team</w:t>
            </w:r>
          </w:p>
        </w:tc>
        <w:tc>
          <w:tcPr>
            <w:tcW w:type="dxa" w:w="230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Head of Cloud Operations</w:t>
            </w:r>
          </w:p>
        </w:tc>
        <w:tc>
          <w:tcPr>
            <w:tcW w:type="dxa" w:w="144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2026-09-07</w:t>
            </w:r>
          </w:p>
        </w:tc>
        <w:tc>
          <w:tcPr>
            <w:tcW w:type="dxa" w:w="172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___________________</w:t>
            </w:r>
          </w:p>
        </w:tc>
      </w:tr>
      <w:tr>
        <w:tc>
          <w:tcPr>
            <w:tcW w:type="dxa" w:w="216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QA &amp; Verification Lead</w:t>
            </w:r>
          </w:p>
        </w:tc>
        <w:tc>
          <w:tcPr>
            <w:tcW w:type="dxa" w:w="230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Quality Assurance Lead</w:t>
            </w:r>
          </w:p>
        </w:tc>
        <w:tc>
          <w:tcPr>
            <w:tcW w:type="dxa" w:w="2304"/>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Senior Lead QA Engineer</w:t>
            </w:r>
          </w:p>
        </w:tc>
        <w:tc>
          <w:tcPr>
            <w:tcW w:type="dxa" w:w="1440"/>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2026-09-07</w:t>
            </w:r>
          </w:p>
        </w:tc>
        <w:tc>
          <w:tcPr>
            <w:tcW w:type="dxa" w:w="1728"/>
            <w:shd w:fill="FFFFFF"/>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___________________</w:t>
            </w:r>
          </w:p>
        </w:tc>
      </w:tr>
      <w:tr>
        <w:tc>
          <w:tcPr>
            <w:tcW w:type="dxa" w:w="216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Enterprise Client Representative</w:t>
            </w:r>
          </w:p>
        </w:tc>
        <w:tc>
          <w:tcPr>
            <w:tcW w:type="dxa" w:w="230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Client Project Sponsor</w:t>
            </w:r>
          </w:p>
        </w:tc>
        <w:tc>
          <w:tcPr>
            <w:tcW w:type="dxa" w:w="2304"/>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Director of IT / Operations</w:t>
            </w:r>
          </w:p>
        </w:tc>
        <w:tc>
          <w:tcPr>
            <w:tcW w:type="dxa" w:w="1440"/>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2026-09-07</w:t>
            </w:r>
          </w:p>
        </w:tc>
        <w:tc>
          <w:tcPr>
            <w:tcW w:type="dxa" w:w="1728"/>
            <w:shd w:fill="F8FAFC"/>
            <w:tcMar>
              <w:top w:w="100" w:type="dxa"/>
              <w:bottom w:w="100" w:type="dxa"/>
              <w:left w:w="140" w:type="dxa"/>
              <w:right w:w="140" w:type="dxa"/>
            </w:tcMar>
            <w:tcBorders>
              <w:top w:val="single" w:color="E2E8F0" w:sz="4"/>
              <w:left w:val="single" w:color="E2E8F0" w:sz="4"/>
              <w:bottom w:val="single" w:color="E2E8F0" w:sz="4"/>
              <w:right w:val="single" w:color="E2E8F0" w:sz="4"/>
            </w:tcBorders>
          </w:tcPr>
          <w:p>
            <w:pPr>
              <w:jc w:val="left"/>
            </w:pPr>
            <w:r>
              <w:rPr>
                <w:rFonts w:ascii="Calibri" w:hAnsi="Calibri"/>
                <w:color w:val="334155"/>
                <w:sz w:val="18"/>
              </w:rPr>
              <w:t>___________________</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CONFIDENTIAL &amp; PROPRIETARY — FOR ENTERPRISE PACKAGING &amp; DEPLOYMENT</w:t>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BBHPMS | Enterprise Project &amp; Resource Management System — Packaging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