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0e12bc70baa4c8750de68add1e27aa2bd48660"/>
    <w:p>
      <w:pPr>
        <w:pStyle w:val="Heading1"/>
      </w:pPr>
      <w:r>
        <w:t xml:space="preserve">Política interna de descontos (uso da equipe)</w:t>
      </w:r>
    </w:p>
    <w:p>
      <w:pPr>
        <w:pStyle w:val="Compact"/>
        <w:numPr>
          <w:ilvl w:val="0"/>
          <w:numId w:val="1001"/>
        </w:numPr>
      </w:pPr>
      <w:r>
        <w:t xml:space="preserve">A recepção pode dar até 10% de desconto em tratamentos particulares pagos à vista no Pix.</w:t>
      </w:r>
    </w:p>
    <w:p>
      <w:pPr>
        <w:pStyle w:val="Compact"/>
        <w:numPr>
          <w:ilvl w:val="0"/>
          <w:numId w:val="1001"/>
        </w:numPr>
      </w:pPr>
      <w:r>
        <w:t xml:space="preserve">De 10% a 20%, a gerência aprova.</w:t>
      </w:r>
    </w:p>
    <w:p>
      <w:pPr>
        <w:pStyle w:val="Compact"/>
        <w:numPr>
          <w:ilvl w:val="0"/>
          <w:numId w:val="1001"/>
        </w:numPr>
      </w:pPr>
      <w:r>
        <w:t xml:space="preserve">Acima de 20%, só a dona da clínica.</w:t>
      </w:r>
    </w:p>
    <w:p>
      <w:pPr>
        <w:pStyle w:val="Compact"/>
        <w:numPr>
          <w:ilvl w:val="0"/>
          <w:numId w:val="1001"/>
        </w:numPr>
      </w:pPr>
      <w:r>
        <w:t xml:space="preserve">Nunca há desconto na avaliação inicial nem em tratamentos por convênio.</w:t>
      </w:r>
    </w:p>
    <w:p>
      <w:pPr>
        <w:pStyle w:val="Compact"/>
        <w:numPr>
          <w:ilvl w:val="0"/>
          <w:numId w:val="1001"/>
        </w:numPr>
      </w:pPr>
      <w:r>
        <w:t xml:space="preserve">Pacientes com mais de 3 faltas no ano não recebem desconto.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2026-09-27T20:14:51Z</dcterms:created>
  <dcterms:modified xsi:type="dcterms:W3CDTF">2026-09-27T20:14:51Z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