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ormas-de-pagamento"/>
    <w:p>
      <w:pPr>
        <w:pStyle w:val="Heading1"/>
      </w:pPr>
      <w:r>
        <w:t xml:space="preserve">Formas de pagamento</w:t>
      </w:r>
    </w:p>
    <w:p>
      <w:pPr>
        <w:pStyle w:val="FirstParagraph"/>
      </w:pPr>
      <w:r>
        <w:t xml:space="preserve">Aceitamos Pix, dinheiro e cartões de débito e crédito (Visa, Mastercard e Elo). No crédito, parcelamos tratamentos acima de R$ 600 em até 6 vezes sem juros; acima de 6 vezes não há parcelamento. Não aceitamos cheque nem boleto.</w:t>
      </w:r>
    </w:p>
    <w:p>
      <w:pPr>
        <w:pStyle w:val="BodyText"/>
      </w:pPr>
      <w:r>
        <w:t xml:space="preserve">O pagamento de cada sessão é feito no dia do atendimento. Para tratamentos longos (ortodontia, implante), há contrato com o valor total e as parcelas.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2026-09-27T20:14:53Z</dcterms:created>
  <dcterms:modified xsi:type="dcterms:W3CDTF">2026-09-27T20:14:53Z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