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valores-para-particulares"/>
    <w:p>
      <w:pPr>
        <w:pStyle w:val="Heading1"/>
      </w:pPr>
      <w:r>
        <w:t xml:space="preserve">Valores para particulares</w:t>
      </w:r>
    </w:p>
    <w:p>
      <w:pPr>
        <w:pStyle w:val="Compact"/>
        <w:numPr>
          <w:ilvl w:val="0"/>
          <w:numId w:val="1001"/>
        </w:numPr>
      </w:pPr>
      <w:r>
        <w:t xml:space="preserve">Avaliação inicial: R$ 120, abatida do tratamento se ele for feito na clínica em até 60 dias.</w:t>
      </w:r>
    </w:p>
    <w:p>
      <w:pPr>
        <w:pStyle w:val="Compact"/>
        <w:numPr>
          <w:ilvl w:val="0"/>
          <w:numId w:val="1001"/>
        </w:numPr>
      </w:pPr>
      <w:r>
        <w:t xml:space="preserve">Limpeza (profilaxia): R$ 180.</w:t>
      </w:r>
    </w:p>
    <w:p>
      <w:pPr>
        <w:pStyle w:val="Compact"/>
        <w:numPr>
          <w:ilvl w:val="0"/>
          <w:numId w:val="1001"/>
        </w:numPr>
      </w:pPr>
      <w:r>
        <w:t xml:space="preserve">Clareamento em consultório: R$ 950 (duas sessões).</w:t>
      </w:r>
    </w:p>
    <w:p>
      <w:pPr>
        <w:pStyle w:val="Compact"/>
        <w:numPr>
          <w:ilvl w:val="0"/>
          <w:numId w:val="1001"/>
        </w:numPr>
      </w:pPr>
      <w:r>
        <w:t xml:space="preserve">Clareamento caseiro com moldeira: R$ 650.</w:t>
      </w:r>
    </w:p>
    <w:p>
      <w:pPr>
        <w:pStyle w:val="Compact"/>
        <w:numPr>
          <w:ilvl w:val="0"/>
          <w:numId w:val="1001"/>
        </w:numPr>
      </w:pPr>
      <w:r>
        <w:t xml:space="preserve">Restauração em resina: a partir de R$ 220 por dente.</w:t>
      </w:r>
    </w:p>
    <w:p>
      <w:pPr>
        <w:pStyle w:val="FirstParagraph"/>
      </w:pPr>
      <w:r>
        <w:t xml:space="preserve">Os valores valem até 31/12/2026.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2026-09-27T20:14:54Z</dcterms:created>
  <dcterms:modified xsi:type="dcterms:W3CDTF">2026-09-27T20:14:54Z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