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83D13" w14:textId="4D9F349B" w:rsidR="0018013F" w:rsidRDefault="0047073F" w:rsidP="0018013F">
      <w:pPr>
        <w:jc w:val="center"/>
        <w:outlineLvl w:val="0"/>
        <w:rPr>
          <w:b/>
        </w:rPr>
      </w:pPr>
      <w:r>
        <w:rPr>
          <w:b/>
        </w:rPr>
        <w:t>Title</w:t>
      </w:r>
    </w:p>
    <w:p w14:paraId="2F9411BF" w14:textId="6B3192A1" w:rsidR="00523F22" w:rsidRPr="002921B3" w:rsidRDefault="002873BB" w:rsidP="0018013F">
      <w:pPr>
        <w:jc w:val="center"/>
        <w:outlineLvl w:val="0"/>
        <w:rPr>
          <w:b/>
        </w:rPr>
      </w:pPr>
      <w:r>
        <w:t>M</w:t>
      </w:r>
      <w:r w:rsidR="0047073F">
        <w:t xml:space="preserve">odeling </w:t>
      </w:r>
      <w:r>
        <w:t xml:space="preserve">the </w:t>
      </w:r>
      <w:r w:rsidR="007540DE">
        <w:t xml:space="preserve">scale-up of </w:t>
      </w:r>
      <w:r>
        <w:t xml:space="preserve">antiretroviral therapy </w:t>
      </w:r>
      <w:r w:rsidR="0047073F">
        <w:t>coverage</w:t>
      </w:r>
      <w:r>
        <w:t xml:space="preserve"> in sub-Saharan Africa</w:t>
      </w:r>
      <w:r w:rsidR="0047073F">
        <w:t xml:space="preserve"> </w:t>
      </w:r>
      <w:r w:rsidR="007540DE">
        <w:t>using</w:t>
      </w:r>
      <w:r w:rsidR="002921B3">
        <w:t xml:space="preserve"> </w:t>
      </w:r>
      <w:r w:rsidR="0047073F">
        <w:t>growth curves</w:t>
      </w:r>
    </w:p>
    <w:p w14:paraId="296EFC07" w14:textId="78656ED6" w:rsidR="0018013F" w:rsidRDefault="0018013F" w:rsidP="002921B3">
      <w:pPr>
        <w:outlineLvl w:val="0"/>
        <w:rPr>
          <w:b/>
        </w:rPr>
      </w:pPr>
    </w:p>
    <w:p w14:paraId="7A03D154" w14:textId="7F8287C3" w:rsidR="0018013F" w:rsidRPr="0018013F" w:rsidRDefault="007540DE" w:rsidP="0018013F">
      <w:pPr>
        <w:jc w:val="center"/>
        <w:outlineLvl w:val="0"/>
        <w:rPr>
          <w:b/>
        </w:rPr>
      </w:pPr>
      <w:r>
        <w:rPr>
          <w:b/>
        </w:rPr>
        <w:t>Authors</w:t>
      </w:r>
    </w:p>
    <w:p w14:paraId="7850E13D" w14:textId="597509BF" w:rsidR="007540DE" w:rsidRPr="002921B3" w:rsidRDefault="007540DE" w:rsidP="0018013F">
      <w:pPr>
        <w:jc w:val="center"/>
        <w:outlineLvl w:val="0"/>
        <w:rPr>
          <w:b/>
          <w:vertAlign w:val="superscript"/>
        </w:rPr>
      </w:pPr>
      <w:r>
        <w:t>Benjamin Bigelow</w:t>
      </w:r>
      <w:r w:rsidR="002921B3">
        <w:t xml:space="preserve"> SM</w:t>
      </w:r>
      <w:r w:rsidR="002921B3">
        <w:rPr>
          <w:vertAlign w:val="superscript"/>
        </w:rPr>
        <w:t>1,2</w:t>
      </w:r>
      <w:r w:rsidR="002921B3">
        <w:t>;</w:t>
      </w:r>
      <w:r>
        <w:t xml:space="preserve"> Stéphane Verguet</w:t>
      </w:r>
      <w:r w:rsidR="002921B3">
        <w:t xml:space="preserve"> PhD</w:t>
      </w:r>
      <w:r w:rsidR="002921B3">
        <w:rPr>
          <w:vertAlign w:val="superscript"/>
        </w:rPr>
        <w:t>1</w:t>
      </w:r>
    </w:p>
    <w:p w14:paraId="63CCF6C1" w14:textId="77777777" w:rsidR="006812F1" w:rsidRDefault="006812F1" w:rsidP="00EC4B7B">
      <w:pPr>
        <w:outlineLvl w:val="0"/>
        <w:rPr>
          <w:b/>
        </w:rPr>
      </w:pPr>
    </w:p>
    <w:p w14:paraId="276107F0" w14:textId="7E9707D4" w:rsidR="0018013F" w:rsidRDefault="007540DE" w:rsidP="0018013F">
      <w:pPr>
        <w:jc w:val="center"/>
        <w:outlineLvl w:val="0"/>
        <w:rPr>
          <w:b/>
        </w:rPr>
      </w:pPr>
      <w:r>
        <w:rPr>
          <w:b/>
        </w:rPr>
        <w:t>Authors’ affiliation</w:t>
      </w:r>
    </w:p>
    <w:p w14:paraId="401149DB" w14:textId="77777777" w:rsidR="0018013F" w:rsidRDefault="002921B3" w:rsidP="0018013F">
      <w:pPr>
        <w:jc w:val="center"/>
        <w:outlineLvl w:val="0"/>
      </w:pPr>
      <w:r>
        <w:rPr>
          <w:vertAlign w:val="superscript"/>
        </w:rPr>
        <w:t xml:space="preserve">1 </w:t>
      </w:r>
      <w:r w:rsidR="007540DE" w:rsidRPr="009A7B0A">
        <w:t>Department of Global Health and Popul</w:t>
      </w:r>
      <w:r w:rsidR="00EC4B7B">
        <w:t xml:space="preserve">ation, Harvard T.H. Chan School </w:t>
      </w:r>
      <w:r w:rsidR="007540DE" w:rsidRPr="009A7B0A">
        <w:t>of Public Health, Boston, MA, USA</w:t>
      </w:r>
    </w:p>
    <w:p w14:paraId="6F9EB8A3" w14:textId="4A8088EA" w:rsidR="007540DE" w:rsidRPr="00EC4B7B" w:rsidRDefault="00EC4B7B" w:rsidP="0018013F">
      <w:pPr>
        <w:jc w:val="center"/>
        <w:outlineLvl w:val="0"/>
        <w:rPr>
          <w:b/>
        </w:rPr>
      </w:pPr>
      <w:r>
        <w:rPr>
          <w:vertAlign w:val="superscript"/>
        </w:rPr>
        <w:t xml:space="preserve">2 </w:t>
      </w:r>
      <w:r>
        <w:t>CareJourney, Arlington, VA, USA</w:t>
      </w:r>
    </w:p>
    <w:p w14:paraId="691B9C13" w14:textId="77777777" w:rsidR="006812F1" w:rsidRDefault="006812F1" w:rsidP="007540DE">
      <w:pPr>
        <w:rPr>
          <w:b/>
        </w:rPr>
      </w:pPr>
    </w:p>
    <w:p w14:paraId="497E2B5F" w14:textId="77777777" w:rsidR="0018013F" w:rsidRDefault="0018013F" w:rsidP="007540DE">
      <w:pPr>
        <w:rPr>
          <w:b/>
        </w:rPr>
      </w:pPr>
    </w:p>
    <w:p w14:paraId="1C8B4BF4" w14:textId="724B3005" w:rsidR="007540DE" w:rsidRDefault="007540DE" w:rsidP="007540DE">
      <w:pPr>
        <w:rPr>
          <w:b/>
        </w:rPr>
      </w:pPr>
      <w:r>
        <w:rPr>
          <w:b/>
        </w:rPr>
        <w:t xml:space="preserve">Correspondence to: </w:t>
      </w:r>
      <w:r w:rsidRPr="009A7B0A">
        <w:t>Stéphane Verguet, Department of Global Health and Population, Harvard T.H. Chan School of Public Health, 665 Huntington Avenue, Boston MA 02115, USA. Email: verguet@hsph.harvard.edu.</w:t>
      </w:r>
    </w:p>
    <w:p w14:paraId="26ED8418" w14:textId="77777777" w:rsidR="007540DE" w:rsidRDefault="007540DE">
      <w:pPr>
        <w:rPr>
          <w:b/>
        </w:rPr>
      </w:pPr>
    </w:p>
    <w:p w14:paraId="4A441902" w14:textId="4923AD2E" w:rsidR="000227CC" w:rsidRDefault="000227CC" w:rsidP="00EC4B7B">
      <w:pPr>
        <w:rPr>
          <w:b/>
        </w:rPr>
      </w:pPr>
    </w:p>
    <w:p w14:paraId="78B798AC" w14:textId="3668EBF5" w:rsidR="0018013F" w:rsidRDefault="0018013F" w:rsidP="00EC4B7B"/>
    <w:p w14:paraId="7230D803" w14:textId="56DBEC44" w:rsidR="0018013F" w:rsidRDefault="0018013F" w:rsidP="00EC4B7B"/>
    <w:p w14:paraId="4E03CC3C" w14:textId="02BF0A58" w:rsidR="0018013F" w:rsidRDefault="0018013F" w:rsidP="00EC4B7B"/>
    <w:p w14:paraId="75FC7EB3" w14:textId="729583BA" w:rsidR="0018013F" w:rsidRDefault="0018013F" w:rsidP="00EC4B7B"/>
    <w:p w14:paraId="6CEB5A4C" w14:textId="77777777" w:rsidR="0018013F" w:rsidRPr="005E46E5" w:rsidRDefault="0018013F" w:rsidP="00EC4B7B"/>
    <w:p w14:paraId="700505B1" w14:textId="0BB83976" w:rsidR="00B4257D" w:rsidRPr="00380ADD" w:rsidRDefault="00B4257D"/>
    <w:p w14:paraId="35812355" w14:textId="363547F3" w:rsidR="00B4257D" w:rsidRDefault="00B4257D">
      <w:pPr>
        <w:rPr>
          <w:b/>
        </w:rPr>
      </w:pPr>
    </w:p>
    <w:p w14:paraId="3516077A" w14:textId="292990C3" w:rsidR="00B4257D" w:rsidRDefault="00B4257D">
      <w:pPr>
        <w:rPr>
          <w:b/>
        </w:rPr>
      </w:pPr>
    </w:p>
    <w:p w14:paraId="409230F9" w14:textId="436D98CC" w:rsidR="00B4257D" w:rsidRDefault="00B4257D">
      <w:pPr>
        <w:rPr>
          <w:b/>
        </w:rPr>
      </w:pPr>
    </w:p>
    <w:p w14:paraId="5E8BA9DE" w14:textId="77777777" w:rsidR="00B4257D" w:rsidRDefault="00B4257D">
      <w:pPr>
        <w:rPr>
          <w:b/>
        </w:rPr>
      </w:pPr>
    </w:p>
    <w:p w14:paraId="46B1EAFC" w14:textId="72889502" w:rsidR="001669C7" w:rsidRDefault="001669C7">
      <w:pPr>
        <w:rPr>
          <w:b/>
        </w:rPr>
      </w:pPr>
    </w:p>
    <w:p w14:paraId="7CC950A1" w14:textId="522727B3" w:rsidR="00C84B76" w:rsidRDefault="00C84B76">
      <w:pPr>
        <w:rPr>
          <w:b/>
        </w:rPr>
      </w:pPr>
    </w:p>
    <w:p w14:paraId="432AD791" w14:textId="5D9CB1D6" w:rsidR="00C84B76" w:rsidRDefault="00C84B76">
      <w:pPr>
        <w:rPr>
          <w:b/>
        </w:rPr>
      </w:pPr>
    </w:p>
    <w:p w14:paraId="5F5F489D" w14:textId="6571A220" w:rsidR="00C84B76" w:rsidRDefault="00C84B76">
      <w:pPr>
        <w:rPr>
          <w:b/>
        </w:rPr>
      </w:pPr>
    </w:p>
    <w:p w14:paraId="53657F77" w14:textId="77D7C9E6" w:rsidR="00C84B76" w:rsidRDefault="00C84B76">
      <w:pPr>
        <w:rPr>
          <w:b/>
        </w:rPr>
      </w:pPr>
    </w:p>
    <w:p w14:paraId="2C697C4F" w14:textId="65D2B0FF" w:rsidR="00C84B76" w:rsidRDefault="00C84B76">
      <w:pPr>
        <w:rPr>
          <w:b/>
        </w:rPr>
      </w:pPr>
    </w:p>
    <w:p w14:paraId="5EDD1FB8" w14:textId="6416C410" w:rsidR="00C84B76" w:rsidRDefault="00C84B76">
      <w:pPr>
        <w:rPr>
          <w:b/>
        </w:rPr>
      </w:pPr>
    </w:p>
    <w:p w14:paraId="586C7B11" w14:textId="54BA3289" w:rsidR="00C84B76" w:rsidRDefault="00C84B76">
      <w:pPr>
        <w:rPr>
          <w:b/>
        </w:rPr>
      </w:pPr>
    </w:p>
    <w:p w14:paraId="0631992D" w14:textId="37CDF9F0" w:rsidR="00C84B76" w:rsidRDefault="00C84B76">
      <w:pPr>
        <w:rPr>
          <w:b/>
        </w:rPr>
      </w:pPr>
    </w:p>
    <w:p w14:paraId="73FA3491" w14:textId="60BF8A59" w:rsidR="00C84B76" w:rsidRDefault="00C84B76">
      <w:pPr>
        <w:rPr>
          <w:b/>
        </w:rPr>
      </w:pPr>
    </w:p>
    <w:p w14:paraId="2F2B52EC" w14:textId="2C18F25D" w:rsidR="00C84B76" w:rsidRDefault="00C84B76">
      <w:pPr>
        <w:rPr>
          <w:b/>
        </w:rPr>
      </w:pPr>
    </w:p>
    <w:p w14:paraId="5416B054" w14:textId="0577587E" w:rsidR="00C84B76" w:rsidRDefault="00C84B76">
      <w:pPr>
        <w:rPr>
          <w:b/>
        </w:rPr>
      </w:pPr>
    </w:p>
    <w:p w14:paraId="4E8A824F" w14:textId="32B5F4CE" w:rsidR="00C84B76" w:rsidRDefault="00C84B76">
      <w:pPr>
        <w:rPr>
          <w:b/>
        </w:rPr>
      </w:pPr>
    </w:p>
    <w:p w14:paraId="097D5017" w14:textId="27764040" w:rsidR="00C84B76" w:rsidRDefault="00C84B76">
      <w:pPr>
        <w:rPr>
          <w:b/>
        </w:rPr>
      </w:pPr>
    </w:p>
    <w:p w14:paraId="7E8B8C12" w14:textId="4A8990EA" w:rsidR="00C84B76" w:rsidRDefault="00C84B76">
      <w:pPr>
        <w:rPr>
          <w:b/>
        </w:rPr>
      </w:pPr>
    </w:p>
    <w:p w14:paraId="1A893CF3" w14:textId="77777777" w:rsidR="00C84B76" w:rsidRDefault="00C84B76">
      <w:pPr>
        <w:rPr>
          <w:b/>
        </w:rPr>
      </w:pPr>
    </w:p>
    <w:p w14:paraId="32909D4A" w14:textId="77777777" w:rsidR="001669C7" w:rsidRDefault="001669C7">
      <w:pPr>
        <w:rPr>
          <w:b/>
        </w:rPr>
      </w:pPr>
    </w:p>
    <w:p w14:paraId="40C60238" w14:textId="77777777" w:rsidR="008F1884" w:rsidRDefault="008F1884" w:rsidP="00280DA0">
      <w:pPr>
        <w:outlineLvl w:val="0"/>
        <w:rPr>
          <w:b/>
        </w:rPr>
      </w:pPr>
    </w:p>
    <w:p w14:paraId="546E2DB4" w14:textId="24860312" w:rsidR="0047073F" w:rsidRDefault="0047073F" w:rsidP="008F1884">
      <w:pPr>
        <w:spacing w:line="480" w:lineRule="auto"/>
        <w:outlineLvl w:val="0"/>
      </w:pPr>
      <w:r>
        <w:rPr>
          <w:b/>
        </w:rPr>
        <w:lastRenderedPageBreak/>
        <w:t>Abstract</w:t>
      </w:r>
    </w:p>
    <w:p w14:paraId="21DC46C2" w14:textId="0664F89F" w:rsidR="0047073F" w:rsidRPr="00EC169B" w:rsidRDefault="006C3722" w:rsidP="0047073F">
      <w:pPr>
        <w:spacing w:line="480" w:lineRule="auto"/>
      </w:pPr>
      <w:r>
        <w:rPr>
          <w:i/>
        </w:rPr>
        <w:t xml:space="preserve">Background: </w:t>
      </w:r>
      <w:r>
        <w:t>The rate of change in key health</w:t>
      </w:r>
      <w:r w:rsidR="005558D0">
        <w:t xml:space="preserve"> </w:t>
      </w:r>
      <w:r>
        <w:t>indicators is an understudied area of health system performance. Rates of change</w:t>
      </w:r>
      <w:r w:rsidR="005558D0">
        <w:t xml:space="preserve"> in health services indicators</w:t>
      </w:r>
      <w:r>
        <w:t xml:space="preserve"> can augment traditional measures that </w:t>
      </w:r>
      <w:r w:rsidR="005558D0">
        <w:t xml:space="preserve">usually solely </w:t>
      </w:r>
      <w:r>
        <w:t>involve the absolute level of performance</w:t>
      </w:r>
      <w:r w:rsidR="005558D0">
        <w:t xml:space="preserve"> in those indicators</w:t>
      </w:r>
      <w:r>
        <w:t xml:space="preserve">. Growths curves are a class of mathematical models that have been used in </w:t>
      </w:r>
      <w:r w:rsidR="005558D0">
        <w:t>many</w:t>
      </w:r>
      <w:r>
        <w:t xml:space="preserve"> </w:t>
      </w:r>
      <w:r w:rsidR="005558D0">
        <w:t>academic disciplines</w:t>
      </w:r>
      <w:r>
        <w:t xml:space="preserve"> to parameterize dynamic phenomena and </w:t>
      </w:r>
      <w:r w:rsidR="005558D0">
        <w:t xml:space="preserve">to </w:t>
      </w:r>
      <w:r>
        <w:t>estimate rates of change</w:t>
      </w:r>
      <w:r w:rsidR="005558D0">
        <w:t xml:space="preserve"> summarizing these phenomena</w:t>
      </w:r>
      <w:r>
        <w:t>. However, these models are not commonly used in global health.</w:t>
      </w:r>
      <w:r w:rsidR="005558D0">
        <w:t xml:space="preserve"> We describe the changes over time in </w:t>
      </w:r>
      <w:r w:rsidR="002873BB">
        <w:t xml:space="preserve">antiretroviral therapy (ART) </w:t>
      </w:r>
      <w:r w:rsidR="00EC169B">
        <w:t xml:space="preserve">coverage at the country level </w:t>
      </w:r>
      <w:r w:rsidR="002873BB">
        <w:t xml:space="preserve">in sub-Saharan Africa </w:t>
      </w:r>
      <w:r w:rsidR="00EC169B">
        <w:t xml:space="preserve">using </w:t>
      </w:r>
      <w:r w:rsidR="002873BB">
        <w:t xml:space="preserve">mathematical </w:t>
      </w:r>
      <w:r w:rsidR="005558D0">
        <w:t>modeling that builds on growth curves.</w:t>
      </w:r>
    </w:p>
    <w:p w14:paraId="6B7589AC" w14:textId="10240F81" w:rsidR="006C3722" w:rsidRDefault="006C3722" w:rsidP="006C3722">
      <w:pPr>
        <w:spacing w:line="480" w:lineRule="auto"/>
      </w:pPr>
      <w:r>
        <w:rPr>
          <w:i/>
        </w:rPr>
        <w:t>Method</w:t>
      </w:r>
      <w:r w:rsidR="00380ADD">
        <w:rPr>
          <w:i/>
        </w:rPr>
        <w:t>s</w:t>
      </w:r>
      <w:r w:rsidR="00EC169B">
        <w:rPr>
          <w:i/>
        </w:rPr>
        <w:t xml:space="preserve">: </w:t>
      </w:r>
      <w:r w:rsidR="005558D0">
        <w:t>We used</w:t>
      </w:r>
      <w:r w:rsidRPr="006C3722">
        <w:t xml:space="preserve"> publicly available data on antiretroviral therapy (ART) coverage levels from 2000-</w:t>
      </w:r>
      <w:r w:rsidRPr="005558D0">
        <w:rPr>
          <w:highlight w:val="yellow"/>
        </w:rPr>
        <w:t>2015</w:t>
      </w:r>
      <w:r w:rsidRPr="006C3722">
        <w:t xml:space="preserve"> in </w:t>
      </w:r>
      <w:r w:rsidRPr="005558D0">
        <w:rPr>
          <w:highlight w:val="yellow"/>
        </w:rPr>
        <w:t>39</w:t>
      </w:r>
      <w:r w:rsidRPr="006C3722">
        <w:t xml:space="preserve"> sub-Saharan African countries, </w:t>
      </w:r>
      <w:r w:rsidR="005558D0">
        <w:t xml:space="preserve">and </w:t>
      </w:r>
      <w:r w:rsidRPr="006C3722">
        <w:t>we develop</w:t>
      </w:r>
      <w:r w:rsidR="005558D0">
        <w:t>ed</w:t>
      </w:r>
      <w:r w:rsidRPr="006C3722">
        <w:t xml:space="preserve"> two ordinary differential equations models, the Gompertz and logistic growth models, that allow</w:t>
      </w:r>
      <w:r w:rsidR="005558D0">
        <w:t>ed</w:t>
      </w:r>
      <w:r w:rsidRPr="006C3722">
        <w:t xml:space="preserve"> for the estimation of parameters related to the scale-up </w:t>
      </w:r>
      <w:r w:rsidR="005558D0">
        <w:t>and rates of change in</w:t>
      </w:r>
      <w:r w:rsidRPr="006C3722">
        <w:t xml:space="preserve"> ART</w:t>
      </w:r>
      <w:r w:rsidR="005558D0">
        <w:t xml:space="preserve"> coverage</w:t>
      </w:r>
      <w:r w:rsidRPr="006C3722">
        <w:t xml:space="preserve">. </w:t>
      </w:r>
      <w:r w:rsidR="00194171">
        <w:t>W</w:t>
      </w:r>
      <w:r w:rsidRPr="006C3722">
        <w:t>e fit</w:t>
      </w:r>
      <w:r w:rsidR="00194171">
        <w:t>ted</w:t>
      </w:r>
      <w:r w:rsidRPr="006C3722">
        <w:t xml:space="preserve"> the two models to ART coverage data for each country</w:t>
      </w:r>
      <w:r w:rsidR="00194171">
        <w:t>, and we assessed</w:t>
      </w:r>
      <w:r w:rsidRPr="006C3722">
        <w:t xml:space="preserve"> </w:t>
      </w:r>
      <w:r w:rsidR="00194171" w:rsidRPr="006C3722">
        <w:t>goodness of fit using the Bayesian information criterion (BIC).</w:t>
      </w:r>
      <w:r w:rsidR="00B75372">
        <w:t xml:space="preserve"> </w:t>
      </w:r>
      <w:r w:rsidRPr="006C3722">
        <w:t>We rank</w:t>
      </w:r>
      <w:r w:rsidR="00194171">
        <w:t>ed</w:t>
      </w:r>
      <w:r w:rsidRPr="006C3722">
        <w:t xml:space="preserve"> countries based on their estimated performance drawn from the fitted parameters of the models.</w:t>
      </w:r>
    </w:p>
    <w:p w14:paraId="4A301888" w14:textId="4735ACE3" w:rsidR="00EC169B" w:rsidRPr="00BB2518" w:rsidRDefault="006C3722" w:rsidP="006C3722">
      <w:pPr>
        <w:spacing w:line="480" w:lineRule="auto"/>
      </w:pPr>
      <w:r>
        <w:rPr>
          <w:i/>
        </w:rPr>
        <w:t>Results</w:t>
      </w:r>
      <w:r w:rsidR="00EC169B">
        <w:rPr>
          <w:i/>
        </w:rPr>
        <w:t xml:space="preserve">: </w:t>
      </w:r>
      <w:r w:rsidR="00B75372">
        <w:t>Based on the BIC, the Gompertz model provided a better fit than the logistic growth model for most countries</w:t>
      </w:r>
      <w:r w:rsidR="00B75372">
        <w:t xml:space="preserve"> examined.</w:t>
      </w:r>
      <w:r w:rsidR="00B75372">
        <w:t xml:space="preserve"> </w:t>
      </w:r>
      <w:r w:rsidR="002873BB">
        <w:t>With the</w:t>
      </w:r>
      <w:r w:rsidR="00DE3923">
        <w:t xml:space="preserve"> Gompertz model, </w:t>
      </w:r>
      <w:r w:rsidR="00B75372">
        <w:t>we</w:t>
      </w:r>
      <w:r w:rsidR="00BB2518">
        <w:t xml:space="preserve"> estimated rate</w:t>
      </w:r>
      <w:r w:rsidR="00B75372">
        <w:t>s</w:t>
      </w:r>
      <w:r w:rsidR="00BB2518">
        <w:t xml:space="preserve"> of scale-up </w:t>
      </w:r>
      <w:r w:rsidR="00B75372">
        <w:t>of</w:t>
      </w:r>
      <w:r w:rsidR="00BB2518">
        <w:t xml:space="preserve"> ART coverage rang</w:t>
      </w:r>
      <w:r w:rsidR="00B75372">
        <w:t>ing</w:t>
      </w:r>
      <w:r w:rsidR="00BB2518">
        <w:t xml:space="preserve"> from </w:t>
      </w:r>
      <w:r w:rsidR="00B75372" w:rsidRPr="00537006">
        <w:rPr>
          <w:highlight w:val="yellow"/>
        </w:rPr>
        <w:t>2</w:t>
      </w:r>
      <w:r w:rsidR="00DE3923" w:rsidRPr="00537006">
        <w:rPr>
          <w:highlight w:val="yellow"/>
        </w:rPr>
        <w:t>.0</w:t>
      </w:r>
      <w:r w:rsidR="00B75372" w:rsidRPr="00537006">
        <w:rPr>
          <w:highlight w:val="yellow"/>
        </w:rPr>
        <w:t xml:space="preserve"> percentage points per year and lower (Somalia, Sudan, and Mauritania)</w:t>
      </w:r>
      <w:r w:rsidR="00DE3923" w:rsidRPr="00537006">
        <w:rPr>
          <w:highlight w:val="yellow"/>
        </w:rPr>
        <w:t xml:space="preserve"> to </w:t>
      </w:r>
      <w:r w:rsidR="00B75372" w:rsidRPr="00537006">
        <w:rPr>
          <w:highlight w:val="yellow"/>
        </w:rPr>
        <w:t>above 8</w:t>
      </w:r>
      <w:r w:rsidR="00DE3923" w:rsidRPr="00537006">
        <w:rPr>
          <w:highlight w:val="yellow"/>
        </w:rPr>
        <w:t xml:space="preserve"> percentage points per year</w:t>
      </w:r>
      <w:r w:rsidR="00B75372" w:rsidRPr="00537006">
        <w:rPr>
          <w:highlight w:val="yellow"/>
        </w:rPr>
        <w:t xml:space="preserve"> and higher (Benin, Rwanda, and Namibia)</w:t>
      </w:r>
      <w:r w:rsidR="00DE3923" w:rsidRPr="00537006">
        <w:rPr>
          <w:highlight w:val="yellow"/>
        </w:rPr>
        <w:t>.</w:t>
      </w:r>
      <w:r w:rsidR="001F0C9A">
        <w:t xml:space="preserve"> </w:t>
      </w:r>
    </w:p>
    <w:p w14:paraId="10D6DE3E" w14:textId="181EE2E1" w:rsidR="00B75372" w:rsidRDefault="00EC169B" w:rsidP="006C3722">
      <w:pPr>
        <w:spacing w:line="480" w:lineRule="auto"/>
      </w:pPr>
      <w:r>
        <w:rPr>
          <w:i/>
        </w:rPr>
        <w:t xml:space="preserve">Conclusions: </w:t>
      </w:r>
      <w:r w:rsidR="0005578B">
        <w:t xml:space="preserve">Growth curve models </w:t>
      </w:r>
      <w:r w:rsidR="00B75372">
        <w:t>can provide benchmarks to assess performance in ART coverage, and can procure a useful approach and metrics for parameterizing country performance in scaling up health services.</w:t>
      </w:r>
    </w:p>
    <w:p w14:paraId="21C57A2E" w14:textId="2182FF5C" w:rsidR="0018013F" w:rsidRPr="006C3722" w:rsidRDefault="00371A8C" w:rsidP="001B350D">
      <w:pPr>
        <w:spacing w:line="480" w:lineRule="auto"/>
      </w:pPr>
      <w:r>
        <w:br w:type="page"/>
      </w:r>
      <w:r w:rsidR="0018013F" w:rsidRPr="006C3722">
        <w:rPr>
          <w:b/>
        </w:rPr>
        <w:lastRenderedPageBreak/>
        <w:t xml:space="preserve">Keywords: </w:t>
      </w:r>
      <w:r w:rsidR="0018013F" w:rsidRPr="006C3722">
        <w:t>Health systems; health services indicators; scale-up; HIV/AIDS; antiretroviral therapy; growth curves; ordinary differential equations</w:t>
      </w:r>
      <w:r w:rsidR="00B75372">
        <w:t>; rates of change.</w:t>
      </w:r>
    </w:p>
    <w:p w14:paraId="2FECFA5F" w14:textId="77777777" w:rsidR="0018013F" w:rsidRDefault="0018013F" w:rsidP="0018013F">
      <w:pPr>
        <w:rPr>
          <w:b/>
        </w:rPr>
      </w:pPr>
    </w:p>
    <w:p w14:paraId="2EA32F0F" w14:textId="77777777" w:rsidR="00B75372" w:rsidRDefault="00B75372" w:rsidP="001B350D">
      <w:pPr>
        <w:spacing w:line="480" w:lineRule="auto"/>
        <w:rPr>
          <w:b/>
        </w:rPr>
      </w:pPr>
    </w:p>
    <w:p w14:paraId="314DE92D" w14:textId="03FE25B7" w:rsidR="0018013F" w:rsidRDefault="0018013F" w:rsidP="001B350D">
      <w:pPr>
        <w:spacing w:line="480" w:lineRule="auto"/>
      </w:pPr>
      <w:r>
        <w:rPr>
          <w:b/>
        </w:rPr>
        <w:t xml:space="preserve">Paper context: </w:t>
      </w:r>
      <w:r w:rsidRPr="00380ADD">
        <w:t xml:space="preserve">The rate of change in key health indicators is an understudied area of health system performance. Rates of change </w:t>
      </w:r>
      <w:r w:rsidR="00B75372">
        <w:t xml:space="preserve">in health services indicators </w:t>
      </w:r>
      <w:r w:rsidRPr="00380ADD">
        <w:t xml:space="preserve">can augment traditional measures that involve the absolute level of performance. This article reports on performance in the rate of change of antiretroviral therapy for </w:t>
      </w:r>
      <w:r w:rsidRPr="00B75372">
        <w:rPr>
          <w:highlight w:val="yellow"/>
        </w:rPr>
        <w:t>39</w:t>
      </w:r>
      <w:r w:rsidRPr="00380ADD">
        <w:t xml:space="preserve"> countries in sub-Saharan Africa over the period 2000-2</w:t>
      </w:r>
      <w:r w:rsidRPr="00B75372">
        <w:rPr>
          <w:highlight w:val="yellow"/>
        </w:rPr>
        <w:t>016</w:t>
      </w:r>
      <w:r w:rsidRPr="00380ADD">
        <w:t xml:space="preserve"> using growth curve models.</w:t>
      </w:r>
      <w:r>
        <w:t xml:space="preserve"> </w:t>
      </w:r>
      <w:r w:rsidRPr="00380ADD">
        <w:t xml:space="preserve">Growth curve models could represent a </w:t>
      </w:r>
      <w:r w:rsidR="00B75372">
        <w:t>useful</w:t>
      </w:r>
      <w:r w:rsidRPr="00380ADD">
        <w:t xml:space="preserve"> </w:t>
      </w:r>
      <w:r w:rsidR="00B75372">
        <w:t>approach</w:t>
      </w:r>
      <w:r w:rsidRPr="00380ADD">
        <w:t xml:space="preserve"> for policymakers </w:t>
      </w:r>
      <w:r w:rsidR="00B75372">
        <w:t xml:space="preserve">and researchers interested in </w:t>
      </w:r>
      <w:r w:rsidRPr="00380ADD">
        <w:t>understanding health system performance.</w:t>
      </w:r>
    </w:p>
    <w:p w14:paraId="7717A65F" w14:textId="61568AB6" w:rsidR="001B350D" w:rsidRDefault="001B350D" w:rsidP="001B350D">
      <w:pPr>
        <w:spacing w:line="480" w:lineRule="auto"/>
      </w:pPr>
    </w:p>
    <w:p w14:paraId="5014603A" w14:textId="38BC716E" w:rsidR="001B350D" w:rsidRDefault="001B350D" w:rsidP="001B350D">
      <w:pPr>
        <w:spacing w:line="480" w:lineRule="auto"/>
      </w:pPr>
    </w:p>
    <w:p w14:paraId="30585311" w14:textId="47777F4E" w:rsidR="001B350D" w:rsidRDefault="001B350D" w:rsidP="001B350D">
      <w:pPr>
        <w:spacing w:line="480" w:lineRule="auto"/>
      </w:pPr>
    </w:p>
    <w:p w14:paraId="4E5B9BCB" w14:textId="2B748706" w:rsidR="001B350D" w:rsidRDefault="001B350D" w:rsidP="001B350D">
      <w:pPr>
        <w:spacing w:line="480" w:lineRule="auto"/>
      </w:pPr>
    </w:p>
    <w:p w14:paraId="306CC793" w14:textId="77777777" w:rsidR="001B350D" w:rsidRPr="00380ADD" w:rsidRDefault="001B350D" w:rsidP="001B350D">
      <w:pPr>
        <w:spacing w:line="480" w:lineRule="auto"/>
      </w:pPr>
    </w:p>
    <w:p w14:paraId="7C9CADD3" w14:textId="43BE6EA8" w:rsidR="0018013F" w:rsidRDefault="0018013F" w:rsidP="006C3722">
      <w:pPr>
        <w:spacing w:line="480" w:lineRule="auto"/>
      </w:pPr>
    </w:p>
    <w:p w14:paraId="7BA8051C" w14:textId="77D8FA74" w:rsidR="001B350D" w:rsidRDefault="001B350D" w:rsidP="006C3722">
      <w:pPr>
        <w:spacing w:line="480" w:lineRule="auto"/>
      </w:pPr>
    </w:p>
    <w:p w14:paraId="5A0D3AEF" w14:textId="489ADA56" w:rsidR="001B350D" w:rsidRDefault="001B350D" w:rsidP="006C3722">
      <w:pPr>
        <w:spacing w:line="480" w:lineRule="auto"/>
      </w:pPr>
    </w:p>
    <w:p w14:paraId="77B6E437" w14:textId="3E5DFD0E" w:rsidR="001B350D" w:rsidRDefault="001B350D" w:rsidP="006C3722">
      <w:pPr>
        <w:spacing w:line="480" w:lineRule="auto"/>
      </w:pPr>
    </w:p>
    <w:p w14:paraId="36C1CB4B" w14:textId="43A0C17B" w:rsidR="001B350D" w:rsidRDefault="001B350D" w:rsidP="006C3722">
      <w:pPr>
        <w:spacing w:line="480" w:lineRule="auto"/>
      </w:pPr>
    </w:p>
    <w:p w14:paraId="092B5F3B" w14:textId="5FF12237" w:rsidR="001B350D" w:rsidRDefault="001B350D" w:rsidP="006C3722">
      <w:pPr>
        <w:spacing w:line="480" w:lineRule="auto"/>
      </w:pPr>
    </w:p>
    <w:p w14:paraId="40BA7245" w14:textId="4BBE962F" w:rsidR="001B350D" w:rsidRDefault="001B350D" w:rsidP="006C3722">
      <w:pPr>
        <w:spacing w:line="480" w:lineRule="auto"/>
      </w:pPr>
    </w:p>
    <w:p w14:paraId="69947019" w14:textId="7E9D65EA" w:rsidR="001B350D" w:rsidRDefault="001B350D" w:rsidP="006C3722">
      <w:pPr>
        <w:spacing w:line="480" w:lineRule="auto"/>
      </w:pPr>
    </w:p>
    <w:p w14:paraId="775BC55B" w14:textId="16AF1DEF" w:rsidR="001B350D" w:rsidRDefault="001B350D" w:rsidP="006C3722">
      <w:pPr>
        <w:spacing w:line="480" w:lineRule="auto"/>
      </w:pPr>
    </w:p>
    <w:p w14:paraId="62A0F2CE" w14:textId="448BEADF" w:rsidR="00BB6966" w:rsidRDefault="004D5A62" w:rsidP="00280DA0">
      <w:pPr>
        <w:spacing w:line="480" w:lineRule="auto"/>
        <w:outlineLvl w:val="0"/>
        <w:rPr>
          <w:b/>
        </w:rPr>
      </w:pPr>
      <w:r>
        <w:rPr>
          <w:b/>
        </w:rPr>
        <w:lastRenderedPageBreak/>
        <w:t>Introduction</w:t>
      </w:r>
    </w:p>
    <w:p w14:paraId="61E7D966" w14:textId="2D054F15" w:rsidR="00CD3F50" w:rsidRDefault="00722C00" w:rsidP="00BB6966">
      <w:pPr>
        <w:spacing w:line="480" w:lineRule="auto"/>
      </w:pPr>
      <w:r>
        <w:t>Health</w:t>
      </w:r>
      <w:r w:rsidR="00BB6966">
        <w:t xml:space="preserve"> policymakers </w:t>
      </w:r>
      <w:r w:rsidR="00D1757B">
        <w:t>are increasingly concerned</w:t>
      </w:r>
      <w:r w:rsidR="00BB6966">
        <w:t xml:space="preserve"> with measuring the effectiveness</w:t>
      </w:r>
      <w:r w:rsidR="00984F46">
        <w:t>, efficiency,</w:t>
      </w:r>
      <w:r w:rsidR="00BB6966">
        <w:t xml:space="preserve"> and overall performance of </w:t>
      </w:r>
      <w:r w:rsidR="003C6533">
        <w:t xml:space="preserve">national </w:t>
      </w:r>
      <w:r w:rsidR="00BB6966">
        <w:t>health systems</w:t>
      </w:r>
      <w:r>
        <w:t xml:space="preserve"> in a comparable manner</w:t>
      </w:r>
      <w:r w:rsidR="00BB6966">
        <w:t xml:space="preserve">. </w:t>
      </w:r>
      <w:r>
        <w:t xml:space="preserve">Measuring performance requires relating the attainment of specific health system objectives, such as the improvement of population health and of its distribution, to the dedicated financial resources and expenditures in a country [1-3]. </w:t>
      </w:r>
      <w:r w:rsidR="008B13EB">
        <w:t xml:space="preserve">Additionally, </w:t>
      </w:r>
      <w:r w:rsidR="00C929DE">
        <w:t xml:space="preserve">comparable </w:t>
      </w:r>
      <w:r w:rsidR="00984F46">
        <w:t>data</w:t>
      </w:r>
      <w:r w:rsidR="00C929DE">
        <w:t xml:space="preserve"> on </w:t>
      </w:r>
      <w:r w:rsidR="00984F46">
        <w:t xml:space="preserve">health system </w:t>
      </w:r>
      <w:r w:rsidR="00C929DE">
        <w:t>performance provide a foundation for</w:t>
      </w:r>
      <w:r>
        <w:t xml:space="preserve"> subsequent</w:t>
      </w:r>
      <w:r w:rsidR="00C929DE">
        <w:t xml:space="preserve"> analyses of variation across countries, </w:t>
      </w:r>
      <w:r>
        <w:t xml:space="preserve">ultimately </w:t>
      </w:r>
      <w:r w:rsidR="00C929DE">
        <w:t xml:space="preserve">strengthening the evidence base </w:t>
      </w:r>
      <w:r>
        <w:t xml:space="preserve">for understanding variations in performance and </w:t>
      </w:r>
      <w:r w:rsidR="00C929DE">
        <w:t xml:space="preserve">for policy </w:t>
      </w:r>
      <w:r w:rsidR="00984F46">
        <w:t xml:space="preserve">implementation and </w:t>
      </w:r>
      <w:r w:rsidR="00C929DE">
        <w:t>reform</w:t>
      </w:r>
      <w:r w:rsidR="001B350D">
        <w:t xml:space="preserve"> [1]</w:t>
      </w:r>
      <w:r w:rsidR="00C929DE">
        <w:t>.</w:t>
      </w:r>
      <w:r w:rsidR="001B350D">
        <w:t xml:space="preserve"> </w:t>
      </w:r>
      <w:r w:rsidR="00D1757B">
        <w:t>S</w:t>
      </w:r>
      <w:r w:rsidR="008B13EB">
        <w:t xml:space="preserve">takeholders </w:t>
      </w:r>
      <w:r w:rsidR="00C929DE">
        <w:t>can</w:t>
      </w:r>
      <w:r w:rsidR="00512541">
        <w:t xml:space="preserve"> </w:t>
      </w:r>
      <w:r>
        <w:t xml:space="preserve">then </w:t>
      </w:r>
      <w:r w:rsidR="00512541">
        <w:t xml:space="preserve">use </w:t>
      </w:r>
      <w:r>
        <w:t xml:space="preserve">such </w:t>
      </w:r>
      <w:r w:rsidR="00512541">
        <w:t>information to</w:t>
      </w:r>
      <w:r w:rsidR="008B13EB">
        <w:t xml:space="preserve"> better </w:t>
      </w:r>
      <w:r w:rsidR="00332853">
        <w:t>analyze how p</w:t>
      </w:r>
      <w:r w:rsidR="00FD4109">
        <w:t>erformance o</w:t>
      </w:r>
      <w:r w:rsidR="003C6533">
        <w:t>n</w:t>
      </w:r>
      <w:r w:rsidR="00FD4109">
        <w:t xml:space="preserve"> </w:t>
      </w:r>
      <w:r>
        <w:t xml:space="preserve">stated </w:t>
      </w:r>
      <w:r w:rsidR="00FD4109">
        <w:t xml:space="preserve">objectives </w:t>
      </w:r>
      <w:r w:rsidR="00332853">
        <w:t>may</w:t>
      </w:r>
      <w:r w:rsidR="00FD4109">
        <w:t xml:space="preserve"> vary </w:t>
      </w:r>
      <w:r w:rsidR="00332853">
        <w:t>with</w:t>
      </w:r>
      <w:r w:rsidR="00FD4109">
        <w:t xml:space="preserve"> several factors, including how the health system is organized, financed, and regulated</w:t>
      </w:r>
      <w:r w:rsidR="001B350D">
        <w:t xml:space="preserve"> [2</w:t>
      </w:r>
      <w:r>
        <w:t>,3</w:t>
      </w:r>
      <w:r w:rsidR="001B350D">
        <w:t>]</w:t>
      </w:r>
      <w:r w:rsidR="00FD4109">
        <w:t>.</w:t>
      </w:r>
      <w:r w:rsidR="00C02A0D">
        <w:t xml:space="preserve"> </w:t>
      </w:r>
    </w:p>
    <w:p w14:paraId="46BE34B8" w14:textId="77777777" w:rsidR="004D5A62" w:rsidRDefault="004D5A62" w:rsidP="00BB6966">
      <w:pPr>
        <w:spacing w:line="480" w:lineRule="auto"/>
        <w:rPr>
          <w:b/>
        </w:rPr>
      </w:pPr>
    </w:p>
    <w:p w14:paraId="1048D4A8" w14:textId="444ED701" w:rsidR="00041FCA" w:rsidRDefault="00722C00" w:rsidP="00BB6966">
      <w:pPr>
        <w:spacing w:line="480" w:lineRule="auto"/>
      </w:pPr>
      <w:r>
        <w:t>T</w:t>
      </w:r>
      <w:r w:rsidR="00C929DE">
        <w:t xml:space="preserve">he question of how to evaluate </w:t>
      </w:r>
      <w:r>
        <w:t xml:space="preserve">health </w:t>
      </w:r>
      <w:r w:rsidR="00FF6D68">
        <w:t xml:space="preserve">system </w:t>
      </w:r>
      <w:r w:rsidR="00C929DE">
        <w:t xml:space="preserve">performance </w:t>
      </w:r>
      <w:r w:rsidR="00D1757B">
        <w:t>is difficult</w:t>
      </w:r>
      <w:r w:rsidR="00C929DE">
        <w:t>, as it requires choices</w:t>
      </w:r>
      <w:r w:rsidR="00D1757B">
        <w:t xml:space="preserve"> to</w:t>
      </w:r>
      <w:r w:rsidR="00C929DE">
        <w:t xml:space="preserve"> be made </w:t>
      </w:r>
      <w:r w:rsidR="004A63FD">
        <w:t xml:space="preserve">about what to measure (e.g. </w:t>
      </w:r>
      <w:r>
        <w:t xml:space="preserve">which </w:t>
      </w:r>
      <w:r w:rsidR="004A63FD">
        <w:t>outcomes</w:t>
      </w:r>
      <w:r>
        <w:t>, outputs, and</w:t>
      </w:r>
      <w:r w:rsidR="00FF6D68">
        <w:t xml:space="preserve"> </w:t>
      </w:r>
      <w:r w:rsidR="004A63FD">
        <w:t>cost</w:t>
      </w:r>
      <w:r w:rsidR="00FF6D68">
        <w:t>s</w:t>
      </w:r>
      <w:r w:rsidR="004A63FD">
        <w:t xml:space="preserve">), how to measure (e.g. </w:t>
      </w:r>
      <w:r w:rsidR="00FF6D68">
        <w:t xml:space="preserve">with </w:t>
      </w:r>
      <w:r>
        <w:t xml:space="preserve">which </w:t>
      </w:r>
      <w:r w:rsidR="004A63FD">
        <w:t xml:space="preserve">administrative </w:t>
      </w:r>
      <w:r>
        <w:t xml:space="preserve">data, </w:t>
      </w:r>
      <w:r w:rsidR="00D1757B">
        <w:t xml:space="preserve">household </w:t>
      </w:r>
      <w:r w:rsidR="004A63FD">
        <w:t xml:space="preserve">surveys), and how to present the results (e.g. </w:t>
      </w:r>
      <w:r>
        <w:t xml:space="preserve">with which </w:t>
      </w:r>
      <w:r w:rsidR="004A63FD">
        <w:t>individual or composite indicators)</w:t>
      </w:r>
      <w:r w:rsidR="00C929DE">
        <w:t>.</w:t>
      </w:r>
      <w:r w:rsidR="008664F2">
        <w:t xml:space="preserve"> For example,</w:t>
      </w:r>
      <w:r w:rsidR="00BB6966">
        <w:t xml:space="preserve"> </w:t>
      </w:r>
      <w:r w:rsidR="008664F2">
        <w:t>i</w:t>
      </w:r>
      <w:r w:rsidR="00BB6966">
        <w:t xml:space="preserve">n its </w:t>
      </w:r>
      <w:r w:rsidR="00BB6966" w:rsidRPr="006E690B">
        <w:t>World Health Report</w:t>
      </w:r>
      <w:r w:rsidR="00B97CCB">
        <w:t xml:space="preserve"> (WHR)</w:t>
      </w:r>
      <w:r w:rsidR="00BB6966" w:rsidRPr="006E690B">
        <w:t xml:space="preserve"> 2000</w:t>
      </w:r>
      <w:r w:rsidR="00BB6966">
        <w:t xml:space="preserve">, the World Health Organization (WHO) defined </w:t>
      </w:r>
      <w:r w:rsidR="008664F2">
        <w:t xml:space="preserve">health system </w:t>
      </w:r>
      <w:r w:rsidR="00BB6966">
        <w:t xml:space="preserve">performance along </w:t>
      </w:r>
      <w:r w:rsidR="006E690B">
        <w:t xml:space="preserve">several </w:t>
      </w:r>
      <w:r w:rsidR="00BB6966">
        <w:t xml:space="preserve">objectives – </w:t>
      </w:r>
      <w:r w:rsidR="006E690B">
        <w:t xml:space="preserve">including </w:t>
      </w:r>
      <w:r w:rsidR="00BB6966">
        <w:t xml:space="preserve">overall health improvement, responsiveness to population expectations, </w:t>
      </w:r>
      <w:r w:rsidR="006E690B">
        <w:t xml:space="preserve">financial protection, </w:t>
      </w:r>
      <w:r w:rsidR="00BB6966">
        <w:t>and the level of health inequalities – and then</w:t>
      </w:r>
      <w:r>
        <w:t xml:space="preserve"> it</w:t>
      </w:r>
      <w:r w:rsidR="00BB6966">
        <w:t xml:space="preserve"> ranked</w:t>
      </w:r>
      <w:r w:rsidR="00F37D17">
        <w:t xml:space="preserve"> the health systems of</w:t>
      </w:r>
      <w:r w:rsidR="00BB6966">
        <w:t xml:space="preserve"> </w:t>
      </w:r>
      <w:r w:rsidR="00D1757B">
        <w:t xml:space="preserve">WHO </w:t>
      </w:r>
      <w:r w:rsidR="00BB6966">
        <w:t xml:space="preserve">member </w:t>
      </w:r>
      <w:r w:rsidR="003C6533">
        <w:t>states</w:t>
      </w:r>
      <w:r w:rsidR="001B350D">
        <w:t xml:space="preserve"> [</w:t>
      </w:r>
      <w:r>
        <w:t>4</w:t>
      </w:r>
      <w:r w:rsidR="001B350D">
        <w:t>]</w:t>
      </w:r>
      <w:r w:rsidR="00BB6966">
        <w:t xml:space="preserve">. </w:t>
      </w:r>
      <w:r w:rsidR="00F37D17">
        <w:t>The rankings were based on country performance</w:t>
      </w:r>
      <w:r w:rsidR="008664F2">
        <w:t xml:space="preserve"> across metrics such as mortality and life expectancy</w:t>
      </w:r>
      <w:r w:rsidR="00F37D17">
        <w:t xml:space="preserve"> relative to </w:t>
      </w:r>
      <w:r w:rsidR="008664F2">
        <w:t xml:space="preserve">statistical </w:t>
      </w:r>
      <w:r w:rsidR="00F37D17">
        <w:t>predictions by income level</w:t>
      </w:r>
      <w:r w:rsidR="001B350D">
        <w:t xml:space="preserve"> [</w:t>
      </w:r>
      <w:r>
        <w:t>4</w:t>
      </w:r>
      <w:r w:rsidR="001B350D">
        <w:t>]</w:t>
      </w:r>
      <w:r w:rsidR="00512541">
        <w:t>.</w:t>
      </w:r>
      <w:r w:rsidR="001B350D">
        <w:t xml:space="preserve"> </w:t>
      </w:r>
      <w:r w:rsidR="00512541">
        <w:t xml:space="preserve">The </w:t>
      </w:r>
      <w:r w:rsidR="00B97CCB">
        <w:t xml:space="preserve">WHR 2000 </w:t>
      </w:r>
      <w:r w:rsidR="00512541">
        <w:t>generated immediate controversy and debate</w:t>
      </w:r>
      <w:r>
        <w:t xml:space="preserve"> [5-7], and a number of r</w:t>
      </w:r>
      <w:r w:rsidR="00BB6966">
        <w:t xml:space="preserve">esearchers questioned the methodology behind the </w:t>
      </w:r>
      <w:r w:rsidR="00B97CCB">
        <w:t xml:space="preserve">WHR </w:t>
      </w:r>
      <w:r w:rsidR="00BB6966">
        <w:t>ranking</w:t>
      </w:r>
      <w:r w:rsidR="00B97CCB">
        <w:t>s</w:t>
      </w:r>
      <w:r w:rsidR="00512541">
        <w:t xml:space="preserve">, drawing particular attention to the sensitivity of the </w:t>
      </w:r>
      <w:r w:rsidR="00512541">
        <w:lastRenderedPageBreak/>
        <w:t>rankings</w:t>
      </w:r>
      <w:r w:rsidR="00EC464D">
        <w:t xml:space="preserve"> [</w:t>
      </w:r>
      <w:r>
        <w:t>8</w:t>
      </w:r>
      <w:r w:rsidR="00EC464D">
        <w:t>-</w:t>
      </w:r>
      <w:r>
        <w:t>10</w:t>
      </w:r>
      <w:r w:rsidR="00EC464D">
        <w:t xml:space="preserve">]. </w:t>
      </w:r>
      <w:r>
        <w:t xml:space="preserve">For instance, as an alternative, </w:t>
      </w:r>
      <w:r w:rsidR="00041FCA">
        <w:t>Nolte and McKee</w:t>
      </w:r>
      <w:r w:rsidR="00EC464D">
        <w:t xml:space="preserve"> [</w:t>
      </w:r>
      <w:r>
        <w:t>11</w:t>
      </w:r>
      <w:r w:rsidR="00EC464D">
        <w:t>]</w:t>
      </w:r>
      <w:r w:rsidR="00041FCA">
        <w:t xml:space="preserve"> </w:t>
      </w:r>
      <w:r w:rsidR="003C6533">
        <w:t>subsequentl</w:t>
      </w:r>
      <w:r>
        <w:t xml:space="preserve">y </w:t>
      </w:r>
      <w:r w:rsidR="00041FCA">
        <w:t>examined the narrower concept of mortality amenable to healthcare</w:t>
      </w:r>
      <w:r w:rsidR="00993D45">
        <w:t xml:space="preserve"> (age-standardized mortality from causes amenable to </w:t>
      </w:r>
      <w:r>
        <w:t>medical care</w:t>
      </w:r>
      <w:r w:rsidR="00993D45">
        <w:t xml:space="preserve"> such as diabetes mellitus and c</w:t>
      </w:r>
      <w:r>
        <w:t>ardio</w:t>
      </w:r>
      <w:r w:rsidR="00993D45">
        <w:t>vascular disease)</w:t>
      </w:r>
      <w:r w:rsidR="00041FCA">
        <w:t xml:space="preserve">. Using </w:t>
      </w:r>
      <w:r w:rsidR="00993D45">
        <w:t>this approach</w:t>
      </w:r>
      <w:r w:rsidR="00041FCA">
        <w:t xml:space="preserve">, they found that </w:t>
      </w:r>
      <w:r w:rsidR="00993D45">
        <w:t xml:space="preserve">among 19 countries from the Organization from Economic Cooperation and Development, </w:t>
      </w:r>
      <w:r w:rsidR="00041FCA">
        <w:t>no country</w:t>
      </w:r>
      <w:r w:rsidR="00993D45">
        <w:t xml:space="preserve"> </w:t>
      </w:r>
      <w:r w:rsidR="00041FCA">
        <w:t>retained the same ranking</w:t>
      </w:r>
      <w:r w:rsidR="00EC464D">
        <w:t xml:space="preserve"> [</w:t>
      </w:r>
      <w:r>
        <w:t>11</w:t>
      </w:r>
      <w:r w:rsidR="00EC464D">
        <w:t>]</w:t>
      </w:r>
      <w:r w:rsidR="00041FCA">
        <w:t xml:space="preserve">. </w:t>
      </w:r>
    </w:p>
    <w:p w14:paraId="508D4422" w14:textId="77777777" w:rsidR="00041FCA" w:rsidRDefault="00041FCA" w:rsidP="00BB6966">
      <w:pPr>
        <w:spacing w:line="480" w:lineRule="auto"/>
      </w:pPr>
    </w:p>
    <w:p w14:paraId="5EC91CC9" w14:textId="7CA167A7" w:rsidR="004D5A62" w:rsidRPr="003D7D16" w:rsidRDefault="00750B04" w:rsidP="0047073F">
      <w:pPr>
        <w:spacing w:line="480" w:lineRule="auto"/>
      </w:pPr>
      <w:r>
        <w:t xml:space="preserve">Many </w:t>
      </w:r>
      <w:r w:rsidR="00DD1EF2">
        <w:t xml:space="preserve">health outcomes and health services </w:t>
      </w:r>
      <w:r w:rsidR="004A6FCE">
        <w:t>i</w:t>
      </w:r>
      <w:r>
        <w:t xml:space="preserve">ndicators focus on the absolute </w:t>
      </w:r>
      <w:r w:rsidRPr="00E565AB">
        <w:rPr>
          <w:i/>
        </w:rPr>
        <w:t>level</w:t>
      </w:r>
      <w:r>
        <w:t xml:space="preserve"> of performance</w:t>
      </w:r>
      <w:r w:rsidR="00A84217">
        <w:t xml:space="preserve">. </w:t>
      </w:r>
      <w:r w:rsidR="00BB6966">
        <w:t>The United Nations’ Millennium Development Goals (MDGs)</w:t>
      </w:r>
      <w:r>
        <w:t>, for example,</w:t>
      </w:r>
      <w:r w:rsidR="00BB6966">
        <w:t xml:space="preserve"> </w:t>
      </w:r>
      <w:r w:rsidR="004A6FCE">
        <w:t>included</w:t>
      </w:r>
      <w:r w:rsidR="00BB6966">
        <w:t xml:space="preserve"> </w:t>
      </w:r>
      <w:r w:rsidR="00DD1EF2">
        <w:t xml:space="preserve">health outcomes </w:t>
      </w:r>
      <w:r w:rsidR="00BB6966">
        <w:t>such as the maternal mortality ratio</w:t>
      </w:r>
      <w:r w:rsidR="009B2285">
        <w:t xml:space="preserve"> </w:t>
      </w:r>
      <w:r w:rsidR="00BB6966">
        <w:t>and the incidence of malaria</w:t>
      </w:r>
      <w:r>
        <w:t xml:space="preserve">, two </w:t>
      </w:r>
      <w:r w:rsidR="00DD1EF2">
        <w:t xml:space="preserve">indicators </w:t>
      </w:r>
      <w:r>
        <w:t>that capture performance at a single point in time</w:t>
      </w:r>
      <w:r w:rsidR="00EC464D">
        <w:t xml:space="preserve"> [1</w:t>
      </w:r>
      <w:r w:rsidR="00937B2D">
        <w:t>2</w:t>
      </w:r>
      <w:r w:rsidR="00EC464D">
        <w:t>]</w:t>
      </w:r>
      <w:r w:rsidR="00BB6966">
        <w:t xml:space="preserve">. </w:t>
      </w:r>
      <w:r>
        <w:t xml:space="preserve">Similarly, UNAIDS </w:t>
      </w:r>
      <w:r w:rsidR="00DD1EF2">
        <w:t xml:space="preserve">developed </w:t>
      </w:r>
      <w:r>
        <w:t>performance</w:t>
      </w:r>
      <w:r w:rsidR="00DD1EF2">
        <w:t xml:space="preserve"> indicator</w:t>
      </w:r>
      <w:r>
        <w:t xml:space="preserve"> levels into its recent 90-90-90 treatment target</w:t>
      </w:r>
      <w:r w:rsidR="000579BF">
        <w:t xml:space="preserve">s for </w:t>
      </w:r>
      <w:r w:rsidR="00DD1EF2">
        <w:t xml:space="preserve">tackling the </w:t>
      </w:r>
      <w:r w:rsidR="00B34448">
        <w:t>HIV/AIDS</w:t>
      </w:r>
      <w:r w:rsidR="005A7F5D">
        <w:t xml:space="preserve"> </w:t>
      </w:r>
      <w:r w:rsidR="00DD1EF2">
        <w:t xml:space="preserve">epidemic </w:t>
      </w:r>
      <w:r w:rsidR="005A7F5D">
        <w:t>by 2030</w:t>
      </w:r>
      <w:r w:rsidR="00EC464D">
        <w:t xml:space="preserve"> [1</w:t>
      </w:r>
      <w:r w:rsidR="00937B2D">
        <w:t>3</w:t>
      </w:r>
      <w:r w:rsidR="00EC464D">
        <w:t>]</w:t>
      </w:r>
      <w:r w:rsidR="005A7F5D">
        <w:t xml:space="preserve">. </w:t>
      </w:r>
      <w:r w:rsidR="00937B2D">
        <w:t xml:space="preserve">Yet, </w:t>
      </w:r>
      <w:r w:rsidR="005A7F5D">
        <w:t xml:space="preserve">only evaluating the </w:t>
      </w:r>
      <w:r w:rsidR="00B34448" w:rsidRPr="00937B2D">
        <w:t>levels</w:t>
      </w:r>
      <w:r w:rsidR="00B34448">
        <w:t xml:space="preserve"> of </w:t>
      </w:r>
      <w:r w:rsidR="005A7F5D">
        <w:t xml:space="preserve">performance for certain </w:t>
      </w:r>
      <w:r w:rsidR="00DD1EF2">
        <w:t xml:space="preserve">outcomes </w:t>
      </w:r>
      <w:r w:rsidR="005A7F5D">
        <w:t xml:space="preserve">can ignore </w:t>
      </w:r>
      <w:r w:rsidR="00B601F1">
        <w:t>long-standing</w:t>
      </w:r>
      <w:r w:rsidR="005A7F5D">
        <w:t xml:space="preserve"> determinants within </w:t>
      </w:r>
      <w:r w:rsidR="00B601F1">
        <w:t xml:space="preserve">countries and </w:t>
      </w:r>
      <w:r w:rsidR="00B34448">
        <w:t xml:space="preserve">national </w:t>
      </w:r>
      <w:r w:rsidR="005A7F5D">
        <w:t xml:space="preserve">health systems that </w:t>
      </w:r>
      <w:r w:rsidR="00B601F1">
        <w:t xml:space="preserve">may </w:t>
      </w:r>
      <w:r w:rsidR="005A7F5D">
        <w:t>affect the ability to expand access to care</w:t>
      </w:r>
      <w:r w:rsidR="00374EB3">
        <w:t xml:space="preserve">, and that may </w:t>
      </w:r>
      <w:r w:rsidR="00347E51">
        <w:t xml:space="preserve">also </w:t>
      </w:r>
      <w:r w:rsidR="00374EB3">
        <w:t xml:space="preserve">blur the ability of researchers to understand the share of </w:t>
      </w:r>
      <w:r w:rsidR="00347E51">
        <w:t xml:space="preserve">performance </w:t>
      </w:r>
      <w:r w:rsidR="00374EB3">
        <w:t xml:space="preserve">variation </w:t>
      </w:r>
      <w:r w:rsidR="00347E51">
        <w:t xml:space="preserve">that can possibly </w:t>
      </w:r>
      <w:r w:rsidR="00374EB3">
        <w:t>be attributable to health systems.</w:t>
      </w:r>
      <w:r w:rsidR="005A7F5D">
        <w:t xml:space="preserve"> In this respect, </w:t>
      </w:r>
      <w:r w:rsidR="00B601F1">
        <w:t xml:space="preserve">examining </w:t>
      </w:r>
      <w:r w:rsidR="005A7F5D">
        <w:t xml:space="preserve">and </w:t>
      </w:r>
      <w:r w:rsidR="00B601F1">
        <w:t xml:space="preserve">estimating the </w:t>
      </w:r>
      <w:r w:rsidR="005A7F5D" w:rsidRPr="00E565AB">
        <w:rPr>
          <w:i/>
        </w:rPr>
        <w:t>rates of change</w:t>
      </w:r>
      <w:r w:rsidR="005A7F5D">
        <w:t xml:space="preserve"> </w:t>
      </w:r>
      <w:r w:rsidR="00B601F1">
        <w:t xml:space="preserve">of health services indicators </w:t>
      </w:r>
      <w:r w:rsidR="00B34448">
        <w:t>may prove valuable</w:t>
      </w:r>
      <w:r w:rsidR="00B601F1">
        <w:t xml:space="preserve"> in understanding the performance of national health policies</w:t>
      </w:r>
      <w:r w:rsidR="00937B2D">
        <w:t xml:space="preserve">, </w:t>
      </w:r>
      <w:r w:rsidR="00B601F1">
        <w:t>programs</w:t>
      </w:r>
      <w:r w:rsidR="00937B2D">
        <w:t>, and interventions</w:t>
      </w:r>
      <w:r w:rsidR="008F3287">
        <w:t xml:space="preserve"> [14-16]</w:t>
      </w:r>
      <w:r w:rsidR="005A7F5D">
        <w:t xml:space="preserve">. </w:t>
      </w:r>
      <w:r w:rsidR="00937B2D">
        <w:t>As a case in point, i</w:t>
      </w:r>
      <w:r w:rsidR="003D7D16">
        <w:t xml:space="preserve">n </w:t>
      </w:r>
      <w:r w:rsidR="003D7D16">
        <w:rPr>
          <w:i/>
        </w:rPr>
        <w:t>Good Health at Low Cost: 25 Years On</w:t>
      </w:r>
      <w:r w:rsidR="003D7D16">
        <w:t>, Balabanova et al.</w:t>
      </w:r>
      <w:r w:rsidR="00EC464D">
        <w:t xml:space="preserve"> [1</w:t>
      </w:r>
      <w:r w:rsidR="008F3287">
        <w:t>7</w:t>
      </w:r>
      <w:r w:rsidR="00EC464D">
        <w:t>]</w:t>
      </w:r>
      <w:r w:rsidR="003D7D16">
        <w:t xml:space="preserve"> use</w:t>
      </w:r>
      <w:r w:rsidR="00B34448">
        <w:t>d</w:t>
      </w:r>
      <w:r w:rsidR="003D7D16">
        <w:t xml:space="preserve"> both </w:t>
      </w:r>
      <w:r w:rsidR="005A7F5D">
        <w:t>levels</w:t>
      </w:r>
      <w:r w:rsidR="00C23769">
        <w:t xml:space="preserve"> and rates of changes</w:t>
      </w:r>
      <w:r w:rsidR="005A7F5D">
        <w:t xml:space="preserve"> </w:t>
      </w:r>
      <w:r w:rsidR="00B34448">
        <w:t xml:space="preserve">of </w:t>
      </w:r>
      <w:r w:rsidR="00C23769">
        <w:t xml:space="preserve">services </w:t>
      </w:r>
      <w:r w:rsidR="00ED0E5B">
        <w:t xml:space="preserve">coverage </w:t>
      </w:r>
      <w:r w:rsidR="003D7D16">
        <w:t xml:space="preserve">to </w:t>
      </w:r>
      <w:r w:rsidR="00504863">
        <w:t xml:space="preserve">select </w:t>
      </w:r>
      <w:r w:rsidR="003D7D16">
        <w:t xml:space="preserve">which countries to include </w:t>
      </w:r>
      <w:r w:rsidR="00504863">
        <w:t xml:space="preserve">and further study </w:t>
      </w:r>
      <w:r w:rsidR="003D7D16">
        <w:t xml:space="preserve">as </w:t>
      </w:r>
      <w:r w:rsidR="00504863">
        <w:t>relevant examples</w:t>
      </w:r>
      <w:r w:rsidR="003D7D16">
        <w:t xml:space="preserve"> </w:t>
      </w:r>
      <w:r w:rsidR="0094158D">
        <w:t>of</w:t>
      </w:r>
      <w:r w:rsidR="003D7D16">
        <w:t xml:space="preserve"> good</w:t>
      </w:r>
      <w:r w:rsidR="00604434">
        <w:t xml:space="preserve"> </w:t>
      </w:r>
      <w:r w:rsidR="003D7D16">
        <w:t>performance</w:t>
      </w:r>
      <w:r w:rsidR="00D04408">
        <w:t xml:space="preserve"> on health</w:t>
      </w:r>
      <w:r w:rsidR="00B34448">
        <w:t>.</w:t>
      </w:r>
      <w:r w:rsidR="007E0BE5">
        <w:t xml:space="preserve"> </w:t>
      </w:r>
    </w:p>
    <w:p w14:paraId="2B819CE3" w14:textId="77777777" w:rsidR="00BB6966" w:rsidRDefault="00BB6966" w:rsidP="0047073F">
      <w:pPr>
        <w:spacing w:line="480" w:lineRule="auto"/>
        <w:rPr>
          <w:b/>
        </w:rPr>
      </w:pPr>
    </w:p>
    <w:p w14:paraId="75C6C766" w14:textId="49F5989E" w:rsidR="00BB6966" w:rsidRDefault="00966111" w:rsidP="00BB6966">
      <w:pPr>
        <w:spacing w:line="480" w:lineRule="auto"/>
      </w:pPr>
      <w:r>
        <w:t>Simple r</w:t>
      </w:r>
      <w:r w:rsidR="00614BA8">
        <w:t xml:space="preserve">ates of change in </w:t>
      </w:r>
      <w:r w:rsidR="00C05259">
        <w:t xml:space="preserve">coverage of health </w:t>
      </w:r>
      <w:r w:rsidR="00937B2D">
        <w:t>services</w:t>
      </w:r>
      <w:r w:rsidR="00C05259">
        <w:t xml:space="preserve"> </w:t>
      </w:r>
      <w:r w:rsidR="005E46ED">
        <w:t>can be estimated empirically</w:t>
      </w:r>
      <w:r w:rsidR="00937B2D">
        <w:t xml:space="preserve"> (e.g. by taking the first derivative of coverage)</w:t>
      </w:r>
      <w:r w:rsidR="005E46ED">
        <w:t>,</w:t>
      </w:r>
      <w:r w:rsidR="00C05259">
        <w:t xml:space="preserve"> </w:t>
      </w:r>
      <w:r w:rsidR="003778BD">
        <w:t>but</w:t>
      </w:r>
      <w:r w:rsidR="005E46ED">
        <w:t xml:space="preserve"> </w:t>
      </w:r>
      <w:r w:rsidR="00C05259">
        <w:t xml:space="preserve">their evolution over time </w:t>
      </w:r>
      <w:r w:rsidR="003778BD">
        <w:t xml:space="preserve">can also </w:t>
      </w:r>
      <w:r w:rsidR="00C05259">
        <w:t xml:space="preserve">be captured by </w:t>
      </w:r>
      <w:r w:rsidR="00C05259">
        <w:lastRenderedPageBreak/>
        <w:t xml:space="preserve">mathematical models including simple </w:t>
      </w:r>
      <w:r w:rsidR="00BB6966">
        <w:t>ordinary differential equations</w:t>
      </w:r>
      <w:r w:rsidR="005E46ED">
        <w:t xml:space="preserve"> </w:t>
      </w:r>
      <w:r w:rsidR="003778BD">
        <w:t xml:space="preserve">such as </w:t>
      </w:r>
      <w:r w:rsidR="00C05259">
        <w:t>“</w:t>
      </w:r>
      <w:r w:rsidR="005E46ED">
        <w:t>growth curves</w:t>
      </w:r>
      <w:r w:rsidR="00C05259">
        <w:t>”</w:t>
      </w:r>
      <w:r w:rsidR="00937B2D">
        <w:t xml:space="preserve">. </w:t>
      </w:r>
      <w:r>
        <w:t xml:space="preserve"> </w:t>
      </w:r>
      <w:r w:rsidR="00937B2D">
        <w:t>Indeed, growth curves</w:t>
      </w:r>
      <w:r>
        <w:t xml:space="preserve"> could capture meaningful summary parameters characterizing intervention </w:t>
      </w:r>
      <w:r w:rsidR="00937B2D">
        <w:t xml:space="preserve">coverage </w:t>
      </w:r>
      <w:r>
        <w:t>scale-up</w:t>
      </w:r>
      <w:r w:rsidR="00937B2D">
        <w:t xml:space="preserve">, and they </w:t>
      </w:r>
      <w:r w:rsidR="00BB6966">
        <w:t xml:space="preserve">have been used in many </w:t>
      </w:r>
      <w:r w:rsidR="00B46668">
        <w:t>other</w:t>
      </w:r>
      <w:r w:rsidR="00BB6966">
        <w:t xml:space="preserve"> </w:t>
      </w:r>
      <w:r w:rsidR="00937B2D">
        <w:t>disciplines</w:t>
      </w:r>
      <w:r w:rsidR="00BB6966">
        <w:t xml:space="preserve"> to model </w:t>
      </w:r>
      <w:r w:rsidR="00B46668">
        <w:t xml:space="preserve">specific </w:t>
      </w:r>
      <w:r w:rsidR="00BB6966">
        <w:t>dynamic phenomena.</w:t>
      </w:r>
      <w:r w:rsidR="009B5EE8">
        <w:t xml:space="preserve"> For example, i</w:t>
      </w:r>
      <w:r w:rsidR="00BB6966">
        <w:t xml:space="preserve">n telecommunications, the Bass diffusion equation </w:t>
      </w:r>
      <w:r w:rsidR="00937B2D">
        <w:t>can be used to</w:t>
      </w:r>
      <w:r w:rsidR="00B46668">
        <w:t xml:space="preserve"> </w:t>
      </w:r>
      <w:r w:rsidR="00BB6966">
        <w:t xml:space="preserve">model the spread of innovation or adoption of new technologies </w:t>
      </w:r>
      <w:r w:rsidR="00B46668">
        <w:t>in a</w:t>
      </w:r>
      <w:r w:rsidR="00BB6966">
        <w:t xml:space="preserve"> population</w:t>
      </w:r>
      <w:r w:rsidR="00EC464D">
        <w:t xml:space="preserve"> [1</w:t>
      </w:r>
      <w:r w:rsidR="008F3287">
        <w:t>8</w:t>
      </w:r>
      <w:r w:rsidR="00EC464D">
        <w:t>]</w:t>
      </w:r>
      <w:r w:rsidR="009B5EE8">
        <w:t>;</w:t>
      </w:r>
      <w:r w:rsidR="00937B2D">
        <w:t xml:space="preserve"> and</w:t>
      </w:r>
      <w:r w:rsidR="00BB6966">
        <w:t xml:space="preserve"> </w:t>
      </w:r>
      <w:r w:rsidR="009B5EE8">
        <w:t>i</w:t>
      </w:r>
      <w:r w:rsidR="00BB6966">
        <w:t>n cell biology, growth curves</w:t>
      </w:r>
      <w:r w:rsidR="005E46ED">
        <w:t xml:space="preserve"> </w:t>
      </w:r>
      <w:r w:rsidR="009B5EE8">
        <w:t>can be used to</w:t>
      </w:r>
      <w:r w:rsidR="00937B2D">
        <w:t xml:space="preserve"> represent</w:t>
      </w:r>
      <w:r w:rsidR="00BB6966">
        <w:t xml:space="preserve"> bacterial growth</w:t>
      </w:r>
      <w:r w:rsidR="00EC464D">
        <w:t xml:space="preserve"> [1</w:t>
      </w:r>
      <w:r w:rsidR="008F3287">
        <w:t>9</w:t>
      </w:r>
      <w:r w:rsidR="00EC464D">
        <w:t>].</w:t>
      </w:r>
      <w:r w:rsidR="00BB6966">
        <w:t xml:space="preserve"> Despite </w:t>
      </w:r>
      <w:r w:rsidR="009B5EE8">
        <w:t>these common uses</w:t>
      </w:r>
      <w:r w:rsidR="00937B2D">
        <w:t>,</w:t>
      </w:r>
      <w:r w:rsidR="00BB6966">
        <w:t xml:space="preserve"> </w:t>
      </w:r>
      <w:r w:rsidR="00B46668">
        <w:t xml:space="preserve">such simple </w:t>
      </w:r>
      <w:r w:rsidR="00BB6966">
        <w:t>differential equation</w:t>
      </w:r>
      <w:r w:rsidR="00B46668">
        <w:t xml:space="preserve"> models</w:t>
      </w:r>
      <w:r w:rsidR="00BB6966">
        <w:t xml:space="preserve"> </w:t>
      </w:r>
      <w:r w:rsidR="00937B2D">
        <w:t>have been</w:t>
      </w:r>
      <w:r w:rsidR="006D69DE">
        <w:t xml:space="preserve"> </w:t>
      </w:r>
      <w:r w:rsidR="00937B2D">
        <w:t>routinely</w:t>
      </w:r>
      <w:r w:rsidR="006D69DE">
        <w:t xml:space="preserve"> implemented in global </w:t>
      </w:r>
      <w:r w:rsidR="00937B2D">
        <w:t xml:space="preserve">public </w:t>
      </w:r>
      <w:r w:rsidR="006D69DE">
        <w:t>health.</w:t>
      </w:r>
      <w:r w:rsidR="00BB6966">
        <w:t xml:space="preserve"> </w:t>
      </w:r>
    </w:p>
    <w:p w14:paraId="65DC7A68" w14:textId="77777777" w:rsidR="00BB6966" w:rsidRDefault="00BB6966" w:rsidP="00BB6966">
      <w:pPr>
        <w:spacing w:line="480" w:lineRule="auto"/>
      </w:pPr>
    </w:p>
    <w:p w14:paraId="3E440D19" w14:textId="0AD80520" w:rsidR="00442780" w:rsidRDefault="00CF6668" w:rsidP="0047073F">
      <w:pPr>
        <w:spacing w:line="480" w:lineRule="auto"/>
      </w:pPr>
      <w:r>
        <w:t xml:space="preserve">Rudimentary mathematical modeling including </w:t>
      </w:r>
      <w:r w:rsidR="00AC354A">
        <w:t xml:space="preserve">growth </w:t>
      </w:r>
      <w:r w:rsidR="00AD045C">
        <w:t>equations</w:t>
      </w:r>
      <w:r w:rsidR="006D69DE">
        <w:t xml:space="preserve"> could parameterize and capture the </w:t>
      </w:r>
      <w:r w:rsidR="00132788">
        <w:t>evolution of health services coverage</w:t>
      </w:r>
      <w:r>
        <w:t xml:space="preserve"> over time</w:t>
      </w:r>
      <w:r w:rsidR="00132788">
        <w:t>,</w:t>
      </w:r>
      <w:r>
        <w:t xml:space="preserve"> and thus provides a stepping stone toward</w:t>
      </w:r>
      <w:r w:rsidR="00132788">
        <w:t xml:space="preserve"> </w:t>
      </w:r>
      <w:r>
        <w:t>assessing</w:t>
      </w:r>
      <w:r w:rsidR="006D69DE">
        <w:t xml:space="preserve"> health system</w:t>
      </w:r>
      <w:r w:rsidR="00132788">
        <w:t xml:space="preserve"> performance</w:t>
      </w:r>
      <w:r w:rsidR="006D69DE">
        <w:t xml:space="preserve">. </w:t>
      </w:r>
      <w:r w:rsidR="00281ED1">
        <w:t>In this paper, w</w:t>
      </w:r>
      <w:r w:rsidR="00BB6966">
        <w:t>e</w:t>
      </w:r>
      <w:r w:rsidR="006D69DE">
        <w:t xml:space="preserve"> illustrate th</w:t>
      </w:r>
      <w:r w:rsidR="00AD045C">
        <w:t>e relevance of growth curves</w:t>
      </w:r>
      <w:r w:rsidR="006D69DE">
        <w:t xml:space="preserve"> by</w:t>
      </w:r>
      <w:r w:rsidR="00BB6966">
        <w:t xml:space="preserve"> attempt</w:t>
      </w:r>
      <w:r w:rsidR="006D69DE">
        <w:t>ing</w:t>
      </w:r>
      <w:r w:rsidR="00BB6966">
        <w:t xml:space="preserve"> to </w:t>
      </w:r>
      <w:r w:rsidR="00AD045C">
        <w:t>parameterize</w:t>
      </w:r>
      <w:r w:rsidR="00BB6966">
        <w:t xml:space="preserve"> the growth in antiretroviral therapy (ART) coverage in 39 sub-Saharan African countries using two </w:t>
      </w:r>
      <w:r w:rsidR="00AD045C">
        <w:t>long-established</w:t>
      </w:r>
      <w:r w:rsidR="00E565AB">
        <w:t xml:space="preserve"> </w:t>
      </w:r>
      <w:r w:rsidR="00281ED1">
        <w:t>growth</w:t>
      </w:r>
      <w:r w:rsidR="00BB6966">
        <w:t xml:space="preserve"> models, the logistic and the Gompertz model</w:t>
      </w:r>
      <w:r w:rsidR="00281ED1">
        <w:t>s</w:t>
      </w:r>
      <w:r w:rsidR="00BB6966">
        <w:t xml:space="preserve">. </w:t>
      </w:r>
      <w:r w:rsidR="00281ED1">
        <w:t>We t</w:t>
      </w:r>
      <w:r w:rsidR="00AD045C">
        <w:t xml:space="preserve">hen </w:t>
      </w:r>
      <w:r w:rsidR="00BB6966">
        <w:t xml:space="preserve">extract summary metrics (e.g. </w:t>
      </w:r>
      <w:r w:rsidR="00AD045C">
        <w:t xml:space="preserve">rate of </w:t>
      </w:r>
      <w:r w:rsidR="00BB6966">
        <w:t>scale-up</w:t>
      </w:r>
      <w:r w:rsidR="008F49DC">
        <w:t>, delay</w:t>
      </w:r>
      <w:r w:rsidR="00AD045C">
        <w:t xml:space="preserve"> to scale-up</w:t>
      </w:r>
      <w:r w:rsidR="00BB6966">
        <w:t xml:space="preserve">) </w:t>
      </w:r>
      <w:r w:rsidR="00AD045C">
        <w:t xml:space="preserve">that describe the evolution of ART coverage and </w:t>
      </w:r>
      <w:r w:rsidR="00BB6966">
        <w:t>th</w:t>
      </w:r>
      <w:r w:rsidR="00AD045C">
        <w:t>us</w:t>
      </w:r>
      <w:r w:rsidR="00BB6966">
        <w:t xml:space="preserve"> may be of interest to </w:t>
      </w:r>
      <w:r w:rsidR="008F49DC">
        <w:t>analysts</w:t>
      </w:r>
      <w:r w:rsidR="00AD045C">
        <w:t xml:space="preserve"> and policymakers</w:t>
      </w:r>
      <w:r w:rsidR="008F49DC">
        <w:t xml:space="preserve"> to</w:t>
      </w:r>
      <w:r w:rsidR="006D69DE">
        <w:t xml:space="preserve"> </w:t>
      </w:r>
      <w:r w:rsidR="00AD045C">
        <w:t>better characterize</w:t>
      </w:r>
      <w:r w:rsidR="006D69DE">
        <w:t xml:space="preserve"> cross-country variation in </w:t>
      </w:r>
      <w:r w:rsidR="00AD045C">
        <w:t xml:space="preserve">the </w:t>
      </w:r>
      <w:r w:rsidR="008F49DC">
        <w:t xml:space="preserve">ART coverage evolution </w:t>
      </w:r>
      <w:r w:rsidR="006D69DE">
        <w:t>in sub-Saharan Africa.</w:t>
      </w:r>
    </w:p>
    <w:p w14:paraId="38957603" w14:textId="7B006D1D" w:rsidR="00B66ACD" w:rsidRDefault="00B66ACD" w:rsidP="0047073F">
      <w:pPr>
        <w:spacing w:line="480" w:lineRule="auto"/>
      </w:pPr>
    </w:p>
    <w:p w14:paraId="5A66F0B0" w14:textId="1C494A1C" w:rsidR="00EC464D" w:rsidRDefault="00EC464D" w:rsidP="0047073F">
      <w:pPr>
        <w:spacing w:line="480" w:lineRule="auto"/>
      </w:pPr>
    </w:p>
    <w:p w14:paraId="42ACD177" w14:textId="7AEC8C08" w:rsidR="00AD045C" w:rsidRDefault="00AD045C" w:rsidP="0047073F">
      <w:pPr>
        <w:spacing w:line="480" w:lineRule="auto"/>
      </w:pPr>
    </w:p>
    <w:p w14:paraId="5FC50BE3" w14:textId="2565DC68" w:rsidR="00AD045C" w:rsidRDefault="00AD045C" w:rsidP="0047073F">
      <w:pPr>
        <w:spacing w:line="480" w:lineRule="auto"/>
      </w:pPr>
    </w:p>
    <w:p w14:paraId="4FC54C8F" w14:textId="77777777" w:rsidR="00AD045C" w:rsidRPr="002741FB" w:rsidRDefault="00AD045C" w:rsidP="0047073F">
      <w:pPr>
        <w:spacing w:line="480" w:lineRule="auto"/>
      </w:pPr>
    </w:p>
    <w:p w14:paraId="28BD62E3" w14:textId="3F568E5F" w:rsidR="00CD710B" w:rsidRPr="00FE59E2" w:rsidRDefault="00EC169B" w:rsidP="00280DA0">
      <w:pPr>
        <w:spacing w:line="480" w:lineRule="auto"/>
        <w:outlineLvl w:val="0"/>
      </w:pPr>
      <w:r>
        <w:rPr>
          <w:b/>
        </w:rPr>
        <w:lastRenderedPageBreak/>
        <w:t>Methods</w:t>
      </w:r>
    </w:p>
    <w:p w14:paraId="1A69C25B" w14:textId="6651D062" w:rsidR="00CD710B" w:rsidRPr="009A7B0A" w:rsidRDefault="00CD710B" w:rsidP="00280DA0">
      <w:pPr>
        <w:spacing w:line="480" w:lineRule="auto"/>
        <w:outlineLvl w:val="0"/>
        <w:rPr>
          <w:i/>
        </w:rPr>
      </w:pPr>
      <w:r w:rsidRPr="009A7B0A">
        <w:rPr>
          <w:i/>
        </w:rPr>
        <w:t>Data sources</w:t>
      </w:r>
    </w:p>
    <w:p w14:paraId="200F7DC2" w14:textId="7F83E1BD" w:rsidR="00F83107" w:rsidRPr="005E77F6" w:rsidRDefault="00F83107" w:rsidP="00CF1D3F">
      <w:pPr>
        <w:spacing w:line="480" w:lineRule="auto"/>
        <w:rPr>
          <w:highlight w:val="yellow"/>
        </w:rPr>
      </w:pPr>
      <w:r>
        <w:t xml:space="preserve">We used country-level data on ART coverage from 2000 to </w:t>
      </w:r>
      <w:r w:rsidRPr="005E77F6">
        <w:rPr>
          <w:highlight w:val="yellow"/>
        </w:rPr>
        <w:t>2015</w:t>
      </w:r>
      <w:r w:rsidR="005E77F6" w:rsidRPr="005E77F6">
        <w:t>, directly sourced from the World Bank’s World Development Indicators database</w:t>
      </w:r>
      <w:r w:rsidR="005E77F6">
        <w:t xml:space="preserve"> (UNAIDS estimates)</w:t>
      </w:r>
      <w:r w:rsidR="005E77F6" w:rsidRPr="005E77F6">
        <w:t xml:space="preserve"> [</w:t>
      </w:r>
      <w:r w:rsidR="008F3287">
        <w:t>20</w:t>
      </w:r>
      <w:r w:rsidR="005E77F6" w:rsidRPr="005E77F6">
        <w:t xml:space="preserve">]. </w:t>
      </w:r>
      <w:r w:rsidR="008A4DD8">
        <w:t xml:space="preserve">ART coverage </w:t>
      </w:r>
      <w:r w:rsidR="00516BB0">
        <w:t>is</w:t>
      </w:r>
      <w:r w:rsidR="008A4DD8" w:rsidRPr="00CF1D3F">
        <w:t xml:space="preserve"> defined as the percentage of people living with HIV</w:t>
      </w:r>
      <w:r w:rsidR="005E77F6">
        <w:t xml:space="preserve"> </w:t>
      </w:r>
      <w:r w:rsidR="008A4DD8" w:rsidRPr="00CF1D3F">
        <w:t xml:space="preserve">who are receiving ART. </w:t>
      </w:r>
      <w:r>
        <w:t>We limited our analysis to sub-Saharan Africa, as th</w:t>
      </w:r>
      <w:r w:rsidR="007E25FF">
        <w:t>e region</w:t>
      </w:r>
      <w:r>
        <w:t xml:space="preserve"> </w:t>
      </w:r>
      <w:r w:rsidR="007E25FF">
        <w:t>is</w:t>
      </w:r>
      <w:r>
        <w:t xml:space="preserve"> most impacted by HIV. </w:t>
      </w:r>
      <w:r w:rsidR="009E78B4">
        <w:t>According to UNA</w:t>
      </w:r>
      <w:r w:rsidR="00C370C0">
        <w:t xml:space="preserve">IDS, the region accounted for </w:t>
      </w:r>
      <w:r w:rsidR="005E77F6">
        <w:t>close to</w:t>
      </w:r>
      <w:r w:rsidR="00C370C0">
        <w:t xml:space="preserve"> </w:t>
      </w:r>
      <w:r w:rsidR="005E77F6">
        <w:t>7</w:t>
      </w:r>
      <w:r w:rsidR="00C370C0">
        <w:t>0</w:t>
      </w:r>
      <w:r w:rsidR="009E78B4">
        <w:t xml:space="preserve">% of all </w:t>
      </w:r>
      <w:r w:rsidR="005E77F6">
        <w:t>people living with HIV</w:t>
      </w:r>
      <w:r w:rsidR="009E78B4">
        <w:t xml:space="preserve"> in 201</w:t>
      </w:r>
      <w:r w:rsidR="005E77F6">
        <w:t>8</w:t>
      </w:r>
      <w:r w:rsidR="00C67A31">
        <w:t xml:space="preserve"> [</w:t>
      </w:r>
      <w:r w:rsidR="008F3287">
        <w:t>21</w:t>
      </w:r>
      <w:r w:rsidR="00C67A31">
        <w:t>]</w:t>
      </w:r>
      <w:r w:rsidR="009E78B4">
        <w:t xml:space="preserve">. </w:t>
      </w:r>
      <w:r w:rsidR="00F761AA">
        <w:t>W</w:t>
      </w:r>
      <w:r>
        <w:t xml:space="preserve">e further limited our analysis </w:t>
      </w:r>
      <w:r w:rsidR="009E78B4">
        <w:t xml:space="preserve">to countries with </w:t>
      </w:r>
      <w:r w:rsidR="00F761AA">
        <w:t xml:space="preserve">a population exceeding </w:t>
      </w:r>
      <w:r w:rsidR="009E78B4">
        <w:t>more than one million</w:t>
      </w:r>
      <w:r w:rsidR="00C67A31">
        <w:t xml:space="preserve"> [</w:t>
      </w:r>
      <w:r w:rsidR="008F3287">
        <w:t>22</w:t>
      </w:r>
      <w:r w:rsidR="00C67A31">
        <w:t>],</w:t>
      </w:r>
      <w:r w:rsidR="00B513E1">
        <w:t xml:space="preserve"> leading to a sample of 39 sub-Saharan African countries.</w:t>
      </w:r>
    </w:p>
    <w:p w14:paraId="1B8C26BB" w14:textId="77777777" w:rsidR="00F436DB" w:rsidRDefault="00F436DB" w:rsidP="00F436DB">
      <w:pPr>
        <w:spacing w:line="480" w:lineRule="auto"/>
      </w:pPr>
    </w:p>
    <w:p w14:paraId="6AB68E4D" w14:textId="4C39F77B" w:rsidR="00F436DB" w:rsidRPr="00F14C60" w:rsidRDefault="00F436DB" w:rsidP="00280DA0">
      <w:pPr>
        <w:spacing w:line="480" w:lineRule="auto"/>
        <w:jc w:val="center"/>
        <w:outlineLvl w:val="0"/>
      </w:pPr>
      <w:r>
        <w:rPr>
          <w:b/>
        </w:rPr>
        <w:t xml:space="preserve">Insert Table 1 </w:t>
      </w:r>
      <w:r w:rsidR="009E7420">
        <w:rPr>
          <w:b/>
        </w:rPr>
        <w:t xml:space="preserve">around </w:t>
      </w:r>
      <w:r>
        <w:rPr>
          <w:b/>
        </w:rPr>
        <w:t>here</w:t>
      </w:r>
    </w:p>
    <w:p w14:paraId="16C8BA3D" w14:textId="77777777" w:rsidR="00CD710B" w:rsidRDefault="00CD710B" w:rsidP="00CF1D3F">
      <w:pPr>
        <w:spacing w:line="480" w:lineRule="auto"/>
      </w:pPr>
    </w:p>
    <w:p w14:paraId="0E824602" w14:textId="36C46E04" w:rsidR="00CD710B" w:rsidRPr="009A7B0A" w:rsidRDefault="00CD710B" w:rsidP="00280DA0">
      <w:pPr>
        <w:spacing w:line="480" w:lineRule="auto"/>
        <w:outlineLvl w:val="0"/>
        <w:rPr>
          <w:i/>
        </w:rPr>
      </w:pPr>
      <w:r w:rsidRPr="009A7B0A">
        <w:rPr>
          <w:i/>
        </w:rPr>
        <w:t>Mathematical approach</w:t>
      </w:r>
    </w:p>
    <w:p w14:paraId="6CFBB40B" w14:textId="475063A6" w:rsidR="00270F8B" w:rsidRDefault="00CD710B" w:rsidP="00270F8B">
      <w:pPr>
        <w:spacing w:line="480" w:lineRule="auto"/>
      </w:pPr>
      <w:r>
        <w:t>We used</w:t>
      </w:r>
      <w:r w:rsidR="00CF1D3F" w:rsidRPr="00CF1D3F">
        <w:t xml:space="preserve"> two </w:t>
      </w:r>
      <w:r w:rsidR="008B69F4">
        <w:t xml:space="preserve">types of </w:t>
      </w:r>
      <w:r w:rsidR="00EE3A51">
        <w:t xml:space="preserve">ordinary </w:t>
      </w:r>
      <w:r w:rsidR="00CF1D3F" w:rsidRPr="00CF1D3F">
        <w:t>differential equation</w:t>
      </w:r>
      <w:r>
        <w:t>s</w:t>
      </w:r>
      <w:r w:rsidR="00CF1D3F" w:rsidRPr="00CF1D3F">
        <w:t xml:space="preserve"> </w:t>
      </w:r>
      <w:r>
        <w:t xml:space="preserve">to </w:t>
      </w:r>
      <w:r w:rsidR="00270F8B">
        <w:t>model</w:t>
      </w:r>
      <w:r>
        <w:t xml:space="preserve"> the </w:t>
      </w:r>
      <w:r w:rsidR="00CF1D3F" w:rsidRPr="00CF1D3F">
        <w:t xml:space="preserve">growth in ART coverage </w:t>
      </w:r>
      <w:r>
        <w:t xml:space="preserve">over time in the selected countries: </w:t>
      </w:r>
      <w:r w:rsidR="00CF1D3F" w:rsidRPr="00CF1D3F">
        <w:t>the logistic</w:t>
      </w:r>
      <w:r w:rsidR="009E7420">
        <w:t xml:space="preserve"> </w:t>
      </w:r>
      <w:r w:rsidR="00CF1D3F" w:rsidRPr="00CF1D3F">
        <w:t>and the Gompertz</w:t>
      </w:r>
      <w:r w:rsidR="006E15B0">
        <w:t xml:space="preserve"> </w:t>
      </w:r>
      <w:r w:rsidR="00CF1D3F" w:rsidRPr="00CF1D3F">
        <w:t>equation</w:t>
      </w:r>
      <w:r w:rsidR="006E15B0">
        <w:t>s</w:t>
      </w:r>
      <w:r w:rsidR="007E25FF">
        <w:t xml:space="preserve"> (</w:t>
      </w:r>
      <w:r w:rsidR="00F14C60">
        <w:t>Table 1)</w:t>
      </w:r>
      <w:r w:rsidR="007E25FF">
        <w:t>.</w:t>
      </w:r>
      <w:r w:rsidR="006E15B0">
        <w:t xml:space="preserve"> </w:t>
      </w:r>
      <w:r w:rsidR="00270F8B">
        <w:t>I</w:t>
      </w:r>
      <w:r w:rsidR="00270F8B" w:rsidRPr="00CF1D3F">
        <w:t xml:space="preserve">n their </w:t>
      </w:r>
      <w:r w:rsidR="00270F8B">
        <w:t>canonical forms</w:t>
      </w:r>
      <w:r w:rsidR="00270F8B" w:rsidRPr="00CF1D3F">
        <w:t xml:space="preserve">, these models </w:t>
      </w:r>
      <w:r w:rsidR="00E32085">
        <w:t xml:space="preserve">are not easily interpretable </w:t>
      </w:r>
      <w:r w:rsidR="00270F8B" w:rsidRPr="00CF1D3F">
        <w:t xml:space="preserve">in the context of </w:t>
      </w:r>
      <w:r w:rsidR="007E25FF">
        <w:t>global health</w:t>
      </w:r>
      <w:r w:rsidR="001C4623">
        <w:t xml:space="preserve"> [</w:t>
      </w:r>
      <w:r w:rsidR="008F3287">
        <w:t>19</w:t>
      </w:r>
      <w:r w:rsidR="001C4623">
        <w:t>]</w:t>
      </w:r>
      <w:r w:rsidR="00270F8B" w:rsidRPr="00CF1D3F">
        <w:t xml:space="preserve">. </w:t>
      </w:r>
      <w:r w:rsidR="009E7420">
        <w:t>Therefore</w:t>
      </w:r>
      <w:r w:rsidR="00270F8B" w:rsidRPr="00CF1D3F">
        <w:t>, we use</w:t>
      </w:r>
      <w:r w:rsidR="00270F8B">
        <w:t>d</w:t>
      </w:r>
      <w:r w:rsidR="00270F8B" w:rsidRPr="00CF1D3F">
        <w:t xml:space="preserve"> the transformations described </w:t>
      </w:r>
      <w:r w:rsidR="00201F19">
        <w:t>by</w:t>
      </w:r>
      <w:r w:rsidR="00270F8B" w:rsidRPr="00CF1D3F">
        <w:t xml:space="preserve"> Zwietering </w:t>
      </w:r>
      <w:r w:rsidR="00201F19">
        <w:t>and colleagues</w:t>
      </w:r>
      <w:r w:rsidR="00270F8B" w:rsidRPr="00CF1D3F">
        <w:t xml:space="preserve"> for both</w:t>
      </w:r>
      <w:r w:rsidR="00270F8B">
        <w:t xml:space="preserve"> the Gompertz and logistic</w:t>
      </w:r>
      <w:r w:rsidR="00270F8B" w:rsidRPr="00CF1D3F">
        <w:t xml:space="preserve"> equations</w:t>
      </w:r>
      <w:r w:rsidR="001C4623">
        <w:t xml:space="preserve"> [1</w:t>
      </w:r>
      <w:r w:rsidR="008F3287">
        <w:t>9</w:t>
      </w:r>
      <w:r w:rsidR="001C4623">
        <w:t>]</w:t>
      </w:r>
      <w:r w:rsidR="00270F8B" w:rsidRPr="00CF1D3F">
        <w:t>.</w:t>
      </w:r>
      <w:r w:rsidR="00270F8B">
        <w:t xml:space="preserve"> </w:t>
      </w:r>
      <w:r w:rsidR="00270F8B" w:rsidRPr="00CF1D3F">
        <w:t>The new parameters</w:t>
      </w:r>
      <w:r w:rsidR="009E7420">
        <w:t xml:space="preserve"> derived</w:t>
      </w:r>
      <w:r w:rsidR="00270F8B" w:rsidRPr="00CF1D3F">
        <w:t xml:space="preserve"> </w:t>
      </w:r>
      <w:r w:rsidR="00201F19">
        <w:t xml:space="preserve">can </w:t>
      </w:r>
      <w:r w:rsidR="00270F8B">
        <w:t>have</w:t>
      </w:r>
      <w:r w:rsidR="009E7420">
        <w:t xml:space="preserve"> a</w:t>
      </w:r>
      <w:r w:rsidR="00270F8B">
        <w:t xml:space="preserve"> </w:t>
      </w:r>
      <w:r w:rsidR="00E32085">
        <w:t>more</w:t>
      </w:r>
      <w:r w:rsidR="00270F8B">
        <w:t xml:space="preserve"> intuitive </w:t>
      </w:r>
      <w:r w:rsidR="00E32085">
        <w:t>meaning</w:t>
      </w:r>
      <w:r w:rsidR="00201F19">
        <w:t>:</w:t>
      </w:r>
      <w:r w:rsidR="00270F8B" w:rsidRPr="00CF1D3F">
        <w:t xml:space="preserve"> </w:t>
      </w:r>
      <w:r w:rsidR="00270F8B" w:rsidRPr="00CF1D3F">
        <w:rPr>
          <w:i/>
        </w:rPr>
        <w:t xml:space="preserve">A </w:t>
      </w:r>
      <w:r w:rsidR="00270F8B">
        <w:t>can be interpreted as</w:t>
      </w:r>
      <w:r w:rsidR="00270F8B" w:rsidRPr="00CF1D3F">
        <w:t xml:space="preserve"> the </w:t>
      </w:r>
      <w:r w:rsidR="00270F8B">
        <w:t>projected</w:t>
      </w:r>
      <w:r w:rsidR="00270F8B" w:rsidRPr="00CF1D3F">
        <w:t xml:space="preserve"> maximum </w:t>
      </w:r>
      <w:r w:rsidR="00270F8B">
        <w:t xml:space="preserve">level of </w:t>
      </w:r>
      <w:r w:rsidR="00270F8B" w:rsidRPr="00CF1D3F">
        <w:t>intervention coverage (in percent</w:t>
      </w:r>
      <w:r w:rsidR="00270F8B">
        <w:t>age points</w:t>
      </w:r>
      <w:r w:rsidR="00270F8B" w:rsidRPr="00CF1D3F">
        <w:t xml:space="preserve">); </w:t>
      </w:r>
      <w:r w:rsidR="00270F8B" w:rsidRPr="00CF1D3F">
        <w:rPr>
          <w:i/>
        </w:rPr>
        <w:t xml:space="preserve">μ </w:t>
      </w:r>
      <w:r w:rsidR="00270F8B">
        <w:t>as the maximum growth</w:t>
      </w:r>
      <w:r w:rsidR="00BA6877">
        <w:t xml:space="preserve"> or </w:t>
      </w:r>
      <w:r w:rsidR="00201F19">
        <w:t xml:space="preserve">maximum </w:t>
      </w:r>
      <w:r w:rsidR="00BA6877">
        <w:t>scale-up</w:t>
      </w:r>
      <w:r w:rsidR="00270F8B">
        <w:t xml:space="preserve"> rate</w:t>
      </w:r>
      <w:r w:rsidR="00201F19">
        <w:t xml:space="preserve"> of intervention coverage</w:t>
      </w:r>
      <w:r w:rsidR="00270F8B">
        <w:t xml:space="preserve"> (in percentage points</w:t>
      </w:r>
      <w:r w:rsidR="00270F8B" w:rsidRPr="00CF1D3F">
        <w:t xml:space="preserve"> per year); and </w:t>
      </w:r>
      <w:r w:rsidR="00270F8B" w:rsidRPr="00CF1D3F">
        <w:rPr>
          <w:i/>
        </w:rPr>
        <w:t>λ</w:t>
      </w:r>
      <w:r w:rsidR="00270F8B" w:rsidRPr="00CF1D3F">
        <w:t xml:space="preserve"> </w:t>
      </w:r>
      <w:r w:rsidR="00270F8B">
        <w:t>as</w:t>
      </w:r>
      <w:r w:rsidR="00270F8B" w:rsidRPr="00CF1D3F">
        <w:t xml:space="preserve"> the lag</w:t>
      </w:r>
      <w:r w:rsidR="00201F19">
        <w:t xml:space="preserve"> or delay</w:t>
      </w:r>
      <w:r w:rsidR="00270F8B" w:rsidRPr="00CF1D3F">
        <w:t xml:space="preserve"> time prior to the start of </w:t>
      </w:r>
      <w:r w:rsidR="00BA6877">
        <w:t>the</w:t>
      </w:r>
      <w:r w:rsidR="00270F8B" w:rsidRPr="00CF1D3F">
        <w:t xml:space="preserve"> intervention</w:t>
      </w:r>
      <w:r w:rsidR="00201F19">
        <w:t xml:space="preserve"> implementation</w:t>
      </w:r>
      <w:r w:rsidR="00270F8B">
        <w:t xml:space="preserve"> </w:t>
      </w:r>
      <w:r w:rsidR="00270F8B" w:rsidRPr="00CF1D3F">
        <w:t>(in years).</w:t>
      </w:r>
      <w:r w:rsidR="00270F8B">
        <w:t xml:space="preserve"> The initial level of intervention coverage is represented by </w:t>
      </w:r>
      <w:r w:rsidR="00270F8B">
        <w:rPr>
          <w:i/>
        </w:rPr>
        <w:t>y</w:t>
      </w:r>
      <w:r w:rsidR="00270F8B">
        <w:rPr>
          <w:i/>
          <w:vertAlign w:val="subscript"/>
        </w:rPr>
        <w:t>0</w:t>
      </w:r>
      <w:r w:rsidR="00BA6877">
        <w:t xml:space="preserve"> (</w:t>
      </w:r>
      <w:r w:rsidR="006F6DBC">
        <w:t>Figure 1 provides</w:t>
      </w:r>
      <w:r w:rsidR="00EE3A51">
        <w:t xml:space="preserve"> </w:t>
      </w:r>
      <w:r w:rsidR="006F6DBC">
        <w:t>a graphical representation</w:t>
      </w:r>
      <w:r w:rsidR="00BA6877">
        <w:t>)</w:t>
      </w:r>
      <w:r w:rsidR="006F6DBC">
        <w:t>.</w:t>
      </w:r>
    </w:p>
    <w:p w14:paraId="635FF0F1" w14:textId="77777777" w:rsidR="006F6DBC" w:rsidRDefault="006F6DBC" w:rsidP="00270F8B">
      <w:pPr>
        <w:spacing w:line="480" w:lineRule="auto"/>
      </w:pPr>
    </w:p>
    <w:p w14:paraId="2CDEE44F" w14:textId="677469AB" w:rsidR="006F6DBC" w:rsidRPr="006F6DBC" w:rsidRDefault="006F6DBC" w:rsidP="00280DA0">
      <w:pPr>
        <w:spacing w:line="480" w:lineRule="auto"/>
        <w:jc w:val="center"/>
        <w:outlineLvl w:val="0"/>
      </w:pPr>
      <w:r>
        <w:rPr>
          <w:b/>
        </w:rPr>
        <w:t xml:space="preserve">Insert Figure 1 </w:t>
      </w:r>
      <w:r w:rsidR="007E7C96">
        <w:rPr>
          <w:b/>
        </w:rPr>
        <w:t xml:space="preserve">around </w:t>
      </w:r>
      <w:r>
        <w:rPr>
          <w:b/>
        </w:rPr>
        <w:t>here</w:t>
      </w:r>
    </w:p>
    <w:p w14:paraId="0F3706C1" w14:textId="77777777" w:rsidR="00270F8B" w:rsidRDefault="00270F8B" w:rsidP="00CF1D3F">
      <w:pPr>
        <w:spacing w:line="480" w:lineRule="auto"/>
      </w:pPr>
    </w:p>
    <w:p w14:paraId="7E21FAFD" w14:textId="0FB3D136" w:rsidR="00CF1D3F" w:rsidRPr="00142B39" w:rsidRDefault="00CF1D3F" w:rsidP="00142B39">
      <w:pPr>
        <w:spacing w:line="480" w:lineRule="auto"/>
      </w:pPr>
      <w:r w:rsidRPr="00CF1D3F">
        <w:t xml:space="preserve">The logistic equation is a simple </w:t>
      </w:r>
      <w:r w:rsidR="00774D1B">
        <w:t>and widely</w:t>
      </w:r>
      <w:r w:rsidR="003D4DE2">
        <w:t xml:space="preserve"> </w:t>
      </w:r>
      <w:r w:rsidR="00774D1B">
        <w:t xml:space="preserve">used </w:t>
      </w:r>
      <w:r w:rsidRPr="00CF1D3F">
        <w:t xml:space="preserve">model. </w:t>
      </w:r>
      <w:r w:rsidR="00F14C60">
        <w:t>Though its simplicity is advantageous</w:t>
      </w:r>
      <w:r w:rsidRPr="00CF1D3F">
        <w:t xml:space="preserve">, it may not be well-suited to model </w:t>
      </w:r>
      <w:r w:rsidR="007E7C96">
        <w:t xml:space="preserve">coverage </w:t>
      </w:r>
      <w:r w:rsidR="00F14C60">
        <w:t>scale-up</w:t>
      </w:r>
      <w:r w:rsidR="001A3DC7">
        <w:t xml:space="preserve"> and evolution</w:t>
      </w:r>
      <w:r w:rsidR="00774D1B">
        <w:t>, especially since it is symmetric</w:t>
      </w:r>
      <w:r w:rsidR="00034E87">
        <w:t xml:space="preserve"> in shape</w:t>
      </w:r>
      <w:r w:rsidRPr="00CF1D3F">
        <w:t xml:space="preserve">. </w:t>
      </w:r>
      <w:r w:rsidR="00774D1B">
        <w:t>T</w:t>
      </w:r>
      <w:r w:rsidRPr="00CF1D3F">
        <w:t>he maximum growth rate</w:t>
      </w:r>
      <w:r w:rsidR="00FC4B3F">
        <w:t xml:space="preserve"> (i.e. the inflection point</w:t>
      </w:r>
      <w:r w:rsidR="001A3DC7">
        <w:t xml:space="preserve"> of the coverage curve</w:t>
      </w:r>
      <w:r w:rsidR="00FC4B3F">
        <w:t>)</w:t>
      </w:r>
      <w:r w:rsidRPr="00CF1D3F">
        <w:t xml:space="preserve"> can only occur halfway between the initial value </w:t>
      </w:r>
      <w:r w:rsidR="00EE3A51">
        <w:t>(</w:t>
      </w:r>
      <w:r w:rsidRPr="00CF1D3F">
        <w:rPr>
          <w:i/>
        </w:rPr>
        <w:t>y</w:t>
      </w:r>
      <w:r w:rsidRPr="00CF1D3F">
        <w:rPr>
          <w:i/>
          <w:vertAlign w:val="subscript"/>
        </w:rPr>
        <w:t>0</w:t>
      </w:r>
      <w:r w:rsidR="00EE3A51">
        <w:t>)</w:t>
      </w:r>
      <w:r w:rsidRPr="00CF1D3F">
        <w:rPr>
          <w:i/>
        </w:rPr>
        <w:t xml:space="preserve"> </w:t>
      </w:r>
      <w:r w:rsidR="0020544C">
        <w:t>and the asymptotic carrying capacity</w:t>
      </w:r>
      <w:r w:rsidR="00EE3A51">
        <w:t xml:space="preserve"> (</w:t>
      </w:r>
      <w:r w:rsidRPr="00CF1D3F">
        <w:rPr>
          <w:i/>
        </w:rPr>
        <w:t>A</w:t>
      </w:r>
      <w:r w:rsidR="00EE3A51">
        <w:t>).</w:t>
      </w:r>
      <w:r w:rsidR="0020544C">
        <w:t xml:space="preserve"> </w:t>
      </w:r>
      <w:r w:rsidR="007E7C96">
        <w:t>In fact, t</w:t>
      </w:r>
      <w:r w:rsidR="00774D1B">
        <w:t xml:space="preserve">here is no </w:t>
      </w:r>
      <w:r w:rsidR="00774D1B">
        <w:rPr>
          <w:i/>
        </w:rPr>
        <w:t>a priori</w:t>
      </w:r>
      <w:r w:rsidR="00774D1B">
        <w:t xml:space="preserve"> reason to believe that growth in ART coverage over time would be symmetric or that the highest rate of growth would be </w:t>
      </w:r>
      <w:r w:rsidR="00AE1F90">
        <w:t xml:space="preserve">exactly halfway </w:t>
      </w:r>
      <w:r w:rsidR="00774D1B">
        <w:t>between these two points</w:t>
      </w:r>
      <w:r w:rsidR="001A3DC7">
        <w:t xml:space="preserve"> (i.e. the start and end points).</w:t>
      </w:r>
      <w:r w:rsidR="003A243D">
        <w:t xml:space="preserve"> </w:t>
      </w:r>
      <w:r w:rsidR="00334973">
        <w:t>On the contrary, u</w:t>
      </w:r>
      <w:r w:rsidRPr="00CF1D3F">
        <w:t>nlike the logistic equation</w:t>
      </w:r>
      <w:r w:rsidR="00E65CCF">
        <w:t xml:space="preserve">, </w:t>
      </w:r>
      <w:r w:rsidRPr="00CF1D3F">
        <w:t>the Gompertz equation allows for asymmetry</w:t>
      </w:r>
      <w:r w:rsidR="00774D1B">
        <w:t xml:space="preserve">, as the maximum growth rate need not occur </w:t>
      </w:r>
      <w:r w:rsidR="00980006">
        <w:t xml:space="preserve">exactly halfway </w:t>
      </w:r>
      <w:r w:rsidR="00774D1B">
        <w:t xml:space="preserve">between </w:t>
      </w:r>
      <w:r w:rsidR="00774D1B">
        <w:rPr>
          <w:i/>
        </w:rPr>
        <w:t>y</w:t>
      </w:r>
      <w:r w:rsidR="00774D1B">
        <w:rPr>
          <w:i/>
          <w:vertAlign w:val="subscript"/>
        </w:rPr>
        <w:t>0</w:t>
      </w:r>
      <w:r w:rsidR="00774D1B">
        <w:rPr>
          <w:i/>
        </w:rPr>
        <w:t xml:space="preserve"> </w:t>
      </w:r>
      <w:r w:rsidR="00774D1B">
        <w:t xml:space="preserve">and </w:t>
      </w:r>
      <w:r w:rsidR="00774D1B">
        <w:rPr>
          <w:i/>
        </w:rPr>
        <w:t>A</w:t>
      </w:r>
      <w:r w:rsidRPr="00CF1D3F">
        <w:t xml:space="preserve">. This property </w:t>
      </w:r>
      <w:r w:rsidR="007E7C96">
        <w:t xml:space="preserve">may thus </w:t>
      </w:r>
      <w:r w:rsidRPr="00CF1D3F">
        <w:t xml:space="preserve">fit </w:t>
      </w:r>
      <w:r w:rsidR="00270F8B">
        <w:t>better</w:t>
      </w:r>
      <w:r w:rsidRPr="00CF1D3F">
        <w:t xml:space="preserve"> </w:t>
      </w:r>
      <w:r w:rsidR="007E7C96">
        <w:t>with the study of ART coverage evolution over time</w:t>
      </w:r>
      <w:r w:rsidR="003E5F45">
        <w:t>: ART c</w:t>
      </w:r>
      <w:r w:rsidRPr="00CF1D3F">
        <w:t>overage may grow rapidly in the initial stages</w:t>
      </w:r>
      <w:r w:rsidR="00270F8B">
        <w:t xml:space="preserve"> of a program</w:t>
      </w:r>
      <w:r w:rsidRPr="00CF1D3F">
        <w:t xml:space="preserve">, but marginal gains in later stages may be difficult to achieve. </w:t>
      </w:r>
      <w:r w:rsidR="00311AF0">
        <w:t>E</w:t>
      </w:r>
      <w:r w:rsidRPr="00CF1D3F">
        <w:t>xponential growth at low values</w:t>
      </w:r>
      <w:r w:rsidR="00142B39">
        <w:t xml:space="preserve"> of</w:t>
      </w:r>
      <w:r w:rsidR="00C61F9E">
        <w:t xml:space="preserve"> time</w:t>
      </w:r>
      <w:r w:rsidR="00142B39">
        <w:t xml:space="preserve"> </w:t>
      </w:r>
      <w:r w:rsidR="00C61F9E">
        <w:t>(</w:t>
      </w:r>
      <w:r w:rsidR="00142B39">
        <w:rPr>
          <w:i/>
        </w:rPr>
        <w:t>t</w:t>
      </w:r>
      <w:r w:rsidR="00C61F9E">
        <w:t xml:space="preserve">) </w:t>
      </w:r>
      <w:r w:rsidRPr="00CF1D3F">
        <w:t xml:space="preserve">and </w:t>
      </w:r>
      <w:r w:rsidR="00270F8B">
        <w:t xml:space="preserve">the </w:t>
      </w:r>
      <w:r w:rsidRPr="00CF1D3F">
        <w:t xml:space="preserve">gradual approach of an asymptote </w:t>
      </w:r>
      <w:r w:rsidR="006E15B0">
        <w:t>could be</w:t>
      </w:r>
      <w:r w:rsidRPr="00CF1D3F">
        <w:t xml:space="preserve"> desirable properties</w:t>
      </w:r>
      <w:r w:rsidR="00270F8B">
        <w:t xml:space="preserve"> in model</w:t>
      </w:r>
      <w:r w:rsidR="00334973">
        <w:t>ing coverage evolution and</w:t>
      </w:r>
      <w:r w:rsidR="00270F8B">
        <w:t xml:space="preserve"> program scale-up</w:t>
      </w:r>
      <w:r w:rsidR="00C61F9E">
        <w:t xml:space="preserve"> </w:t>
      </w:r>
      <w:r w:rsidR="00142B39">
        <w:t>(</w:t>
      </w:r>
      <w:r w:rsidR="00C61F9E">
        <w:t>e</w:t>
      </w:r>
      <w:r w:rsidR="00142B39">
        <w:t xml:space="preserve">xponential growth is linear on a log scale, and </w:t>
      </w:r>
      <w:r w:rsidR="00142B39">
        <w:rPr>
          <w:i/>
        </w:rPr>
        <w:t>l</w:t>
      </w:r>
      <w:r w:rsidR="00C61F9E">
        <w:rPr>
          <w:i/>
        </w:rPr>
        <w:t>n</w:t>
      </w:r>
      <w:r w:rsidR="00142B39">
        <w:rPr>
          <w:i/>
        </w:rPr>
        <w:t xml:space="preserve">(y) </w:t>
      </w:r>
      <w:r w:rsidR="00142B39">
        <w:t xml:space="preserve">for both the Gompertz and logistic models is linearly proportional to </w:t>
      </w:r>
      <w:r w:rsidR="00142B39">
        <w:rPr>
          <w:i/>
        </w:rPr>
        <w:t xml:space="preserve">t </w:t>
      </w:r>
      <w:r w:rsidR="00142B39">
        <w:t xml:space="preserve">for low values of </w:t>
      </w:r>
      <w:r w:rsidR="00142B39">
        <w:rPr>
          <w:i/>
        </w:rPr>
        <w:t>t</w:t>
      </w:r>
      <w:r w:rsidR="00142B39">
        <w:t>)</w:t>
      </w:r>
      <w:r w:rsidR="00C61F9E">
        <w:t>.</w:t>
      </w:r>
      <w:r w:rsidR="00311AF0">
        <w:t xml:space="preserve"> Therefore, we retained both the Gompertz and logistic growth models in our study.</w:t>
      </w:r>
    </w:p>
    <w:p w14:paraId="3C02F15D" w14:textId="77777777" w:rsidR="00D86D56" w:rsidRDefault="00D86D56" w:rsidP="00CF1D3F">
      <w:pPr>
        <w:spacing w:line="480" w:lineRule="auto"/>
      </w:pPr>
    </w:p>
    <w:p w14:paraId="25F457E6" w14:textId="77777777" w:rsidR="006E15B0" w:rsidRPr="009A7B0A" w:rsidRDefault="006E15B0" w:rsidP="00280DA0">
      <w:pPr>
        <w:spacing w:line="480" w:lineRule="auto"/>
        <w:outlineLvl w:val="0"/>
        <w:rPr>
          <w:i/>
        </w:rPr>
      </w:pPr>
      <w:r w:rsidRPr="009A7B0A">
        <w:rPr>
          <w:i/>
        </w:rPr>
        <w:t>Model estimation</w:t>
      </w:r>
    </w:p>
    <w:p w14:paraId="57F25367" w14:textId="4FF38F13" w:rsidR="00D86D56" w:rsidRPr="000D2137" w:rsidRDefault="00CD2663" w:rsidP="00CF1D3F">
      <w:pPr>
        <w:spacing w:line="480" w:lineRule="auto"/>
      </w:pPr>
      <w:r>
        <w:t>We fit</w:t>
      </w:r>
      <w:r w:rsidR="00311AF0">
        <w:t>ted</w:t>
      </w:r>
      <w:r>
        <w:t xml:space="preserve"> both </w:t>
      </w:r>
      <w:r w:rsidR="00ED11A8">
        <w:t>growth</w:t>
      </w:r>
      <w:r>
        <w:t xml:space="preserve"> models to ART </w:t>
      </w:r>
      <w:r w:rsidR="00ED11A8">
        <w:t xml:space="preserve">coverage </w:t>
      </w:r>
      <w:r w:rsidR="00311AF0">
        <w:t>time series data</w:t>
      </w:r>
      <w:r>
        <w:t xml:space="preserve"> using nonlinear regression</w:t>
      </w:r>
      <w:r w:rsidR="00311AF0">
        <w:t xml:space="preserve"> methods</w:t>
      </w:r>
      <w:r>
        <w:t xml:space="preserve">. All </w:t>
      </w:r>
      <w:r w:rsidR="00D145DE">
        <w:t xml:space="preserve">the </w:t>
      </w:r>
      <w:r>
        <w:t>analys</w:t>
      </w:r>
      <w:r w:rsidR="00D145DE">
        <w:t>e</w:t>
      </w:r>
      <w:r>
        <w:t xml:space="preserve">s </w:t>
      </w:r>
      <w:r w:rsidR="003778BD">
        <w:t xml:space="preserve">were </w:t>
      </w:r>
      <w:r>
        <w:t xml:space="preserve">performed </w:t>
      </w:r>
      <w:r w:rsidR="002A5DBA">
        <w:t>with</w:t>
      </w:r>
      <w:r>
        <w:t xml:space="preserve"> </w:t>
      </w:r>
      <w:r w:rsidR="00E565AB">
        <w:t xml:space="preserve">the </w:t>
      </w:r>
      <w:r>
        <w:t>Python programming language</w:t>
      </w:r>
      <w:r w:rsidR="002A5DBA">
        <w:t>;</w:t>
      </w:r>
      <w:r>
        <w:t xml:space="preserve"> </w:t>
      </w:r>
      <w:r w:rsidR="002A5DBA">
        <w:t>for the</w:t>
      </w:r>
      <w:r>
        <w:t xml:space="preserve"> nonlinear regressions, we used the LMFIT package</w:t>
      </w:r>
      <w:r w:rsidR="002A5DBA">
        <w:t xml:space="preserve">, </w:t>
      </w:r>
      <w:r>
        <w:t xml:space="preserve">which implements the Levenberg-Marquardt </w:t>
      </w:r>
      <w:r>
        <w:lastRenderedPageBreak/>
        <w:t>algorithm for least-squares minimization</w:t>
      </w:r>
      <w:r w:rsidR="001C4623">
        <w:t xml:space="preserve"> [</w:t>
      </w:r>
      <w:r w:rsidR="00311AF0">
        <w:t>2</w:t>
      </w:r>
      <w:r w:rsidR="008F3287">
        <w:t>3</w:t>
      </w:r>
      <w:r w:rsidR="001C4623">
        <w:t>]</w:t>
      </w:r>
      <w:r>
        <w:t>.</w:t>
      </w:r>
      <w:r w:rsidR="00FC4B3F">
        <w:t xml:space="preserve"> </w:t>
      </w:r>
      <w:r w:rsidR="002A5DBA" w:rsidRPr="00CF1D3F">
        <w:t xml:space="preserve">The </w:t>
      </w:r>
      <w:r w:rsidR="00311AF0">
        <w:t xml:space="preserve">goodness of the </w:t>
      </w:r>
      <w:r w:rsidR="002A5DBA" w:rsidRPr="00CF1D3F">
        <w:t>model</w:t>
      </w:r>
      <w:r w:rsidR="002A5DBA">
        <w:t xml:space="preserve"> fits</w:t>
      </w:r>
      <w:r w:rsidR="002A5DBA" w:rsidRPr="00CF1D3F">
        <w:t xml:space="preserve"> were then </w:t>
      </w:r>
      <w:r w:rsidR="00311AF0">
        <w:t>assessed</w:t>
      </w:r>
      <w:r w:rsidR="002A5DBA" w:rsidRPr="00CF1D3F">
        <w:t xml:space="preserve"> using the Bayesian information criterion (BIC)</w:t>
      </w:r>
      <w:r w:rsidR="001C4623">
        <w:t xml:space="preserve"> [</w:t>
      </w:r>
      <w:r w:rsidR="00311AF0">
        <w:t>2</w:t>
      </w:r>
      <w:r w:rsidR="008F3287">
        <w:t>4</w:t>
      </w:r>
      <w:r w:rsidR="001C4623">
        <w:t>]</w:t>
      </w:r>
      <w:r w:rsidR="002A5DBA">
        <w:t>. In addition, we</w:t>
      </w:r>
      <w:r w:rsidR="00431640">
        <w:t xml:space="preserve"> </w:t>
      </w:r>
      <w:r>
        <w:t xml:space="preserve">compared </w:t>
      </w:r>
      <w:r w:rsidR="00757CF7">
        <w:t>the estimated parameters</w:t>
      </w:r>
      <w:r>
        <w:t xml:space="preserve"> to values </w:t>
      </w:r>
      <w:r w:rsidR="00FC4B3F">
        <w:t>directly</w:t>
      </w:r>
      <w:r w:rsidR="002A5DBA">
        <w:t xml:space="preserve"> observed</w:t>
      </w:r>
      <w:r>
        <w:t xml:space="preserve"> from the data</w:t>
      </w:r>
      <w:r w:rsidR="002A5DBA">
        <w:t>: an</w:t>
      </w:r>
      <w:r w:rsidR="00D86D56">
        <w:t xml:space="preserve"> observed lag time was calculated as the number of years between 2000 </w:t>
      </w:r>
      <w:r w:rsidR="00FC4B3F">
        <w:t xml:space="preserve">(when data was first </w:t>
      </w:r>
      <w:r w:rsidR="00757CF7">
        <w:t>available</w:t>
      </w:r>
      <w:r w:rsidR="00FC4B3F">
        <w:t xml:space="preserve">) and </w:t>
      </w:r>
      <w:r w:rsidR="00D86D56">
        <w:t xml:space="preserve">a country’s first year with ART coverage </w:t>
      </w:r>
      <w:r w:rsidR="002A5DBA">
        <w:t xml:space="preserve">&gt; 0; </w:t>
      </w:r>
      <w:r w:rsidR="000D2137">
        <w:t xml:space="preserve">we </w:t>
      </w:r>
      <w:r w:rsidR="002A5DBA">
        <w:t xml:space="preserve">also </w:t>
      </w:r>
      <w:r w:rsidR="000D2137">
        <w:t xml:space="preserve">considered the average change in ART coverage, defined as current ART coverage divided by </w:t>
      </w:r>
      <w:r w:rsidR="001C4934">
        <w:t xml:space="preserve">the number of years since </w:t>
      </w:r>
      <w:r w:rsidR="002A5DBA">
        <w:t>ART coverage &gt; 0</w:t>
      </w:r>
      <w:r w:rsidR="000D2137">
        <w:t xml:space="preserve">. </w:t>
      </w:r>
    </w:p>
    <w:p w14:paraId="50BD8035" w14:textId="1DB47307" w:rsidR="00CD2663" w:rsidRDefault="00CD2663" w:rsidP="00CF1D3F">
      <w:pPr>
        <w:spacing w:line="480" w:lineRule="auto"/>
      </w:pPr>
    </w:p>
    <w:p w14:paraId="2EAD8CA4" w14:textId="77777777" w:rsidR="001C4623" w:rsidRPr="00CF1D3F" w:rsidRDefault="001C4623" w:rsidP="00CF1D3F">
      <w:pPr>
        <w:spacing w:line="480" w:lineRule="auto"/>
      </w:pPr>
    </w:p>
    <w:p w14:paraId="75033A74" w14:textId="77777777" w:rsidR="00EC169B" w:rsidRDefault="00EC169B" w:rsidP="00280DA0">
      <w:pPr>
        <w:spacing w:line="480" w:lineRule="auto"/>
        <w:outlineLvl w:val="0"/>
        <w:rPr>
          <w:b/>
        </w:rPr>
      </w:pPr>
      <w:commentRangeStart w:id="0"/>
      <w:r w:rsidRPr="00C84B76">
        <w:rPr>
          <w:b/>
          <w:highlight w:val="yellow"/>
        </w:rPr>
        <w:t>Results</w:t>
      </w:r>
      <w:commentRangeEnd w:id="0"/>
      <w:r w:rsidR="00C84B76" w:rsidRPr="00C84B76">
        <w:rPr>
          <w:rStyle w:val="CommentReference"/>
          <w:highlight w:val="yellow"/>
        </w:rPr>
        <w:commentReference w:id="0"/>
      </w:r>
    </w:p>
    <w:p w14:paraId="31CA126C" w14:textId="77777777" w:rsidR="00311AF0" w:rsidRDefault="00034733" w:rsidP="0047073F">
      <w:pPr>
        <w:spacing w:line="480" w:lineRule="auto"/>
      </w:pPr>
      <w:r>
        <w:t>We first</w:t>
      </w:r>
      <w:r w:rsidR="00F91912">
        <w:t xml:space="preserve"> </w:t>
      </w:r>
      <w:r w:rsidR="00883CB0">
        <w:t xml:space="preserve">display </w:t>
      </w:r>
      <w:r w:rsidR="00F91912">
        <w:t>the fit</w:t>
      </w:r>
      <w:r w:rsidR="00883CB0">
        <w:t>s</w:t>
      </w:r>
      <w:r w:rsidR="00F91912">
        <w:t xml:space="preserve"> of the Gompertz and logistic growth </w:t>
      </w:r>
      <w:r w:rsidR="00883CB0">
        <w:t xml:space="preserve">models </w:t>
      </w:r>
      <w:r w:rsidR="00F91912">
        <w:t xml:space="preserve">to the data of six </w:t>
      </w:r>
      <w:r w:rsidR="00883CB0">
        <w:t xml:space="preserve">selected sub-Saharan African </w:t>
      </w:r>
      <w:r w:rsidR="00F91912">
        <w:t xml:space="preserve">countries </w:t>
      </w:r>
      <w:r>
        <w:t>(Figure 2</w:t>
      </w:r>
      <w:r w:rsidR="006B7F2B">
        <w:t>), along with the</w:t>
      </w:r>
      <w:r w:rsidR="00F436DB">
        <w:t xml:space="preserve"> estimated </w:t>
      </w:r>
      <w:r w:rsidR="002C7987">
        <w:t xml:space="preserve">maximum </w:t>
      </w:r>
      <w:r w:rsidR="00F436DB">
        <w:t xml:space="preserve">rates of change </w:t>
      </w:r>
      <w:r w:rsidR="002C7987">
        <w:t>(</w:t>
      </w:r>
      <w:r w:rsidR="002C7987">
        <w:rPr>
          <w:rFonts w:cs="Times New Roman"/>
          <w:i/>
        </w:rPr>
        <w:t>μ</w:t>
      </w:r>
      <w:r w:rsidR="002C7987">
        <w:t xml:space="preserve">) </w:t>
      </w:r>
      <w:r w:rsidR="00F436DB">
        <w:t xml:space="preserve">across </w:t>
      </w:r>
      <w:r w:rsidR="006B7F2B">
        <w:t xml:space="preserve">all </w:t>
      </w:r>
      <w:r w:rsidR="002C7987">
        <w:t xml:space="preserve">the </w:t>
      </w:r>
      <w:r w:rsidR="00F436DB">
        <w:t xml:space="preserve">countries </w:t>
      </w:r>
      <w:r w:rsidR="006B7F2B">
        <w:t>examined</w:t>
      </w:r>
      <w:r w:rsidR="00367C3A">
        <w:t xml:space="preserve"> (Figure 3)</w:t>
      </w:r>
      <w:r w:rsidR="00F436DB">
        <w:t xml:space="preserve">. </w:t>
      </w:r>
    </w:p>
    <w:p w14:paraId="7751A3AD" w14:textId="77777777" w:rsidR="00311AF0" w:rsidRDefault="00311AF0" w:rsidP="0047073F">
      <w:pPr>
        <w:spacing w:line="480" w:lineRule="auto"/>
      </w:pPr>
    </w:p>
    <w:p w14:paraId="17E66A28" w14:textId="2EDB2FC7" w:rsidR="00EC169B" w:rsidRPr="0025578B" w:rsidRDefault="00055682" w:rsidP="0047073F">
      <w:pPr>
        <w:spacing w:line="480" w:lineRule="auto"/>
        <w:rPr>
          <w:rFonts w:cs="Times New Roman"/>
        </w:rPr>
      </w:pPr>
      <w:r>
        <w:t xml:space="preserve">With the Gompertz model, </w:t>
      </w:r>
      <w:r w:rsidR="0015760A">
        <w:t xml:space="preserve">the mean value of </w:t>
      </w:r>
      <w:r w:rsidR="0015760A">
        <w:rPr>
          <w:rFonts w:cs="Times New Roman"/>
          <w:i/>
        </w:rPr>
        <w:t>μ</w:t>
      </w:r>
      <w:r w:rsidR="0015760A">
        <w:rPr>
          <w:i/>
        </w:rPr>
        <w:t xml:space="preserve"> </w:t>
      </w:r>
      <w:r w:rsidR="0015760A">
        <w:t>in the sample was 5.1 percentage points per year</w:t>
      </w:r>
      <w:r w:rsidR="00CD5C5E">
        <w:t xml:space="preserve">, with a </w:t>
      </w:r>
      <w:r>
        <w:t>range from 1.0</w:t>
      </w:r>
      <w:r w:rsidR="00980006">
        <w:t xml:space="preserve"> percentage points per year</w:t>
      </w:r>
      <w:r>
        <w:t xml:space="preserve"> </w:t>
      </w:r>
      <w:r w:rsidR="00CD5C5E">
        <w:t>(</w:t>
      </w:r>
      <w:r>
        <w:t>Somalia</w:t>
      </w:r>
      <w:r w:rsidR="00CD5C5E">
        <w:t>)</w:t>
      </w:r>
      <w:r>
        <w:t xml:space="preserve"> to 11.5 </w:t>
      </w:r>
      <w:r w:rsidR="00980006">
        <w:t>percentage points per year</w:t>
      </w:r>
      <w:r w:rsidR="00CD5C5E">
        <w:t xml:space="preserve"> (</w:t>
      </w:r>
      <w:r>
        <w:t>Benin</w:t>
      </w:r>
      <w:r w:rsidR="00CD5C5E">
        <w:t>)</w:t>
      </w:r>
      <w:r>
        <w:t>.</w:t>
      </w:r>
      <w:r w:rsidR="000D2137">
        <w:t xml:space="preserve"> </w:t>
      </w:r>
      <w:r w:rsidR="0015760A">
        <w:t>For</w:t>
      </w:r>
      <w:r w:rsidR="000D2137">
        <w:t xml:space="preserve"> the logistic model, </w:t>
      </w:r>
      <w:r w:rsidR="00F436DB">
        <w:t xml:space="preserve">estimates of </w:t>
      </w:r>
      <w:r w:rsidR="000D2137">
        <w:rPr>
          <w:rFonts w:cs="Times New Roman"/>
          <w:i/>
        </w:rPr>
        <w:t xml:space="preserve">μ </w:t>
      </w:r>
      <w:r w:rsidR="000D2137">
        <w:rPr>
          <w:rFonts w:cs="Times New Roman"/>
        </w:rPr>
        <w:t xml:space="preserve">ranged from 1.1 </w:t>
      </w:r>
      <w:r w:rsidR="00980006">
        <w:t xml:space="preserve">percentage points per year </w:t>
      </w:r>
      <w:r w:rsidR="00CD5C5E">
        <w:rPr>
          <w:rFonts w:cs="Times New Roman"/>
        </w:rPr>
        <w:t>(</w:t>
      </w:r>
      <w:r w:rsidR="00980006">
        <w:rPr>
          <w:rFonts w:cs="Times New Roman"/>
        </w:rPr>
        <w:t>Somalia</w:t>
      </w:r>
      <w:r w:rsidR="00CD5C5E">
        <w:rPr>
          <w:rFonts w:cs="Times New Roman"/>
        </w:rPr>
        <w:t>)</w:t>
      </w:r>
      <w:r w:rsidR="000D2137">
        <w:rPr>
          <w:rFonts w:cs="Times New Roman"/>
        </w:rPr>
        <w:t xml:space="preserve"> to 12.5 </w:t>
      </w:r>
      <w:r w:rsidR="00AE1F90">
        <w:t xml:space="preserve">percentage points per year </w:t>
      </w:r>
      <w:r w:rsidR="00CD5C5E">
        <w:t>(</w:t>
      </w:r>
      <w:r w:rsidR="000D2137">
        <w:rPr>
          <w:rFonts w:cs="Times New Roman"/>
        </w:rPr>
        <w:t>South Sudan</w:t>
      </w:r>
      <w:r w:rsidR="00CD5C5E">
        <w:rPr>
          <w:rFonts w:cs="Times New Roman"/>
        </w:rPr>
        <w:t>)</w:t>
      </w:r>
      <w:r w:rsidR="0015760A">
        <w:rPr>
          <w:rFonts w:cs="Times New Roman"/>
        </w:rPr>
        <w:t>, with a mean value of 6.1 percentage points per year</w:t>
      </w:r>
      <w:r w:rsidR="000D2137">
        <w:rPr>
          <w:rFonts w:cs="Times New Roman"/>
        </w:rPr>
        <w:t xml:space="preserve">. </w:t>
      </w:r>
      <w:r w:rsidR="00CD5C5E">
        <w:rPr>
          <w:rFonts w:cs="Times New Roman"/>
        </w:rPr>
        <w:t>C</w:t>
      </w:r>
      <w:r w:rsidR="000D2137">
        <w:rPr>
          <w:rFonts w:cs="Times New Roman"/>
        </w:rPr>
        <w:t>ountry-specific estimates from the Gompertz and logistic models tended to cluster near similar values</w:t>
      </w:r>
      <w:r w:rsidR="00CD5C5E">
        <w:rPr>
          <w:rFonts w:cs="Times New Roman"/>
        </w:rPr>
        <w:t xml:space="preserve"> (Figure 3)</w:t>
      </w:r>
      <w:r w:rsidR="000D2137">
        <w:rPr>
          <w:rFonts w:cs="Times New Roman"/>
        </w:rPr>
        <w:t xml:space="preserve">. </w:t>
      </w:r>
      <w:r w:rsidR="001C4934">
        <w:rPr>
          <w:rFonts w:cs="Times New Roman"/>
        </w:rPr>
        <w:t xml:space="preserve">Still, there were </w:t>
      </w:r>
      <w:r w:rsidR="00CD5C5E">
        <w:rPr>
          <w:rFonts w:cs="Times New Roman"/>
        </w:rPr>
        <w:t xml:space="preserve">a few </w:t>
      </w:r>
      <w:r w:rsidR="001C4934">
        <w:rPr>
          <w:rFonts w:cs="Times New Roman"/>
        </w:rPr>
        <w:t xml:space="preserve">countries where estimates of </w:t>
      </w:r>
      <w:r w:rsidR="001C4934">
        <w:rPr>
          <w:rFonts w:cs="Times New Roman"/>
          <w:i/>
        </w:rPr>
        <w:t xml:space="preserve">μ </w:t>
      </w:r>
      <w:r w:rsidR="001C4934">
        <w:rPr>
          <w:rFonts w:cs="Times New Roman"/>
        </w:rPr>
        <w:t xml:space="preserve">diverged. </w:t>
      </w:r>
      <w:r w:rsidR="00CD5C5E">
        <w:rPr>
          <w:rFonts w:cs="Times New Roman"/>
        </w:rPr>
        <w:t>For example, for Madagascar, t</w:t>
      </w:r>
      <w:r w:rsidR="0025578B">
        <w:rPr>
          <w:rFonts w:cs="Times New Roman"/>
        </w:rPr>
        <w:t xml:space="preserve">he logistic model estimated </w:t>
      </w:r>
      <w:r w:rsidR="0025578B">
        <w:rPr>
          <w:rFonts w:cs="Times New Roman"/>
          <w:i/>
        </w:rPr>
        <w:t xml:space="preserve">μ </w:t>
      </w:r>
      <w:r w:rsidR="00CD5C5E">
        <w:rPr>
          <w:rFonts w:cs="Times New Roman"/>
        </w:rPr>
        <w:t>of</w:t>
      </w:r>
      <w:r w:rsidR="0025578B">
        <w:rPr>
          <w:rFonts w:cs="Times New Roman"/>
        </w:rPr>
        <w:t xml:space="preserve"> 2.6 percentage points per year, whereas the Gompertz model estimated </w:t>
      </w:r>
      <w:r w:rsidR="0025578B">
        <w:rPr>
          <w:rFonts w:cs="Times New Roman"/>
          <w:i/>
        </w:rPr>
        <w:t xml:space="preserve">μ </w:t>
      </w:r>
      <w:r w:rsidR="00CD5C5E">
        <w:rPr>
          <w:rFonts w:cs="Times New Roman"/>
        </w:rPr>
        <w:t>of</w:t>
      </w:r>
      <w:r w:rsidR="0025578B">
        <w:rPr>
          <w:rFonts w:cs="Times New Roman"/>
        </w:rPr>
        <w:t xml:space="preserve"> 8.1 percentage points per year</w:t>
      </w:r>
      <w:r w:rsidR="00CD5C5E">
        <w:rPr>
          <w:rFonts w:cs="Times New Roman"/>
        </w:rPr>
        <w:t>;</w:t>
      </w:r>
      <w:r w:rsidR="001C4934">
        <w:rPr>
          <w:rFonts w:cs="Times New Roman"/>
        </w:rPr>
        <w:t xml:space="preserve"> </w:t>
      </w:r>
      <w:r w:rsidR="00CD5C5E">
        <w:rPr>
          <w:rFonts w:cs="Times New Roman"/>
        </w:rPr>
        <w:t>for</w:t>
      </w:r>
      <w:r w:rsidR="001C4934">
        <w:rPr>
          <w:rFonts w:cs="Times New Roman"/>
        </w:rPr>
        <w:t xml:space="preserve"> South Suda</w:t>
      </w:r>
      <w:r w:rsidR="00CD5C5E">
        <w:rPr>
          <w:rFonts w:cs="Times New Roman"/>
        </w:rPr>
        <w:t xml:space="preserve">n, </w:t>
      </w:r>
      <w:r w:rsidR="001C4934">
        <w:rPr>
          <w:rFonts w:cs="Times New Roman"/>
        </w:rPr>
        <w:t xml:space="preserve">5.7 </w:t>
      </w:r>
      <w:r w:rsidR="00CD5C5E">
        <w:rPr>
          <w:rFonts w:cs="Times New Roman"/>
        </w:rPr>
        <w:t xml:space="preserve">percentage points per year </w:t>
      </w:r>
      <w:r w:rsidR="001C4934">
        <w:rPr>
          <w:rFonts w:cs="Times New Roman"/>
        </w:rPr>
        <w:t>for the Gompertz vs. 12.5 for the logistic.</w:t>
      </w:r>
      <w:r w:rsidR="00303CFE">
        <w:rPr>
          <w:rFonts w:cs="Times New Roman"/>
        </w:rPr>
        <w:t xml:space="preserve"> These </w:t>
      </w:r>
      <w:r w:rsidR="00CD5C5E">
        <w:rPr>
          <w:rFonts w:cs="Times New Roman"/>
        </w:rPr>
        <w:t xml:space="preserve">two </w:t>
      </w:r>
      <w:r w:rsidR="00303CFE">
        <w:rPr>
          <w:rFonts w:cs="Times New Roman"/>
        </w:rPr>
        <w:t>countries</w:t>
      </w:r>
      <w:r w:rsidR="00CD5C5E">
        <w:rPr>
          <w:rFonts w:cs="Times New Roman"/>
        </w:rPr>
        <w:t xml:space="preserve"> were</w:t>
      </w:r>
      <w:r w:rsidR="00303CFE">
        <w:rPr>
          <w:rFonts w:cs="Times New Roman"/>
        </w:rPr>
        <w:t xml:space="preserve"> however</w:t>
      </w:r>
      <w:r w:rsidR="00CD5C5E">
        <w:rPr>
          <w:rFonts w:cs="Times New Roman"/>
        </w:rPr>
        <w:t xml:space="preserve"> outliers as they</w:t>
      </w:r>
      <w:r w:rsidR="00303CFE">
        <w:rPr>
          <w:rFonts w:cs="Times New Roman"/>
        </w:rPr>
        <w:t xml:space="preserve"> ha</w:t>
      </w:r>
      <w:r w:rsidR="00CD5C5E">
        <w:rPr>
          <w:rFonts w:cs="Times New Roman"/>
        </w:rPr>
        <w:t>d</w:t>
      </w:r>
      <w:r w:rsidR="00303CFE">
        <w:rPr>
          <w:rFonts w:cs="Times New Roman"/>
        </w:rPr>
        <w:t xml:space="preserve"> ART coverage levels below 10%</w:t>
      </w:r>
      <w:r w:rsidR="00CD5C5E">
        <w:rPr>
          <w:rFonts w:cs="Times New Roman"/>
        </w:rPr>
        <w:t xml:space="preserve">, which thus </w:t>
      </w:r>
      <w:r w:rsidR="00A32624">
        <w:rPr>
          <w:rFonts w:cs="Times New Roman"/>
        </w:rPr>
        <w:t>make</w:t>
      </w:r>
      <w:r w:rsidR="00CD5C5E">
        <w:rPr>
          <w:rFonts w:cs="Times New Roman"/>
        </w:rPr>
        <w:t>s</w:t>
      </w:r>
      <w:r w:rsidR="00A32624">
        <w:rPr>
          <w:rFonts w:cs="Times New Roman"/>
        </w:rPr>
        <w:t xml:space="preserve"> </w:t>
      </w:r>
      <w:r w:rsidR="00A32624">
        <w:rPr>
          <w:rFonts w:cs="Times New Roman"/>
        </w:rPr>
        <w:lastRenderedPageBreak/>
        <w:t>it difficult to model ART coverage scale-up</w:t>
      </w:r>
      <w:r w:rsidR="004C5B39">
        <w:rPr>
          <w:rFonts w:cs="Times New Roman"/>
        </w:rPr>
        <w:t xml:space="preserve"> [1</w:t>
      </w:r>
      <w:r w:rsidR="00311AF0">
        <w:rPr>
          <w:rFonts w:cs="Times New Roman"/>
        </w:rPr>
        <w:t>7</w:t>
      </w:r>
      <w:r w:rsidR="004C5B39">
        <w:rPr>
          <w:rFonts w:cs="Times New Roman"/>
        </w:rPr>
        <w:t>]</w:t>
      </w:r>
      <w:r w:rsidR="00311AF0">
        <w:rPr>
          <w:rFonts w:cs="Times New Roman"/>
        </w:rPr>
        <w:t xml:space="preserve"> given the relatively low changes in coverage magnitude over time.</w:t>
      </w:r>
    </w:p>
    <w:p w14:paraId="7FCEADFD" w14:textId="77777777" w:rsidR="00597B7F" w:rsidRPr="000D2137" w:rsidRDefault="00597B7F" w:rsidP="0047073F">
      <w:pPr>
        <w:spacing w:line="480" w:lineRule="auto"/>
      </w:pPr>
    </w:p>
    <w:p w14:paraId="3D8CB325" w14:textId="5A40D031" w:rsidR="00E75364" w:rsidRDefault="00120B4A" w:rsidP="00280DA0">
      <w:pPr>
        <w:spacing w:line="480" w:lineRule="auto"/>
        <w:jc w:val="center"/>
        <w:outlineLvl w:val="0"/>
        <w:rPr>
          <w:b/>
        </w:rPr>
      </w:pPr>
      <w:r>
        <w:rPr>
          <w:b/>
        </w:rPr>
        <w:t>Insert Figure</w:t>
      </w:r>
      <w:r w:rsidR="00034733">
        <w:rPr>
          <w:b/>
        </w:rPr>
        <w:t>s</w:t>
      </w:r>
      <w:r>
        <w:rPr>
          <w:b/>
        </w:rPr>
        <w:t xml:space="preserve"> 2</w:t>
      </w:r>
      <w:r w:rsidR="00034733">
        <w:rPr>
          <w:b/>
        </w:rPr>
        <w:t xml:space="preserve"> and 3</w:t>
      </w:r>
      <w:r w:rsidR="000D2137">
        <w:rPr>
          <w:b/>
        </w:rPr>
        <w:t xml:space="preserve"> </w:t>
      </w:r>
      <w:r w:rsidR="00367C3A">
        <w:rPr>
          <w:b/>
        </w:rPr>
        <w:t xml:space="preserve">around </w:t>
      </w:r>
      <w:r w:rsidR="00597B7F">
        <w:rPr>
          <w:b/>
        </w:rPr>
        <w:t>h</w:t>
      </w:r>
      <w:r w:rsidR="000D2137">
        <w:rPr>
          <w:b/>
        </w:rPr>
        <w:t>ere</w:t>
      </w:r>
    </w:p>
    <w:p w14:paraId="06F47898" w14:textId="77777777" w:rsidR="001C4934" w:rsidRDefault="001C4934" w:rsidP="00120B4A">
      <w:pPr>
        <w:spacing w:line="480" w:lineRule="auto"/>
        <w:jc w:val="center"/>
        <w:rPr>
          <w:b/>
        </w:rPr>
      </w:pPr>
    </w:p>
    <w:p w14:paraId="523BE889" w14:textId="40F4F815" w:rsidR="00280DA0" w:rsidRPr="004B44EE" w:rsidRDefault="001C4934" w:rsidP="001C4934">
      <w:pPr>
        <w:spacing w:line="480" w:lineRule="auto"/>
      </w:pPr>
      <w:r>
        <w:t xml:space="preserve">Table 2 shows </w:t>
      </w:r>
      <w:r w:rsidR="000F060A">
        <w:t xml:space="preserve">the </w:t>
      </w:r>
      <w:r w:rsidR="00930011">
        <w:t>estimate</w:t>
      </w:r>
      <w:r w:rsidR="00CC23E9">
        <w:t>d</w:t>
      </w:r>
      <w:r w:rsidR="00930011">
        <w:t xml:space="preserve"> </w:t>
      </w:r>
      <w:r w:rsidR="000F060A">
        <w:t>rate</w:t>
      </w:r>
      <w:r w:rsidR="00930011">
        <w:t>s</w:t>
      </w:r>
      <w:r w:rsidR="000F060A">
        <w:t xml:space="preserve"> of change </w:t>
      </w:r>
      <w:r w:rsidR="00930011">
        <w:t>per</w:t>
      </w:r>
      <w:r w:rsidR="000F060A">
        <w:t xml:space="preserve"> count</w:t>
      </w:r>
      <w:r w:rsidR="00930011">
        <w:t>y</w:t>
      </w:r>
      <w:r w:rsidR="000F060A">
        <w:t xml:space="preserve"> along with </w:t>
      </w:r>
      <w:r w:rsidR="00930011">
        <w:t>a</w:t>
      </w:r>
      <w:r w:rsidR="00061CFA">
        <w:t>n associated</w:t>
      </w:r>
      <w:r w:rsidR="000F060A">
        <w:t xml:space="preserve"> ranking</w:t>
      </w:r>
      <w:r w:rsidR="00FD38B5">
        <w:t>.</w:t>
      </w:r>
      <w:r w:rsidR="004B44EE">
        <w:t xml:space="preserve"> For </w:t>
      </w:r>
      <w:r w:rsidR="00280DA0">
        <w:t xml:space="preserve">a majority of </w:t>
      </w:r>
      <w:r w:rsidR="004B44EE">
        <w:t xml:space="preserve">countries, the rankings were similar across </w:t>
      </w:r>
      <w:r w:rsidR="00280DA0">
        <w:t>Gompertz vs. logistic models</w:t>
      </w:r>
      <w:r w:rsidR="004B44EE">
        <w:t xml:space="preserve">. </w:t>
      </w:r>
      <w:r w:rsidR="00280DA0">
        <w:t xml:space="preserve">For example, </w:t>
      </w:r>
      <w:r w:rsidR="004B44EE">
        <w:t xml:space="preserve">Benin remained a top performer, </w:t>
      </w:r>
      <w:r w:rsidR="00B72909">
        <w:t>while</w:t>
      </w:r>
      <w:r w:rsidR="004B44EE">
        <w:t xml:space="preserve"> Somalia </w:t>
      </w:r>
      <w:r w:rsidR="00B72909">
        <w:t xml:space="preserve">remained a </w:t>
      </w:r>
      <w:r w:rsidR="00280DA0">
        <w:t xml:space="preserve">bottom </w:t>
      </w:r>
      <w:r w:rsidR="00B72909">
        <w:t>performer</w:t>
      </w:r>
      <w:r w:rsidR="00061CFA">
        <w:t>.</w:t>
      </w:r>
      <w:r w:rsidR="004B44EE">
        <w:t xml:space="preserve"> In between</w:t>
      </w:r>
      <w:r w:rsidR="00280DA0">
        <w:t xml:space="preserve">, </w:t>
      </w:r>
      <w:r w:rsidR="004B44EE">
        <w:t xml:space="preserve">however, the rankings were less stable. </w:t>
      </w:r>
      <w:r w:rsidR="00B0352B">
        <w:t>For example, w</w:t>
      </w:r>
      <w:r w:rsidR="00142B39">
        <w:t xml:space="preserve">hen assessed on the </w:t>
      </w:r>
      <w:r w:rsidR="00B0352B">
        <w:t xml:space="preserve">observed </w:t>
      </w:r>
      <w:r w:rsidR="00061CFA">
        <w:t xml:space="preserve">crude </w:t>
      </w:r>
      <w:r w:rsidR="00142B39">
        <w:t>average rate of change, South Sudan ranked 36</w:t>
      </w:r>
      <w:r w:rsidR="00142B39" w:rsidRPr="00142B39">
        <w:rPr>
          <w:vertAlign w:val="superscript"/>
        </w:rPr>
        <w:t>th</w:t>
      </w:r>
      <w:r w:rsidR="00573A43">
        <w:t>,</w:t>
      </w:r>
      <w:r w:rsidR="00142B39">
        <w:t xml:space="preserve"> </w:t>
      </w:r>
      <w:r w:rsidR="00573A43">
        <w:t>while 1</w:t>
      </w:r>
      <w:r w:rsidR="00573A43" w:rsidRPr="00396B31">
        <w:rPr>
          <w:vertAlign w:val="superscript"/>
        </w:rPr>
        <w:t>st</w:t>
      </w:r>
      <w:r w:rsidR="00573A43">
        <w:t xml:space="preserve"> on the </w:t>
      </w:r>
      <w:r w:rsidR="00142B39">
        <w:t>estimate</w:t>
      </w:r>
      <w:r w:rsidR="00573A43">
        <w:t>d</w:t>
      </w:r>
      <w:r w:rsidR="00142B39">
        <w:t xml:space="preserve"> </w:t>
      </w:r>
      <w:r w:rsidR="00142B39" w:rsidRPr="00142B39">
        <w:rPr>
          <w:rFonts w:cs="Times New Roman"/>
          <w:i/>
        </w:rPr>
        <w:t>μ</w:t>
      </w:r>
      <w:r w:rsidR="00142B39">
        <w:rPr>
          <w:i/>
        </w:rPr>
        <w:t xml:space="preserve"> </w:t>
      </w:r>
      <w:r w:rsidR="00142B39">
        <w:t xml:space="preserve">from the logistic </w:t>
      </w:r>
      <w:r w:rsidR="003D32F4">
        <w:t>model</w:t>
      </w:r>
      <w:r w:rsidR="00573A43">
        <w:t>;</w:t>
      </w:r>
      <w:r w:rsidR="00142B39">
        <w:t xml:space="preserve"> </w:t>
      </w:r>
      <w:r w:rsidR="003D32F4">
        <w:t>Kenya ranked 8</w:t>
      </w:r>
      <w:r w:rsidR="003D32F4" w:rsidRPr="003D32F4">
        <w:rPr>
          <w:vertAlign w:val="superscript"/>
        </w:rPr>
        <w:t>th</w:t>
      </w:r>
      <w:r w:rsidR="003D32F4">
        <w:t xml:space="preserve"> under the </w:t>
      </w:r>
      <w:r w:rsidR="00573A43">
        <w:t xml:space="preserve">observed </w:t>
      </w:r>
      <w:r w:rsidR="00061CFA">
        <w:t xml:space="preserve">crude </w:t>
      </w:r>
      <w:r w:rsidR="003D32F4">
        <w:t xml:space="preserve">average rate of change </w:t>
      </w:r>
      <w:r w:rsidR="00573A43">
        <w:t>while</w:t>
      </w:r>
      <w:r w:rsidR="003D32F4">
        <w:t xml:space="preserve"> 18</w:t>
      </w:r>
      <w:r w:rsidR="003D32F4" w:rsidRPr="003D32F4">
        <w:rPr>
          <w:vertAlign w:val="superscript"/>
        </w:rPr>
        <w:t>th</w:t>
      </w:r>
      <w:r w:rsidR="003D32F4">
        <w:t xml:space="preserve"> under the </w:t>
      </w:r>
      <w:r w:rsidR="00573A43">
        <w:t>estimated</w:t>
      </w:r>
      <w:r w:rsidR="00573A43" w:rsidRPr="00573A43">
        <w:rPr>
          <w:rFonts w:cs="Times New Roman"/>
          <w:i/>
        </w:rPr>
        <w:t xml:space="preserve"> </w:t>
      </w:r>
      <w:r w:rsidR="00573A43" w:rsidRPr="00142B39">
        <w:rPr>
          <w:rFonts w:cs="Times New Roman"/>
          <w:i/>
        </w:rPr>
        <w:t>μ</w:t>
      </w:r>
      <w:r w:rsidR="00573A43">
        <w:t xml:space="preserve"> from the </w:t>
      </w:r>
      <w:r w:rsidR="003D32F4">
        <w:t xml:space="preserve">logistic model. </w:t>
      </w:r>
      <w:r w:rsidR="00573A43">
        <w:t xml:space="preserve">Overall, correlation in ranks on </w:t>
      </w:r>
      <w:r w:rsidR="00573A43" w:rsidRPr="00142B39">
        <w:rPr>
          <w:rFonts w:cs="Times New Roman"/>
          <w:i/>
        </w:rPr>
        <w:t>μ</w:t>
      </w:r>
      <w:r w:rsidR="00573A43">
        <w:rPr>
          <w:rFonts w:cs="Times New Roman"/>
        </w:rPr>
        <w:t xml:space="preserve"> between the logistic and Gompertz models was 0.96; while it was 0.53 between Gompertz’s </w:t>
      </w:r>
      <w:r w:rsidR="00573A43" w:rsidRPr="00142B39">
        <w:rPr>
          <w:rFonts w:cs="Times New Roman"/>
          <w:i/>
        </w:rPr>
        <w:t>μ</w:t>
      </w:r>
      <w:r w:rsidR="00573A43">
        <w:rPr>
          <w:rFonts w:cs="Times New Roman"/>
        </w:rPr>
        <w:t xml:space="preserve"> and the observed </w:t>
      </w:r>
      <w:r w:rsidR="00061CFA">
        <w:rPr>
          <w:rFonts w:cs="Times New Roman"/>
        </w:rPr>
        <w:t xml:space="preserve">crude </w:t>
      </w:r>
      <w:r w:rsidR="00573A43">
        <w:rPr>
          <w:rFonts w:cs="Times New Roman"/>
        </w:rPr>
        <w:t xml:space="preserve">average rate of change, and 0.43 between </w:t>
      </w:r>
      <w:r w:rsidR="000E3019">
        <w:rPr>
          <w:rFonts w:cs="Times New Roman"/>
        </w:rPr>
        <w:t>logistic</w:t>
      </w:r>
      <w:r w:rsidR="00573A43">
        <w:rPr>
          <w:rFonts w:cs="Times New Roman"/>
        </w:rPr>
        <w:t xml:space="preserve">’s </w:t>
      </w:r>
      <w:r w:rsidR="00573A43" w:rsidRPr="00142B39">
        <w:rPr>
          <w:rFonts w:cs="Times New Roman"/>
          <w:i/>
        </w:rPr>
        <w:t>μ</w:t>
      </w:r>
      <w:r w:rsidR="00573A43">
        <w:rPr>
          <w:rFonts w:cs="Times New Roman"/>
        </w:rPr>
        <w:t xml:space="preserve"> and the observed </w:t>
      </w:r>
      <w:r w:rsidR="00061CFA">
        <w:rPr>
          <w:rFonts w:cs="Times New Roman"/>
        </w:rPr>
        <w:t xml:space="preserve">crude </w:t>
      </w:r>
      <w:r w:rsidR="00573A43">
        <w:rPr>
          <w:rFonts w:cs="Times New Roman"/>
        </w:rPr>
        <w:t>average rate of change</w:t>
      </w:r>
      <w:r w:rsidR="000E3019">
        <w:rPr>
          <w:rFonts w:cs="Times New Roman"/>
        </w:rPr>
        <w:t>. These differences also come from the fact that average rate</w:t>
      </w:r>
      <w:r w:rsidR="00061CFA">
        <w:rPr>
          <w:rFonts w:cs="Times New Roman"/>
        </w:rPr>
        <w:t>s</w:t>
      </w:r>
      <w:r w:rsidR="000E3019">
        <w:rPr>
          <w:rFonts w:cs="Times New Roman"/>
        </w:rPr>
        <w:t xml:space="preserve"> of change and maximum rate</w:t>
      </w:r>
      <w:r w:rsidR="00061CFA">
        <w:rPr>
          <w:rFonts w:cs="Times New Roman"/>
        </w:rPr>
        <w:t>s</w:t>
      </w:r>
      <w:r w:rsidR="000E3019">
        <w:rPr>
          <w:rFonts w:cs="Times New Roman"/>
        </w:rPr>
        <w:t xml:space="preserve"> of change (</w:t>
      </w:r>
      <w:r w:rsidR="000E3019" w:rsidRPr="00142B39">
        <w:rPr>
          <w:rFonts w:cs="Times New Roman"/>
          <w:i/>
        </w:rPr>
        <w:t>μ</w:t>
      </w:r>
      <w:r w:rsidR="000E3019">
        <w:rPr>
          <w:rFonts w:cs="Times New Roman"/>
        </w:rPr>
        <w:t>) capture two different things.</w:t>
      </w:r>
    </w:p>
    <w:p w14:paraId="1117A72B" w14:textId="77777777" w:rsidR="004B44EE" w:rsidRDefault="004B44EE" w:rsidP="001C4934">
      <w:pPr>
        <w:spacing w:line="480" w:lineRule="auto"/>
      </w:pPr>
    </w:p>
    <w:p w14:paraId="5374E0CE" w14:textId="303D3D7E" w:rsidR="004B44EE" w:rsidRPr="004B44EE" w:rsidRDefault="004B44EE" w:rsidP="00280DA0">
      <w:pPr>
        <w:spacing w:line="480" w:lineRule="auto"/>
        <w:jc w:val="center"/>
        <w:outlineLvl w:val="0"/>
      </w:pPr>
      <w:r>
        <w:rPr>
          <w:b/>
        </w:rPr>
        <w:t xml:space="preserve">Insert Table 2 </w:t>
      </w:r>
      <w:r w:rsidR="000E3019">
        <w:rPr>
          <w:b/>
        </w:rPr>
        <w:t xml:space="preserve">around </w:t>
      </w:r>
      <w:r>
        <w:rPr>
          <w:b/>
        </w:rPr>
        <w:t>here</w:t>
      </w:r>
    </w:p>
    <w:p w14:paraId="45E123EA" w14:textId="77777777" w:rsidR="004B44EE" w:rsidRPr="001C4934" w:rsidRDefault="004B44EE" w:rsidP="001C4934">
      <w:pPr>
        <w:spacing w:line="480" w:lineRule="auto"/>
      </w:pPr>
    </w:p>
    <w:p w14:paraId="59C171F9" w14:textId="5F4EA273" w:rsidR="007B295D" w:rsidRDefault="00510608" w:rsidP="007B295D">
      <w:pPr>
        <w:spacing w:line="480" w:lineRule="auto"/>
      </w:pPr>
      <w:r>
        <w:t xml:space="preserve">As for time delays, </w:t>
      </w:r>
      <w:r w:rsidR="003E0110">
        <w:t xml:space="preserve">the </w:t>
      </w:r>
      <w:r>
        <w:t>e</w:t>
      </w:r>
      <w:r w:rsidR="007B295D">
        <w:t>stimate</w:t>
      </w:r>
      <w:r>
        <w:t>d mean value of</w:t>
      </w:r>
      <w:r w:rsidR="007B295D">
        <w:t xml:space="preserve"> </w:t>
      </w:r>
      <w:r w:rsidR="007B295D">
        <w:rPr>
          <w:rFonts w:cs="Times New Roman"/>
          <w:i/>
        </w:rPr>
        <w:t>λ</w:t>
      </w:r>
      <w:r w:rsidR="007B295D">
        <w:t xml:space="preserve"> </w:t>
      </w:r>
      <w:r w:rsidR="0015760A">
        <w:t>was 6.4 years</w:t>
      </w:r>
      <w:r>
        <w:t xml:space="preserve"> </w:t>
      </w:r>
      <w:r w:rsidR="0015760A">
        <w:t xml:space="preserve">with the Gompertz model </w:t>
      </w:r>
      <w:r>
        <w:t xml:space="preserve">compared with </w:t>
      </w:r>
      <w:r w:rsidR="0015760A">
        <w:t>7.0 years with the logistic model</w:t>
      </w:r>
      <w:r>
        <w:t xml:space="preserve"> (Figure 4).</w:t>
      </w:r>
      <w:r w:rsidR="0015760A">
        <w:t xml:space="preserve"> </w:t>
      </w:r>
      <w:r w:rsidR="007B295D">
        <w:t xml:space="preserve">Most of the </w:t>
      </w:r>
      <w:r w:rsidR="00B15931">
        <w:t xml:space="preserve">differences </w:t>
      </w:r>
      <w:r w:rsidR="007B295D">
        <w:t xml:space="preserve">between the observed and estimated delays occur in a small group of countries </w:t>
      </w:r>
      <w:r w:rsidR="00095ABB">
        <w:t xml:space="preserve">such as </w:t>
      </w:r>
      <w:r w:rsidR="007B295D">
        <w:t>Madagascar</w:t>
      </w:r>
      <w:r w:rsidR="003C63E0">
        <w:t xml:space="preserve"> and South Sudan, countries which</w:t>
      </w:r>
      <w:r w:rsidR="00B15931">
        <w:t xml:space="preserve"> </w:t>
      </w:r>
      <w:r w:rsidR="006674B6">
        <w:t>tend to have</w:t>
      </w:r>
      <w:r w:rsidR="00597B7F">
        <w:t xml:space="preserve"> low</w:t>
      </w:r>
      <w:r w:rsidR="003C63E0">
        <w:t xml:space="preserve"> levels</w:t>
      </w:r>
      <w:r w:rsidR="00597B7F">
        <w:t xml:space="preserve"> </w:t>
      </w:r>
      <w:r w:rsidR="003C63E0">
        <w:t xml:space="preserve">of both </w:t>
      </w:r>
      <w:r w:rsidR="00880F2F">
        <w:t xml:space="preserve">ART coverage </w:t>
      </w:r>
      <w:r w:rsidR="00431640">
        <w:t>and HIV prevalence</w:t>
      </w:r>
      <w:r w:rsidR="00880F2F">
        <w:t>.</w:t>
      </w:r>
      <w:r w:rsidR="003C63E0">
        <w:t xml:space="preserve"> For </w:t>
      </w:r>
      <w:r w:rsidR="003C63E0">
        <w:lastRenderedPageBreak/>
        <w:t>example, i</w:t>
      </w:r>
      <w:r w:rsidR="006674B6">
        <w:t>n 20</w:t>
      </w:r>
      <w:r w:rsidR="006674B6" w:rsidRPr="003E0110">
        <w:rPr>
          <w:highlight w:val="yellow"/>
        </w:rPr>
        <w:t>15</w:t>
      </w:r>
      <w:r w:rsidR="006674B6">
        <w:t xml:space="preserve">, </w:t>
      </w:r>
      <w:r w:rsidR="003C63E0">
        <w:t xml:space="preserve">Madagascar had an HIV prevalence </w:t>
      </w:r>
      <w:r w:rsidR="003C63E0" w:rsidRPr="003E0110">
        <w:rPr>
          <w:highlight w:val="yellow"/>
        </w:rPr>
        <w:t>of 0.2%</w:t>
      </w:r>
      <w:r w:rsidR="003C63E0">
        <w:t xml:space="preserve"> and ART coverage </w:t>
      </w:r>
      <w:r w:rsidR="003C63E0" w:rsidRPr="003E0110">
        <w:rPr>
          <w:highlight w:val="yellow"/>
        </w:rPr>
        <w:t>of 4%;</w:t>
      </w:r>
      <w:r w:rsidR="003C63E0">
        <w:t xml:space="preserve"> for South Sudan, it was </w:t>
      </w:r>
      <w:r w:rsidR="006674B6">
        <w:t>2</w:t>
      </w:r>
      <w:r w:rsidR="006674B6" w:rsidRPr="003E0110">
        <w:rPr>
          <w:highlight w:val="yellow"/>
        </w:rPr>
        <w:t>.8% and 9%</w:t>
      </w:r>
      <w:r w:rsidR="003A7B87" w:rsidRPr="003E0110">
        <w:rPr>
          <w:highlight w:val="yellow"/>
        </w:rPr>
        <w:t>,</w:t>
      </w:r>
      <w:r w:rsidR="003A7B87">
        <w:t xml:space="preserve"> respectively</w:t>
      </w:r>
      <w:r w:rsidR="004C5B39">
        <w:t xml:space="preserve"> [</w:t>
      </w:r>
      <w:r w:rsidR="008F3287">
        <w:t>20</w:t>
      </w:r>
      <w:r w:rsidR="004C5B39">
        <w:t>,2</w:t>
      </w:r>
      <w:r w:rsidR="008F3287">
        <w:t>5</w:t>
      </w:r>
      <w:r w:rsidR="004C5B39">
        <w:t xml:space="preserve">]. </w:t>
      </w:r>
    </w:p>
    <w:p w14:paraId="6D3E4DFF" w14:textId="77777777" w:rsidR="007B295D" w:rsidRPr="007B295D" w:rsidRDefault="007B295D" w:rsidP="007B295D">
      <w:pPr>
        <w:spacing w:line="480" w:lineRule="auto"/>
      </w:pPr>
    </w:p>
    <w:p w14:paraId="0A432919" w14:textId="1A8B9C67" w:rsidR="00E75364" w:rsidRDefault="004B44EE" w:rsidP="00280DA0">
      <w:pPr>
        <w:spacing w:line="480" w:lineRule="auto"/>
        <w:jc w:val="center"/>
        <w:outlineLvl w:val="0"/>
        <w:rPr>
          <w:b/>
        </w:rPr>
      </w:pPr>
      <w:r>
        <w:rPr>
          <w:b/>
        </w:rPr>
        <w:t xml:space="preserve">Insert Figure </w:t>
      </w:r>
      <w:r w:rsidR="00AE1531">
        <w:rPr>
          <w:b/>
        </w:rPr>
        <w:t>4</w:t>
      </w:r>
      <w:r w:rsidR="00E75364">
        <w:rPr>
          <w:b/>
        </w:rPr>
        <w:t xml:space="preserve"> </w:t>
      </w:r>
      <w:r w:rsidR="00FC09B3">
        <w:rPr>
          <w:b/>
        </w:rPr>
        <w:t xml:space="preserve">around </w:t>
      </w:r>
      <w:r w:rsidR="00597B7F">
        <w:rPr>
          <w:b/>
        </w:rPr>
        <w:t>h</w:t>
      </w:r>
      <w:r w:rsidR="00E75364">
        <w:rPr>
          <w:b/>
        </w:rPr>
        <w:t>ere</w:t>
      </w:r>
    </w:p>
    <w:p w14:paraId="4D8C687E" w14:textId="77777777" w:rsidR="007B295D" w:rsidRDefault="007B295D" w:rsidP="00E25553">
      <w:pPr>
        <w:spacing w:line="480" w:lineRule="auto"/>
        <w:jc w:val="center"/>
        <w:rPr>
          <w:b/>
        </w:rPr>
      </w:pPr>
    </w:p>
    <w:p w14:paraId="313656EE" w14:textId="7FE46B5D" w:rsidR="00FE52EB" w:rsidRPr="004B44EE" w:rsidRDefault="00D42982" w:rsidP="00FE52EB">
      <w:pPr>
        <w:spacing w:line="480" w:lineRule="auto"/>
      </w:pPr>
      <w:r>
        <w:t xml:space="preserve">Botswana </w:t>
      </w:r>
      <w:r w:rsidR="00D63492">
        <w:t>presented</w:t>
      </w:r>
      <w:r>
        <w:t xml:space="preserve"> the shortest </w:t>
      </w:r>
      <w:r w:rsidR="00D63492">
        <w:t xml:space="preserve">estimated </w:t>
      </w:r>
      <w:r>
        <w:t>delay in scale-up</w:t>
      </w:r>
      <w:r w:rsidR="00D63492">
        <w:t xml:space="preserve"> (</w:t>
      </w:r>
      <w:r w:rsidR="00D63492">
        <w:rPr>
          <w:rFonts w:cs="Times New Roman"/>
          <w:i/>
        </w:rPr>
        <w:t>λ</w:t>
      </w:r>
      <w:r w:rsidR="00D63492">
        <w:t>)</w:t>
      </w:r>
      <w:r>
        <w:t xml:space="preserve"> from both models (2.6 years for the Gompertz </w:t>
      </w:r>
      <w:r w:rsidR="003E0110">
        <w:t xml:space="preserve">model </w:t>
      </w:r>
      <w:r>
        <w:t>and 3.2 years for the logistic</w:t>
      </w:r>
      <w:r w:rsidR="003E0110">
        <w:t xml:space="preserve"> model</w:t>
      </w:r>
      <w:r>
        <w:t xml:space="preserve">). Contrarily, Madagascar </w:t>
      </w:r>
      <w:r w:rsidR="003A4062">
        <w:t>showed</w:t>
      </w:r>
      <w:r>
        <w:t xml:space="preserve"> the longest estimated delay in scale-up</w:t>
      </w:r>
      <w:r w:rsidR="003A4062">
        <w:t xml:space="preserve"> (</w:t>
      </w:r>
      <w:r>
        <w:t>19.0 and 19.7 years according to the Gompertz and logistic models, respectively</w:t>
      </w:r>
      <w:r w:rsidR="003A4062">
        <w:t>)</w:t>
      </w:r>
      <w:r w:rsidR="005D1E82">
        <w:t xml:space="preserve"> (Table 3)</w:t>
      </w:r>
      <w:r>
        <w:t xml:space="preserve">. </w:t>
      </w:r>
      <w:r w:rsidR="00FE52EB">
        <w:t>C</w:t>
      </w:r>
      <w:r w:rsidR="000F060A">
        <w:t xml:space="preserve">ountry rankings were dependent on the way lag time </w:t>
      </w:r>
      <w:r w:rsidR="00FE52EB">
        <w:rPr>
          <w:rFonts w:cs="Times New Roman"/>
          <w:i/>
        </w:rPr>
        <w:t>λ</w:t>
      </w:r>
      <w:r w:rsidR="00FE52EB">
        <w:t xml:space="preserve"> </w:t>
      </w:r>
      <w:r w:rsidR="000F060A">
        <w:t xml:space="preserve">was estimated. </w:t>
      </w:r>
      <w:r w:rsidR="00FE52EB">
        <w:t xml:space="preserve">A few countries, </w:t>
      </w:r>
      <w:r w:rsidR="000F060A">
        <w:t>Botswana (ranked 1</w:t>
      </w:r>
      <w:r w:rsidR="000F060A" w:rsidRPr="000F060A">
        <w:rPr>
          <w:vertAlign w:val="superscript"/>
        </w:rPr>
        <w:t>st</w:t>
      </w:r>
      <w:r w:rsidR="000F060A">
        <w:t>) and South Sudan (ranked 38</w:t>
      </w:r>
      <w:r w:rsidR="000F060A" w:rsidRPr="000F060A">
        <w:rPr>
          <w:vertAlign w:val="superscript"/>
        </w:rPr>
        <w:t>th</w:t>
      </w:r>
      <w:r w:rsidR="000F060A">
        <w:t>)</w:t>
      </w:r>
      <w:r w:rsidR="00FE52EB">
        <w:t xml:space="preserve">, </w:t>
      </w:r>
      <w:r w:rsidR="000F060A">
        <w:t xml:space="preserve">retained ranking across the </w:t>
      </w:r>
      <w:r w:rsidR="00FE52EB">
        <w:t>Gompertz and logistic models; o</w:t>
      </w:r>
      <w:r w:rsidR="00102941">
        <w:t xml:space="preserve">thers saw </w:t>
      </w:r>
      <w:r w:rsidR="00FE52EB">
        <w:t>important changes, such as</w:t>
      </w:r>
      <w:r w:rsidR="00102941">
        <w:t xml:space="preserve"> Gabon, ranked 13</w:t>
      </w:r>
      <w:r w:rsidR="00102941" w:rsidRPr="00102941">
        <w:rPr>
          <w:vertAlign w:val="superscript"/>
        </w:rPr>
        <w:t>th</w:t>
      </w:r>
      <w:r w:rsidR="00102941">
        <w:t xml:space="preserve"> with </w:t>
      </w:r>
      <w:r w:rsidR="00102941">
        <w:rPr>
          <w:rFonts w:cs="Times New Roman"/>
          <w:i/>
        </w:rPr>
        <w:t xml:space="preserve">λ </w:t>
      </w:r>
      <w:r w:rsidR="00FE52EB">
        <w:rPr>
          <w:rFonts w:cs="Times New Roman"/>
        </w:rPr>
        <w:t>estimated f</w:t>
      </w:r>
      <w:r w:rsidR="00102941">
        <w:rPr>
          <w:rFonts w:cs="Times New Roman"/>
        </w:rPr>
        <w:t xml:space="preserve">rom the Gompertz </w:t>
      </w:r>
      <w:r w:rsidR="00FE52EB">
        <w:rPr>
          <w:rFonts w:cs="Times New Roman"/>
        </w:rPr>
        <w:t>model compared with</w:t>
      </w:r>
      <w:r w:rsidR="00102941">
        <w:rPr>
          <w:rFonts w:cs="Times New Roman"/>
        </w:rPr>
        <w:t xml:space="preserve"> 26</w:t>
      </w:r>
      <w:r w:rsidR="00102941" w:rsidRPr="00102941">
        <w:rPr>
          <w:rFonts w:cs="Times New Roman"/>
          <w:vertAlign w:val="superscript"/>
        </w:rPr>
        <w:t>th</w:t>
      </w:r>
      <w:r w:rsidR="00102941">
        <w:rPr>
          <w:rFonts w:cs="Times New Roman"/>
        </w:rPr>
        <w:t xml:space="preserve"> with </w:t>
      </w:r>
      <w:r w:rsidR="00102941" w:rsidRPr="00102941">
        <w:rPr>
          <w:rFonts w:cs="Times New Roman"/>
          <w:i/>
        </w:rPr>
        <w:t>λ</w:t>
      </w:r>
      <w:r w:rsidR="00102941">
        <w:rPr>
          <w:rFonts w:cs="Times New Roman"/>
          <w:i/>
        </w:rPr>
        <w:t xml:space="preserve"> </w:t>
      </w:r>
      <w:r w:rsidR="00FE52EB">
        <w:rPr>
          <w:rFonts w:cs="Times New Roman"/>
        </w:rPr>
        <w:t>estimated f</w:t>
      </w:r>
      <w:r w:rsidR="00102941">
        <w:rPr>
          <w:rFonts w:cs="Times New Roman"/>
        </w:rPr>
        <w:t xml:space="preserve">rom the logistic </w:t>
      </w:r>
      <w:r w:rsidR="00FE52EB">
        <w:rPr>
          <w:rFonts w:cs="Times New Roman"/>
        </w:rPr>
        <w:t xml:space="preserve">model. </w:t>
      </w:r>
      <w:r w:rsidR="00FE52EB">
        <w:t xml:space="preserve">Overall, correlation in ranks on </w:t>
      </w:r>
      <w:r w:rsidR="002F02BD" w:rsidRPr="00102941">
        <w:rPr>
          <w:rFonts w:cs="Times New Roman"/>
          <w:i/>
        </w:rPr>
        <w:t>λ</w:t>
      </w:r>
      <w:r w:rsidR="00FE52EB">
        <w:rPr>
          <w:rFonts w:cs="Times New Roman"/>
        </w:rPr>
        <w:t xml:space="preserve"> between the logis</w:t>
      </w:r>
      <w:r w:rsidR="002F02BD">
        <w:rPr>
          <w:rFonts w:cs="Times New Roman"/>
        </w:rPr>
        <w:t>tic and Gompertz models was 0.85; while it was 0.90</w:t>
      </w:r>
      <w:r w:rsidR="00FE52EB">
        <w:rPr>
          <w:rFonts w:cs="Times New Roman"/>
        </w:rPr>
        <w:t xml:space="preserve"> between Gompertz’s </w:t>
      </w:r>
      <w:r w:rsidR="002F02BD" w:rsidRPr="00102941">
        <w:rPr>
          <w:rFonts w:cs="Times New Roman"/>
          <w:i/>
        </w:rPr>
        <w:t>λ</w:t>
      </w:r>
      <w:r w:rsidR="00FE52EB">
        <w:rPr>
          <w:rFonts w:cs="Times New Roman"/>
        </w:rPr>
        <w:t xml:space="preserve"> and the observed </w:t>
      </w:r>
      <w:r w:rsidR="002F02BD">
        <w:rPr>
          <w:rFonts w:cs="Times New Roman"/>
        </w:rPr>
        <w:t>time delay, and 0.66</w:t>
      </w:r>
      <w:r w:rsidR="00FE52EB">
        <w:rPr>
          <w:rFonts w:cs="Times New Roman"/>
        </w:rPr>
        <w:t xml:space="preserve"> between logistic’s </w:t>
      </w:r>
      <w:r w:rsidR="002F018D" w:rsidRPr="00102941">
        <w:rPr>
          <w:rFonts w:cs="Times New Roman"/>
          <w:i/>
        </w:rPr>
        <w:t>λ</w:t>
      </w:r>
      <w:r w:rsidR="00FE52EB">
        <w:rPr>
          <w:rFonts w:cs="Times New Roman"/>
        </w:rPr>
        <w:t xml:space="preserve"> and the observed </w:t>
      </w:r>
      <w:r w:rsidR="002F02BD">
        <w:rPr>
          <w:rFonts w:cs="Times New Roman"/>
        </w:rPr>
        <w:t>time delay</w:t>
      </w:r>
      <w:r w:rsidR="00FE52EB">
        <w:rPr>
          <w:rFonts w:cs="Times New Roman"/>
        </w:rPr>
        <w:t xml:space="preserve">. </w:t>
      </w:r>
    </w:p>
    <w:p w14:paraId="4E845A71" w14:textId="77777777" w:rsidR="00E75364" w:rsidRDefault="00E75364" w:rsidP="00396B31">
      <w:pPr>
        <w:spacing w:line="480" w:lineRule="auto"/>
        <w:rPr>
          <w:b/>
        </w:rPr>
      </w:pPr>
    </w:p>
    <w:p w14:paraId="468E7738" w14:textId="5BA61AC8" w:rsidR="00E75364" w:rsidRDefault="00E75364" w:rsidP="00280DA0">
      <w:pPr>
        <w:spacing w:line="480" w:lineRule="auto"/>
        <w:jc w:val="center"/>
        <w:outlineLvl w:val="0"/>
        <w:rPr>
          <w:b/>
        </w:rPr>
      </w:pPr>
      <w:r>
        <w:rPr>
          <w:b/>
        </w:rPr>
        <w:t xml:space="preserve">Insert </w:t>
      </w:r>
      <w:r w:rsidR="004B44EE">
        <w:rPr>
          <w:b/>
        </w:rPr>
        <w:t xml:space="preserve">Table 3 </w:t>
      </w:r>
      <w:r w:rsidR="00BA33AE">
        <w:rPr>
          <w:b/>
        </w:rPr>
        <w:t xml:space="preserve">around </w:t>
      </w:r>
      <w:r w:rsidR="00597B7F">
        <w:rPr>
          <w:b/>
        </w:rPr>
        <w:t>h</w:t>
      </w:r>
      <w:r>
        <w:rPr>
          <w:b/>
        </w:rPr>
        <w:t>ere</w:t>
      </w:r>
    </w:p>
    <w:p w14:paraId="1F17BAB3" w14:textId="77777777" w:rsidR="00AB3009" w:rsidRDefault="00AB3009" w:rsidP="00280DA0">
      <w:pPr>
        <w:spacing w:line="480" w:lineRule="auto"/>
        <w:jc w:val="center"/>
        <w:outlineLvl w:val="0"/>
        <w:rPr>
          <w:b/>
        </w:rPr>
      </w:pPr>
    </w:p>
    <w:p w14:paraId="3B57EAFC" w14:textId="571C292B" w:rsidR="00563222" w:rsidRDefault="001F17E9" w:rsidP="00563222">
      <w:pPr>
        <w:spacing w:line="480" w:lineRule="auto"/>
      </w:pPr>
      <w:r>
        <w:t xml:space="preserve">In evaluating </w:t>
      </w:r>
      <w:r w:rsidR="00102941">
        <w:t xml:space="preserve">the </w:t>
      </w:r>
      <w:r w:rsidR="00E977CA">
        <w:t xml:space="preserve">goodness of </w:t>
      </w:r>
      <w:r w:rsidR="00102941">
        <w:t xml:space="preserve">fit of </w:t>
      </w:r>
      <w:r w:rsidR="00E977CA">
        <w:t>each</w:t>
      </w:r>
      <w:r w:rsidR="00102941">
        <w:t xml:space="preserve"> growth </w:t>
      </w:r>
      <w:r w:rsidR="00E977CA">
        <w:t>model</w:t>
      </w:r>
      <w:r w:rsidR="00563222">
        <w:t xml:space="preserve">, </w:t>
      </w:r>
      <w:r>
        <w:t xml:space="preserve">we </w:t>
      </w:r>
      <w:r w:rsidR="007E6704">
        <w:t>sought</w:t>
      </w:r>
      <w:r w:rsidR="00E977CA">
        <w:t xml:space="preserve"> </w:t>
      </w:r>
      <w:r>
        <w:t>the model with the lowest BIC</w:t>
      </w:r>
      <w:r w:rsidR="00AA3677">
        <w:t xml:space="preserve"> [2</w:t>
      </w:r>
      <w:r w:rsidR="008F3287">
        <w:t>6</w:t>
      </w:r>
      <w:r w:rsidR="00AA3677">
        <w:t>]</w:t>
      </w:r>
      <w:r>
        <w:t xml:space="preserve">. </w:t>
      </w:r>
      <w:r w:rsidR="00E977CA">
        <w:t>For this comparison</w:t>
      </w:r>
      <w:r>
        <w:t xml:space="preserve">, </w:t>
      </w:r>
      <w:r w:rsidR="005B231C">
        <w:t xml:space="preserve">across countries, </w:t>
      </w:r>
      <w:r>
        <w:t xml:space="preserve">we subtracted the BIC of the logistic model from the BIC of the Gompertz model, </w:t>
      </w:r>
      <w:r w:rsidR="005B231C">
        <w:t xml:space="preserve">and </w:t>
      </w:r>
      <w:r>
        <w:t>calculat</w:t>
      </w:r>
      <w:r w:rsidR="005B231C">
        <w:t>ed a</w:t>
      </w:r>
      <w:r>
        <w:t xml:space="preserve"> </w:t>
      </w:r>
      <w:r>
        <w:rPr>
          <w:rFonts w:cs="Times New Roman"/>
        </w:rPr>
        <w:t>Δ</w:t>
      </w:r>
      <w:r>
        <w:t xml:space="preserve">BIC. </w:t>
      </w:r>
      <w:r w:rsidR="00885E54">
        <w:t>When</w:t>
      </w:r>
      <w:r>
        <w:t xml:space="preserve"> </w:t>
      </w:r>
      <w:r>
        <w:rPr>
          <w:rFonts w:cs="Times New Roman"/>
        </w:rPr>
        <w:t>Δ</w:t>
      </w:r>
      <w:r>
        <w:t xml:space="preserve">BIC </w:t>
      </w:r>
      <w:r w:rsidR="00885E54">
        <w:t>&gt;</w:t>
      </w:r>
      <w:r>
        <w:t xml:space="preserve"> 6, there </w:t>
      </w:r>
      <w:r w:rsidR="007E6704">
        <w:t>is</w:t>
      </w:r>
      <w:r>
        <w:t xml:space="preserve"> strong evidence supporting the logistic model</w:t>
      </w:r>
      <w:r w:rsidR="00885E54">
        <w:t>;</w:t>
      </w:r>
      <w:r>
        <w:t xml:space="preserve"> </w:t>
      </w:r>
      <w:r w:rsidR="00885E54">
        <w:t xml:space="preserve">when </w:t>
      </w:r>
      <w:r>
        <w:rPr>
          <w:rFonts w:cs="Times New Roman"/>
        </w:rPr>
        <w:t>Δ</w:t>
      </w:r>
      <w:r>
        <w:t xml:space="preserve">BIC </w:t>
      </w:r>
      <w:r w:rsidR="00885E54">
        <w:t>&lt;</w:t>
      </w:r>
      <w:r>
        <w:t xml:space="preserve"> -</w:t>
      </w:r>
      <w:r w:rsidR="00885E54">
        <w:t xml:space="preserve"> </w:t>
      </w:r>
      <w:r>
        <w:t>6, then there is strong evidence supporting the Gompertz model</w:t>
      </w:r>
      <w:r w:rsidR="00AA3677">
        <w:t xml:space="preserve"> [2</w:t>
      </w:r>
      <w:r w:rsidR="008F3287">
        <w:t>6</w:t>
      </w:r>
      <w:r w:rsidR="00AA3677">
        <w:t>]</w:t>
      </w:r>
      <w:r>
        <w:t>. Our</w:t>
      </w:r>
      <w:r w:rsidR="00563222">
        <w:t xml:space="preserve"> </w:t>
      </w:r>
      <w:r w:rsidR="00303973">
        <w:t xml:space="preserve">findings </w:t>
      </w:r>
      <w:r w:rsidR="00563222">
        <w:t>were</w:t>
      </w:r>
      <w:r w:rsidR="00303973">
        <w:t xml:space="preserve"> then</w:t>
      </w:r>
      <w:r w:rsidR="00563222">
        <w:t xml:space="preserve"> split between the </w:t>
      </w:r>
      <w:r w:rsidR="00303973">
        <w:t xml:space="preserve">two </w:t>
      </w:r>
      <w:r w:rsidR="00563222">
        <w:t xml:space="preserve">models, with </w:t>
      </w:r>
      <w:r w:rsidR="00303973">
        <w:t xml:space="preserve">overall </w:t>
      </w:r>
      <w:r w:rsidR="00563222">
        <w:t xml:space="preserve">the </w:t>
      </w:r>
      <w:r w:rsidR="00563222">
        <w:lastRenderedPageBreak/>
        <w:t xml:space="preserve">Gompertz model </w:t>
      </w:r>
      <w:r>
        <w:t>providing a better fit for most countries</w:t>
      </w:r>
      <w:r w:rsidR="00597B7F">
        <w:t>.</w:t>
      </w:r>
      <w:r w:rsidR="00563222">
        <w:t xml:space="preserve"> </w:t>
      </w:r>
      <w:r w:rsidR="00303973">
        <w:t>D</w:t>
      </w:r>
      <w:r w:rsidR="00563222">
        <w:t xml:space="preserve">ifferences </w:t>
      </w:r>
      <w:r w:rsidR="00936D4D">
        <w:t xml:space="preserve">in BIC </w:t>
      </w:r>
      <w:r w:rsidR="00563222">
        <w:t>ranged from 22 for South Africa to -26 for Eritrea</w:t>
      </w:r>
      <w:r w:rsidR="00303973">
        <w:t xml:space="preserve"> (Figure 5).</w:t>
      </w:r>
    </w:p>
    <w:p w14:paraId="36DE94D2" w14:textId="77777777" w:rsidR="00563222" w:rsidRDefault="00563222" w:rsidP="00563222">
      <w:pPr>
        <w:spacing w:line="480" w:lineRule="auto"/>
      </w:pPr>
    </w:p>
    <w:p w14:paraId="14001CE0" w14:textId="48F97B58" w:rsidR="00563222" w:rsidRPr="00563222" w:rsidRDefault="00563222" w:rsidP="00280DA0">
      <w:pPr>
        <w:spacing w:line="480" w:lineRule="auto"/>
        <w:jc w:val="center"/>
        <w:outlineLvl w:val="0"/>
        <w:rPr>
          <w:b/>
        </w:rPr>
      </w:pPr>
      <w:r>
        <w:rPr>
          <w:b/>
        </w:rPr>
        <w:t xml:space="preserve">Insert Figure </w:t>
      </w:r>
      <w:r w:rsidR="00E977CA">
        <w:rPr>
          <w:b/>
        </w:rPr>
        <w:t>5</w:t>
      </w:r>
      <w:r w:rsidR="00FE52EB">
        <w:rPr>
          <w:b/>
        </w:rPr>
        <w:t xml:space="preserve"> around</w:t>
      </w:r>
      <w:r>
        <w:rPr>
          <w:b/>
        </w:rPr>
        <w:t xml:space="preserve"> </w:t>
      </w:r>
      <w:r w:rsidR="00597B7F">
        <w:rPr>
          <w:b/>
        </w:rPr>
        <w:t>h</w:t>
      </w:r>
      <w:r>
        <w:rPr>
          <w:b/>
        </w:rPr>
        <w:t>ere</w:t>
      </w:r>
    </w:p>
    <w:p w14:paraId="63607605" w14:textId="30DFBB3D" w:rsidR="00E25553" w:rsidRDefault="00E25553" w:rsidP="00E25553">
      <w:pPr>
        <w:spacing w:line="480" w:lineRule="auto"/>
      </w:pPr>
    </w:p>
    <w:p w14:paraId="121EDADF" w14:textId="77777777" w:rsidR="004C5B39" w:rsidRPr="00E25553" w:rsidRDefault="004C5B39" w:rsidP="00E25553">
      <w:pPr>
        <w:spacing w:line="480" w:lineRule="auto"/>
      </w:pPr>
    </w:p>
    <w:p w14:paraId="069C83F3" w14:textId="77777777" w:rsidR="00EC169B" w:rsidRDefault="00EC169B" w:rsidP="00280DA0">
      <w:pPr>
        <w:spacing w:line="480" w:lineRule="auto"/>
        <w:outlineLvl w:val="0"/>
        <w:rPr>
          <w:b/>
        </w:rPr>
      </w:pPr>
      <w:r>
        <w:rPr>
          <w:b/>
        </w:rPr>
        <w:t>Discussion</w:t>
      </w:r>
    </w:p>
    <w:p w14:paraId="3D7EA47E" w14:textId="5AF5EDE8" w:rsidR="00C4039D" w:rsidRDefault="00C4039D" w:rsidP="0047073F">
      <w:pPr>
        <w:spacing w:line="480" w:lineRule="auto"/>
      </w:pPr>
      <w:r>
        <w:t xml:space="preserve">In this paper, we </w:t>
      </w:r>
      <w:r w:rsidR="0035797E">
        <w:t xml:space="preserve">used </w:t>
      </w:r>
      <w:r>
        <w:t xml:space="preserve">two </w:t>
      </w:r>
      <w:r w:rsidR="007F3ADE">
        <w:t xml:space="preserve">simple and intuitive </w:t>
      </w:r>
      <w:r w:rsidR="008103F8">
        <w:t>differential equation</w:t>
      </w:r>
      <w:r w:rsidR="007F3ADE">
        <w:t xml:space="preserve"> growth models</w:t>
      </w:r>
      <w:r w:rsidR="00597B7F">
        <w:t>,</w:t>
      </w:r>
      <w:r>
        <w:t xml:space="preserve"> the logistic and </w:t>
      </w:r>
      <w:r w:rsidR="007F3ADE">
        <w:t xml:space="preserve">the </w:t>
      </w:r>
      <w:r>
        <w:t>Gompertz models</w:t>
      </w:r>
      <w:r w:rsidR="0035797E">
        <w:t xml:space="preserve">, to </w:t>
      </w:r>
      <w:r w:rsidR="007F3ADE">
        <w:t xml:space="preserve">characterize and synthesize </w:t>
      </w:r>
      <w:r w:rsidR="008103F8">
        <w:t xml:space="preserve">changes in ART coverage </w:t>
      </w:r>
      <w:r w:rsidR="007F3ADE">
        <w:t>over 2000-20</w:t>
      </w:r>
      <w:r w:rsidR="007F3ADE" w:rsidRPr="00C84B76">
        <w:rPr>
          <w:highlight w:val="yellow"/>
        </w:rPr>
        <w:t>15</w:t>
      </w:r>
      <w:r w:rsidR="007F3ADE">
        <w:t xml:space="preserve"> </w:t>
      </w:r>
      <w:r w:rsidR="008103F8">
        <w:t xml:space="preserve">for 39 </w:t>
      </w:r>
      <w:r w:rsidR="007F3ADE">
        <w:t xml:space="preserve">sub-Saharan African </w:t>
      </w:r>
      <w:r w:rsidR="008103F8">
        <w:t xml:space="preserve">countries. </w:t>
      </w:r>
      <w:r w:rsidR="00AA482C">
        <w:t xml:space="preserve">Using </w:t>
      </w:r>
      <w:r w:rsidR="008103F8">
        <w:t xml:space="preserve">nonlinear </w:t>
      </w:r>
      <w:r w:rsidR="00AA482C">
        <w:t xml:space="preserve">statistical </w:t>
      </w:r>
      <w:r w:rsidR="008103F8">
        <w:t>regression</w:t>
      </w:r>
      <w:r w:rsidR="00AA482C">
        <w:t>s</w:t>
      </w:r>
      <w:r w:rsidR="008103F8">
        <w:t xml:space="preserve">, we </w:t>
      </w:r>
      <w:r w:rsidR="0035797E">
        <w:t>estimate</w:t>
      </w:r>
      <w:r w:rsidR="008103F8">
        <w:t>d</w:t>
      </w:r>
      <w:r w:rsidR="0035797E">
        <w:t xml:space="preserve"> </w:t>
      </w:r>
      <w:r w:rsidR="00BB6C76">
        <w:t xml:space="preserve">key </w:t>
      </w:r>
      <w:r w:rsidR="0035797E">
        <w:t xml:space="preserve">parameters to </w:t>
      </w:r>
      <w:r w:rsidR="00F13AE6">
        <w:t xml:space="preserve">describe </w:t>
      </w:r>
      <w:r w:rsidR="00BB6C76">
        <w:t xml:space="preserve">ART </w:t>
      </w:r>
      <w:r w:rsidR="00F13AE6">
        <w:t>coverage evolution</w:t>
      </w:r>
      <w:r w:rsidR="008103F8">
        <w:t xml:space="preserve">, including the </w:t>
      </w:r>
      <w:r w:rsidR="00AA482C">
        <w:t xml:space="preserve">maximum </w:t>
      </w:r>
      <w:r w:rsidR="008103F8">
        <w:t xml:space="preserve">rate of change </w:t>
      </w:r>
      <w:r w:rsidR="00BB6C76">
        <w:t>(</w:t>
      </w:r>
      <w:r w:rsidR="00C84B76">
        <w:rPr>
          <w:rFonts w:cs="Times New Roman"/>
          <w:i/>
        </w:rPr>
        <w:t>μ</w:t>
      </w:r>
      <w:r w:rsidR="00C84B76">
        <w:t xml:space="preserve"> </w:t>
      </w:r>
      <w:r w:rsidR="00BB6C76">
        <w:t xml:space="preserve">in percentage points per year) </w:t>
      </w:r>
      <w:r w:rsidR="008103F8">
        <w:t>and the lag time</w:t>
      </w:r>
      <w:r w:rsidR="00BB6C76">
        <w:t xml:space="preserve"> to </w:t>
      </w:r>
      <w:r w:rsidR="00C84B76">
        <w:t xml:space="preserve">coverage </w:t>
      </w:r>
      <w:r w:rsidR="00BB6C76">
        <w:t>scale-up</w:t>
      </w:r>
      <w:r w:rsidR="008103F8">
        <w:t xml:space="preserve"> </w:t>
      </w:r>
      <w:r w:rsidR="00C84B76">
        <w:t>(</w:t>
      </w:r>
      <w:r w:rsidR="008103F8">
        <w:rPr>
          <w:rFonts w:cs="Times New Roman"/>
          <w:i/>
        </w:rPr>
        <w:t>λ</w:t>
      </w:r>
      <w:r w:rsidR="00BB6C76">
        <w:t xml:space="preserve"> in years).</w:t>
      </w:r>
      <w:r>
        <w:t xml:space="preserve"> </w:t>
      </w:r>
      <w:r w:rsidR="00361F28">
        <w:t>We</w:t>
      </w:r>
      <w:r w:rsidR="005410BC">
        <w:t xml:space="preserve"> were</w:t>
      </w:r>
      <w:r w:rsidR="00361F28">
        <w:t xml:space="preserve"> </w:t>
      </w:r>
      <w:r w:rsidR="008103F8">
        <w:t>then</w:t>
      </w:r>
      <w:r w:rsidR="005410BC">
        <w:t xml:space="preserve"> able</w:t>
      </w:r>
      <w:r w:rsidR="008103F8">
        <w:t xml:space="preserve"> </w:t>
      </w:r>
      <w:r w:rsidR="005410BC">
        <w:t xml:space="preserve">to </w:t>
      </w:r>
      <w:r w:rsidR="00361F28">
        <w:t>compare the</w:t>
      </w:r>
      <w:r w:rsidR="005410BC">
        <w:t>se</w:t>
      </w:r>
      <w:r w:rsidR="00597B7F">
        <w:t xml:space="preserve"> estimated</w:t>
      </w:r>
      <w:r w:rsidR="00361F28">
        <w:t xml:space="preserve"> parameters to observed </w:t>
      </w:r>
      <w:r w:rsidR="005410BC">
        <w:t xml:space="preserve">ART coverage </w:t>
      </w:r>
      <w:r w:rsidR="00361F28">
        <w:t xml:space="preserve">data </w:t>
      </w:r>
      <w:r w:rsidR="005410BC">
        <w:t xml:space="preserve">to describe </w:t>
      </w:r>
      <w:r w:rsidR="008103F8">
        <w:t xml:space="preserve">how </w:t>
      </w:r>
      <w:r w:rsidR="005410BC">
        <w:t xml:space="preserve">ART performance and scale-up </w:t>
      </w:r>
      <w:r w:rsidR="00C84B76">
        <w:t xml:space="preserve">evolution </w:t>
      </w:r>
      <w:r w:rsidR="005410BC">
        <w:t xml:space="preserve">might </w:t>
      </w:r>
      <w:r w:rsidR="008103F8">
        <w:t>var</w:t>
      </w:r>
      <w:r w:rsidR="003A7B87">
        <w:t>y</w:t>
      </w:r>
      <w:r w:rsidR="008103F8">
        <w:t xml:space="preserve"> across </w:t>
      </w:r>
      <w:r w:rsidR="0067018B">
        <w:t xml:space="preserve">sub-Saharan African </w:t>
      </w:r>
      <w:r w:rsidR="005410BC">
        <w:t>countries</w:t>
      </w:r>
      <w:r w:rsidR="00597B7F">
        <w:t>.</w:t>
      </w:r>
    </w:p>
    <w:p w14:paraId="5CFB2B1B" w14:textId="77777777" w:rsidR="003668D9" w:rsidRDefault="003668D9" w:rsidP="0047073F">
      <w:pPr>
        <w:spacing w:line="480" w:lineRule="auto"/>
      </w:pPr>
    </w:p>
    <w:p w14:paraId="51123322" w14:textId="40222951" w:rsidR="00361F28" w:rsidRDefault="003668D9" w:rsidP="0047073F">
      <w:pPr>
        <w:spacing w:line="480" w:lineRule="auto"/>
      </w:pPr>
      <w:r>
        <w:t xml:space="preserve">Some </w:t>
      </w:r>
      <w:r w:rsidR="00361F28">
        <w:t xml:space="preserve">countries performed consistently well across </w:t>
      </w:r>
      <w:r w:rsidR="007D49F7">
        <w:t>growth models</w:t>
      </w:r>
      <w:r w:rsidR="00572512">
        <w:t>.</w:t>
      </w:r>
      <w:r>
        <w:t xml:space="preserve"> For example, Botswana was the highest ranking country across all </w:t>
      </w:r>
      <w:r w:rsidR="007D49F7">
        <w:t xml:space="preserve">estimated parameters </w:t>
      </w:r>
      <w:r w:rsidR="00B265B6">
        <w:t>for</w:t>
      </w:r>
      <w:r>
        <w:t xml:space="preserve"> the </w:t>
      </w:r>
      <w:r w:rsidR="007D49F7">
        <w:t xml:space="preserve">time </w:t>
      </w:r>
      <w:r>
        <w:t>delay in ART scale-up</w:t>
      </w:r>
      <w:r w:rsidR="007D49F7">
        <w:t xml:space="preserve"> (</w:t>
      </w:r>
      <w:r w:rsidR="007D49F7">
        <w:rPr>
          <w:rFonts w:cs="Times New Roman"/>
          <w:i/>
        </w:rPr>
        <w:t>λ</w:t>
      </w:r>
      <w:r w:rsidR="007D49F7">
        <w:t>)</w:t>
      </w:r>
      <w:r>
        <w:t xml:space="preserve">, and was also </w:t>
      </w:r>
      <w:r w:rsidR="007D49F7">
        <w:t xml:space="preserve">highly </w:t>
      </w:r>
      <w:r>
        <w:t xml:space="preserve">ranked </w:t>
      </w:r>
      <w:r w:rsidR="007D49F7">
        <w:t>for</w:t>
      </w:r>
      <w:r>
        <w:t xml:space="preserve"> </w:t>
      </w:r>
      <w:r w:rsidR="007D49F7">
        <w:t>its</w:t>
      </w:r>
      <w:r>
        <w:t xml:space="preserve"> estimates </w:t>
      </w:r>
      <w:r w:rsidR="00B265B6">
        <w:t>in</w:t>
      </w:r>
      <w:r w:rsidR="004A2681">
        <w:t xml:space="preserve"> maximum rate</w:t>
      </w:r>
      <w:r w:rsidR="00B265B6">
        <w:t>s</w:t>
      </w:r>
      <w:r w:rsidR="004A2681">
        <w:t xml:space="preserve"> of change of scale-up</w:t>
      </w:r>
      <w:r>
        <w:t xml:space="preserve"> </w:t>
      </w:r>
      <w:r w:rsidR="004A2681">
        <w:t>(</w:t>
      </w:r>
      <w:r>
        <w:rPr>
          <w:rFonts w:cs="Times New Roman"/>
          <w:i/>
        </w:rPr>
        <w:t>μ</w:t>
      </w:r>
      <w:r w:rsidR="004A2681">
        <w:t>).</w:t>
      </w:r>
      <w:r>
        <w:t xml:space="preserve"> This </w:t>
      </w:r>
      <w:r w:rsidR="00F66B6E">
        <w:t xml:space="preserve">well </w:t>
      </w:r>
      <w:r>
        <w:t xml:space="preserve">reflects the success Botswana achieved in scaling up its </w:t>
      </w:r>
      <w:r w:rsidR="00F66B6E">
        <w:t>ART</w:t>
      </w:r>
      <w:r>
        <w:t xml:space="preserve"> program. </w:t>
      </w:r>
      <w:r w:rsidR="00BD25E9">
        <w:t>Since 2002, Botswana has committed significant resources to establishing universal coverage for ART</w:t>
      </w:r>
      <w:r w:rsidR="00505834">
        <w:t>; and</w:t>
      </w:r>
      <w:r w:rsidR="00BD25E9">
        <w:t xml:space="preserve"> </w:t>
      </w:r>
      <w:r w:rsidR="00505834">
        <w:t>subsequently</w:t>
      </w:r>
      <w:r w:rsidR="00BD25E9">
        <w:t xml:space="preserve">, mortality among </w:t>
      </w:r>
      <w:r w:rsidR="00505834">
        <w:t>people living with</w:t>
      </w:r>
      <w:r w:rsidR="00BD25E9">
        <w:t xml:space="preserve"> </w:t>
      </w:r>
      <w:r w:rsidR="00F13AE6">
        <w:t>HIV</w:t>
      </w:r>
      <w:r w:rsidR="00505834">
        <w:t xml:space="preserve"> in the country</w:t>
      </w:r>
      <w:r w:rsidR="00BD25E9">
        <w:t xml:space="preserve"> f</w:t>
      </w:r>
      <w:r w:rsidR="00B265B6">
        <w:t>ell</w:t>
      </w:r>
      <w:r w:rsidR="00BD25E9">
        <w:t xml:space="preserve"> dramatically</w:t>
      </w:r>
      <w:r w:rsidR="00AA3677">
        <w:t xml:space="preserve"> [2</w:t>
      </w:r>
      <w:r w:rsidR="008F3287">
        <w:t>7</w:t>
      </w:r>
      <w:r w:rsidR="00AA3677">
        <w:t>,2</w:t>
      </w:r>
      <w:r w:rsidR="008F3287">
        <w:t>8</w:t>
      </w:r>
      <w:r w:rsidR="00AA3677">
        <w:t xml:space="preserve">]. </w:t>
      </w:r>
      <w:r w:rsidR="00D76C92">
        <w:t xml:space="preserve">Likewise, </w:t>
      </w:r>
      <w:r w:rsidR="00FD4109">
        <w:t>Rwanda is another success story highlighted by our model</w:t>
      </w:r>
      <w:r w:rsidR="00D76C92">
        <w:t>ing approach</w:t>
      </w:r>
      <w:r w:rsidR="00FD4109">
        <w:t xml:space="preserve">; it ranks third in the </w:t>
      </w:r>
      <w:r w:rsidR="00D76C92">
        <w:t xml:space="preserve">estimated </w:t>
      </w:r>
      <w:r w:rsidR="00FD4109">
        <w:t xml:space="preserve">delay in ART scale-up (4.1 years) and second in the estimated </w:t>
      </w:r>
      <w:r w:rsidR="00D76C92">
        <w:t xml:space="preserve">maximum </w:t>
      </w:r>
      <w:r w:rsidR="00FD4109">
        <w:t xml:space="preserve">rate of </w:t>
      </w:r>
      <w:r w:rsidR="00FD4109">
        <w:lastRenderedPageBreak/>
        <w:t xml:space="preserve">change (8.2 percentage points per year), according to the Gompertz model. Although few people </w:t>
      </w:r>
      <w:r w:rsidR="004A5E9C">
        <w:t xml:space="preserve">living </w:t>
      </w:r>
      <w:r w:rsidR="00FD4109">
        <w:t xml:space="preserve">with HIV were being treated </w:t>
      </w:r>
      <w:r w:rsidR="004A5E9C">
        <w:t xml:space="preserve">back </w:t>
      </w:r>
      <w:r w:rsidR="00FD4109">
        <w:t>in 2003, the country ha</w:t>
      </w:r>
      <w:r w:rsidR="00B265B6">
        <w:t>d</w:t>
      </w:r>
      <w:r w:rsidR="00FD4109">
        <w:t xml:space="preserve"> already achieved</w:t>
      </w:r>
      <w:r w:rsidR="004A5E9C">
        <w:t>, by 2015,</w:t>
      </w:r>
      <w:r w:rsidR="00FD4109">
        <w:t xml:space="preserve"> ART coverage levels </w:t>
      </w:r>
      <w:r w:rsidR="004A5E9C">
        <w:t xml:space="preserve">greater than </w:t>
      </w:r>
      <w:r w:rsidR="00FD4109">
        <w:t>80%</w:t>
      </w:r>
      <w:r w:rsidR="00AA3677">
        <w:t xml:space="preserve"> [2</w:t>
      </w:r>
      <w:r w:rsidR="008F3287">
        <w:t>9</w:t>
      </w:r>
      <w:r w:rsidR="00AA3677">
        <w:t>]</w:t>
      </w:r>
      <w:r w:rsidR="00FD4109">
        <w:t>.</w:t>
      </w:r>
      <w:r w:rsidR="00AA3677">
        <w:t xml:space="preserve"> </w:t>
      </w:r>
      <w:r w:rsidR="009A6591">
        <w:t>On the contrary</w:t>
      </w:r>
      <w:r w:rsidR="00C17D70">
        <w:t>, South Africa demonstrated a significant delay in scale-up (</w:t>
      </w:r>
      <w:r w:rsidR="00C0139D">
        <w:t>around 7</w:t>
      </w:r>
      <w:r w:rsidR="00C17D70">
        <w:t xml:space="preserve"> years</w:t>
      </w:r>
      <w:r w:rsidR="00C0139D">
        <w:t xml:space="preserve"> as </w:t>
      </w:r>
      <w:r w:rsidR="0023457F">
        <w:t>confirmed by estimations of</w:t>
      </w:r>
      <w:r w:rsidR="00C0139D">
        <w:t xml:space="preserve"> each growth model</w:t>
      </w:r>
      <w:r w:rsidR="00C17D70">
        <w:t xml:space="preserve">), consistent with the evolution of </w:t>
      </w:r>
      <w:r w:rsidR="00572648">
        <w:t xml:space="preserve">national </w:t>
      </w:r>
      <w:r w:rsidR="00C17D70">
        <w:t xml:space="preserve">ART coverage </w:t>
      </w:r>
      <w:r w:rsidR="004659F7">
        <w:t xml:space="preserve">and the </w:t>
      </w:r>
      <w:r w:rsidR="00572648">
        <w:t xml:space="preserve">postponing of ART scale-up in the country following </w:t>
      </w:r>
      <w:r w:rsidR="004659F7">
        <w:t>AIDS denialism</w:t>
      </w:r>
      <w:r w:rsidR="00AA3677">
        <w:t xml:space="preserve"> [</w:t>
      </w:r>
      <w:r w:rsidR="008F3287">
        <w:t>30</w:t>
      </w:r>
      <w:r w:rsidR="00AA3677">
        <w:t>]</w:t>
      </w:r>
      <w:r w:rsidR="004659F7">
        <w:t xml:space="preserve">. </w:t>
      </w:r>
      <w:r w:rsidR="0088666D">
        <w:t>After</w:t>
      </w:r>
      <w:r w:rsidR="004659F7">
        <w:t xml:space="preserve"> 2006</w:t>
      </w:r>
      <w:r w:rsidR="0088666D">
        <w:t xml:space="preserve">, </w:t>
      </w:r>
      <w:r w:rsidR="00842E7C">
        <w:t xml:space="preserve">when ART coverage was </w:t>
      </w:r>
      <w:r w:rsidR="0088666D">
        <w:t xml:space="preserve">then </w:t>
      </w:r>
      <w:r w:rsidR="00842E7C">
        <w:t>at 4%</w:t>
      </w:r>
      <w:r w:rsidR="004659F7">
        <w:t xml:space="preserve">, South Africa </w:t>
      </w:r>
      <w:r w:rsidR="0088666D">
        <w:t xml:space="preserve">significantly </w:t>
      </w:r>
      <w:r w:rsidR="004659F7">
        <w:t>gr</w:t>
      </w:r>
      <w:r w:rsidR="0088666D">
        <w:t>ew</w:t>
      </w:r>
      <w:r w:rsidR="004659F7">
        <w:t xml:space="preserve"> its ART program </w:t>
      </w:r>
      <w:r w:rsidR="0088666D">
        <w:t xml:space="preserve">and achieved </w:t>
      </w:r>
      <w:r w:rsidR="00B265B6">
        <w:t xml:space="preserve">rapid </w:t>
      </w:r>
      <w:r w:rsidR="00396B31">
        <w:t xml:space="preserve">coverage </w:t>
      </w:r>
      <w:r w:rsidR="00B265B6">
        <w:t xml:space="preserve">expansion </w:t>
      </w:r>
      <w:r w:rsidR="00396B31">
        <w:t>of</w:t>
      </w:r>
      <w:r w:rsidR="004659F7">
        <w:t xml:space="preserve"> approximately 1.8 million people </w:t>
      </w:r>
      <w:r w:rsidR="0088666D">
        <w:t xml:space="preserve">by </w:t>
      </w:r>
      <w:r w:rsidR="004659F7">
        <w:t xml:space="preserve">2011 and </w:t>
      </w:r>
      <w:r w:rsidR="00842E7C">
        <w:t xml:space="preserve">over 3 million </w:t>
      </w:r>
      <w:r w:rsidR="0088666D">
        <w:t>people by</w:t>
      </w:r>
      <w:r w:rsidR="00842E7C">
        <w:t xml:space="preserve"> 2017, for a current </w:t>
      </w:r>
      <w:r w:rsidR="0088666D">
        <w:t xml:space="preserve">ART </w:t>
      </w:r>
      <w:r w:rsidR="00842E7C">
        <w:t xml:space="preserve">coverage of </w:t>
      </w:r>
      <w:r w:rsidR="003A7B87">
        <w:t xml:space="preserve">about </w:t>
      </w:r>
      <w:r w:rsidR="00842E7C">
        <w:t>56%</w:t>
      </w:r>
      <w:r w:rsidR="00AA3677">
        <w:t xml:space="preserve"> [</w:t>
      </w:r>
      <w:r w:rsidR="008F3287">
        <w:t>31</w:t>
      </w:r>
      <w:r w:rsidR="00AA3677">
        <w:t>,</w:t>
      </w:r>
      <w:r w:rsidR="008F3287">
        <w:t>32</w:t>
      </w:r>
      <w:r w:rsidR="00AA3677">
        <w:t xml:space="preserve">]. </w:t>
      </w:r>
      <w:r w:rsidR="005A3129">
        <w:t>Therefore, our growth models and their e</w:t>
      </w:r>
      <w:r w:rsidR="007B121F">
        <w:t xml:space="preserve">stimates of </w:t>
      </w:r>
      <w:r w:rsidR="007B121F">
        <w:rPr>
          <w:rFonts w:cs="Times New Roman"/>
          <w:i/>
        </w:rPr>
        <w:t>μ</w:t>
      </w:r>
      <w:r w:rsidR="007B121F">
        <w:rPr>
          <w:i/>
        </w:rPr>
        <w:t xml:space="preserve"> </w:t>
      </w:r>
      <w:r w:rsidR="007B121F">
        <w:t xml:space="preserve">and </w:t>
      </w:r>
      <w:r w:rsidR="007B121F">
        <w:rPr>
          <w:rFonts w:cs="Times New Roman"/>
          <w:i/>
        </w:rPr>
        <w:t>λ</w:t>
      </w:r>
      <w:r w:rsidR="00842E7C">
        <w:rPr>
          <w:rFonts w:cs="Times New Roman"/>
          <w:i/>
        </w:rPr>
        <w:t xml:space="preserve"> </w:t>
      </w:r>
      <w:r w:rsidR="007B121F">
        <w:t xml:space="preserve">could provide policymakers </w:t>
      </w:r>
      <w:r w:rsidR="005A3129">
        <w:t xml:space="preserve">and analysts </w:t>
      </w:r>
      <w:r w:rsidR="007B121F">
        <w:t xml:space="preserve">with </w:t>
      </w:r>
      <w:r w:rsidR="005A3129">
        <w:t xml:space="preserve">useful summary </w:t>
      </w:r>
      <w:r w:rsidR="007B121F">
        <w:t xml:space="preserve">indicators for </w:t>
      </w:r>
      <w:r w:rsidR="005A3129">
        <w:t xml:space="preserve">synthesizing and </w:t>
      </w:r>
      <w:r w:rsidR="007B121F">
        <w:t xml:space="preserve">evaluating </w:t>
      </w:r>
      <w:r w:rsidR="00107AB9">
        <w:t xml:space="preserve">the </w:t>
      </w:r>
      <w:r w:rsidR="00842E7C">
        <w:t>evolution</w:t>
      </w:r>
      <w:r w:rsidR="00107AB9">
        <w:t xml:space="preserve"> </w:t>
      </w:r>
      <w:r w:rsidR="005A3129">
        <w:t xml:space="preserve">over time </w:t>
      </w:r>
      <w:r w:rsidR="00107AB9">
        <w:t>of</w:t>
      </w:r>
      <w:r w:rsidR="00F53509">
        <w:t xml:space="preserve"> coverage of key health services and interventions</w:t>
      </w:r>
      <w:r w:rsidR="005A3129">
        <w:t xml:space="preserve"> (ART</w:t>
      </w:r>
      <w:r w:rsidR="00EF3B82">
        <w:t xml:space="preserve"> in our case study</w:t>
      </w:r>
      <w:r w:rsidR="005A3129">
        <w:t>)</w:t>
      </w:r>
      <w:r w:rsidR="007B121F">
        <w:t xml:space="preserve">. </w:t>
      </w:r>
    </w:p>
    <w:p w14:paraId="27A984E7" w14:textId="77777777" w:rsidR="008F3287" w:rsidRDefault="008F3287" w:rsidP="0047073F">
      <w:pPr>
        <w:spacing w:line="480" w:lineRule="auto"/>
      </w:pPr>
    </w:p>
    <w:p w14:paraId="42D39DC3" w14:textId="2F13DFD2" w:rsidR="00455D83" w:rsidRDefault="00635454" w:rsidP="00BF4AC5">
      <w:pPr>
        <w:spacing w:line="480" w:lineRule="auto"/>
      </w:pPr>
      <w:r>
        <w:t>Nevertheless, o</w:t>
      </w:r>
      <w:r w:rsidR="00361F28">
        <w:t xml:space="preserve">ur analysis </w:t>
      </w:r>
      <w:r w:rsidR="007754B5">
        <w:t>presents a number of</w:t>
      </w:r>
      <w:r w:rsidR="00535C2E">
        <w:t xml:space="preserve"> </w:t>
      </w:r>
      <w:r w:rsidR="00361F28">
        <w:t xml:space="preserve">limitations. </w:t>
      </w:r>
      <w:r w:rsidR="007B121F">
        <w:t xml:space="preserve">First, </w:t>
      </w:r>
      <w:r w:rsidR="009467AC">
        <w:t xml:space="preserve">our approach may not be generalizable as </w:t>
      </w:r>
      <w:r w:rsidR="007B121F">
        <w:t xml:space="preserve">we </w:t>
      </w:r>
      <w:r w:rsidR="009467AC">
        <w:t xml:space="preserve">have </w:t>
      </w:r>
      <w:r w:rsidR="007B121F">
        <w:t xml:space="preserve">only </w:t>
      </w:r>
      <w:r w:rsidR="009467AC">
        <w:t>tested it here</w:t>
      </w:r>
      <w:r w:rsidR="007B121F">
        <w:t xml:space="preserve"> to </w:t>
      </w:r>
      <w:r w:rsidR="009467AC">
        <w:t xml:space="preserve">time series </w:t>
      </w:r>
      <w:r w:rsidR="007B121F">
        <w:t xml:space="preserve">data on ART coverage. Although </w:t>
      </w:r>
      <w:r w:rsidR="004F1796">
        <w:t>ART</w:t>
      </w:r>
      <w:r w:rsidR="007B121F">
        <w:t xml:space="preserve"> may be important in tackling the AIDS epidemic, there are </w:t>
      </w:r>
      <w:r w:rsidR="004F1796">
        <w:t xml:space="preserve">indeed </w:t>
      </w:r>
      <w:r w:rsidR="007B121F">
        <w:t xml:space="preserve">many other treatments and health services that could be </w:t>
      </w:r>
      <w:r w:rsidR="00275E91">
        <w:t>studied</w:t>
      </w:r>
      <w:r w:rsidR="004F1796">
        <w:t xml:space="preserve"> for </w:t>
      </w:r>
      <w:r w:rsidR="00953324">
        <w:t xml:space="preserve">addressing </w:t>
      </w:r>
      <w:r w:rsidR="004F1796">
        <w:t>HIV</w:t>
      </w:r>
      <w:r w:rsidR="00953324">
        <w:t>/AIDS, and many more for other diseases and conditions</w:t>
      </w:r>
      <w:r w:rsidR="00B265B6">
        <w:t xml:space="preserve"> (e.g. immunization coverage).</w:t>
      </w:r>
      <w:r w:rsidR="007B121F">
        <w:t xml:space="preserve"> </w:t>
      </w:r>
      <w:r w:rsidR="008F3287">
        <w:t xml:space="preserve">Furthermore, our time series coverage data may be subject to correlations between countries and within country, and one could potentially refine the statistical modeling by introducing country- and time-specific random effects. </w:t>
      </w:r>
      <w:r w:rsidR="00275E91">
        <w:t>Second</w:t>
      </w:r>
      <w:r w:rsidR="00451791">
        <w:t xml:space="preserve">, although </w:t>
      </w:r>
      <w:r w:rsidR="001F524A">
        <w:t xml:space="preserve">an estimated </w:t>
      </w:r>
      <w:r w:rsidR="00451791">
        <w:t>rate of change</w:t>
      </w:r>
      <w:r w:rsidR="001F524A">
        <w:t xml:space="preserve"> (</w:t>
      </w:r>
      <w:r w:rsidR="001F524A">
        <w:rPr>
          <w:rFonts w:cs="Times New Roman"/>
          <w:i/>
        </w:rPr>
        <w:t>μ</w:t>
      </w:r>
      <w:r w:rsidR="001F524A">
        <w:t xml:space="preserve">) </w:t>
      </w:r>
      <w:r w:rsidR="00451791">
        <w:t>and</w:t>
      </w:r>
      <w:r w:rsidR="001F524A">
        <w:t xml:space="preserve"> estimated</w:t>
      </w:r>
      <w:r w:rsidR="00451791">
        <w:t xml:space="preserve"> </w:t>
      </w:r>
      <w:r w:rsidR="001F524A">
        <w:t>time delay</w:t>
      </w:r>
      <w:r w:rsidR="00451791">
        <w:t xml:space="preserve"> </w:t>
      </w:r>
      <w:r w:rsidR="001F524A">
        <w:t>(</w:t>
      </w:r>
      <w:r w:rsidR="001F524A">
        <w:rPr>
          <w:rFonts w:cs="Times New Roman"/>
          <w:i/>
        </w:rPr>
        <w:t>λ</w:t>
      </w:r>
      <w:r w:rsidR="001F524A">
        <w:t xml:space="preserve">) </w:t>
      </w:r>
      <w:r w:rsidR="00451791">
        <w:t xml:space="preserve">may be useful </w:t>
      </w:r>
      <w:r w:rsidR="001F524A">
        <w:t>to</w:t>
      </w:r>
      <w:r w:rsidR="00451791">
        <w:t xml:space="preserve"> policymakers</w:t>
      </w:r>
      <w:r w:rsidR="001F524A">
        <w:t xml:space="preserve"> to summarize intervention scale-up evolution</w:t>
      </w:r>
      <w:r w:rsidR="00451791">
        <w:t xml:space="preserve">, </w:t>
      </w:r>
      <w:r w:rsidR="001F524A">
        <w:t>they are merely two simple indicators: many factors influence intervention scale-up, and thus</w:t>
      </w:r>
      <w:r w:rsidR="001F524A" w:rsidRPr="001F524A">
        <w:rPr>
          <w:rFonts w:cs="Times New Roman"/>
          <w:i/>
        </w:rPr>
        <w:t xml:space="preserve"> </w:t>
      </w:r>
      <w:r w:rsidR="001F524A">
        <w:rPr>
          <w:rFonts w:cs="Times New Roman"/>
          <w:i/>
        </w:rPr>
        <w:t>μ</w:t>
      </w:r>
      <w:r w:rsidR="001F524A">
        <w:rPr>
          <w:i/>
        </w:rPr>
        <w:t xml:space="preserve"> </w:t>
      </w:r>
      <w:r w:rsidR="001F524A">
        <w:t xml:space="preserve">and </w:t>
      </w:r>
      <w:r w:rsidR="001F524A">
        <w:rPr>
          <w:rFonts w:cs="Times New Roman"/>
          <w:i/>
        </w:rPr>
        <w:t>λ</w:t>
      </w:r>
      <w:r w:rsidR="00B265B6">
        <w:t xml:space="preserve"> </w:t>
      </w:r>
      <w:r w:rsidR="001F524A">
        <w:t>can in no way</w:t>
      </w:r>
      <w:r w:rsidR="00451791">
        <w:t xml:space="preserve"> answer </w:t>
      </w:r>
      <w:r w:rsidR="00451791">
        <w:lastRenderedPageBreak/>
        <w:t xml:space="preserve">the </w:t>
      </w:r>
      <w:r w:rsidR="001F524A">
        <w:t xml:space="preserve">fundamental </w:t>
      </w:r>
      <w:r w:rsidR="00451791">
        <w:t>question of why a country might perform well or poorly</w:t>
      </w:r>
      <w:r w:rsidR="00B83ED2">
        <w:t xml:space="preserve"> </w:t>
      </w:r>
      <w:r w:rsidR="001F524A">
        <w:t xml:space="preserve">in one of its program/intervention; </w:t>
      </w:r>
      <w:r w:rsidR="001F524A">
        <w:rPr>
          <w:rFonts w:cs="Times New Roman"/>
          <w:i/>
        </w:rPr>
        <w:t>μ</w:t>
      </w:r>
      <w:r w:rsidR="001F524A">
        <w:rPr>
          <w:i/>
        </w:rPr>
        <w:t xml:space="preserve"> </w:t>
      </w:r>
      <w:r w:rsidR="001F524A">
        <w:t xml:space="preserve">and </w:t>
      </w:r>
      <w:r w:rsidR="001F524A">
        <w:rPr>
          <w:rFonts w:cs="Times New Roman"/>
          <w:i/>
        </w:rPr>
        <w:t>λ</w:t>
      </w:r>
      <w:r w:rsidR="00B83ED2">
        <w:t xml:space="preserve"> </w:t>
      </w:r>
      <w:r w:rsidR="001F524A">
        <w:t xml:space="preserve">likely encapsulate </w:t>
      </w:r>
      <w:r w:rsidR="00B05984">
        <w:t xml:space="preserve">many </w:t>
      </w:r>
      <w:r w:rsidR="00B83ED2">
        <w:t xml:space="preserve">parts of </w:t>
      </w:r>
      <w:r w:rsidR="001F524A">
        <w:t>a complex</w:t>
      </w:r>
      <w:r w:rsidR="00B83ED2">
        <w:t xml:space="preserve"> </w:t>
      </w:r>
      <w:r w:rsidR="00275E91">
        <w:t xml:space="preserve">health </w:t>
      </w:r>
      <w:r w:rsidR="00B83ED2">
        <w:t>system</w:t>
      </w:r>
      <w:r w:rsidR="001F524A">
        <w:t xml:space="preserve"> architecture</w:t>
      </w:r>
      <w:r w:rsidR="00AA3677">
        <w:t xml:space="preserve"> [</w:t>
      </w:r>
      <w:r w:rsidR="00B265B6">
        <w:t>30</w:t>
      </w:r>
      <w:r w:rsidR="00AA3677">
        <w:t>]</w:t>
      </w:r>
      <w:r w:rsidR="00B265B6">
        <w:t>, which requires further in-depth investigation.</w:t>
      </w:r>
      <w:r w:rsidR="00451791">
        <w:t xml:space="preserve"> </w:t>
      </w:r>
      <w:r w:rsidR="00275E91">
        <w:t>Third, o</w:t>
      </w:r>
      <w:r w:rsidR="00535C2E">
        <w:t>ur</w:t>
      </w:r>
      <w:r w:rsidR="00A76583">
        <w:t xml:space="preserve"> </w:t>
      </w:r>
      <w:r w:rsidR="00821B72">
        <w:t xml:space="preserve">growth </w:t>
      </w:r>
      <w:r w:rsidR="00A76583">
        <w:t xml:space="preserve">models </w:t>
      </w:r>
      <w:r w:rsidR="00535C2E">
        <w:t xml:space="preserve">also </w:t>
      </w:r>
      <w:r w:rsidR="00A76583">
        <w:t>do not incorporate any i</w:t>
      </w:r>
      <w:r w:rsidR="000A0217">
        <w:t>nformation on country context. The prevalence of HIV</w:t>
      </w:r>
      <w:r w:rsidR="00780A87">
        <w:t xml:space="preserve"> – and hence the</w:t>
      </w:r>
      <w:r w:rsidR="00535C2E">
        <w:t xml:space="preserve"> need for ART </w:t>
      </w:r>
      <w:r w:rsidR="00821B72">
        <w:t xml:space="preserve">coverage </w:t>
      </w:r>
      <w:r w:rsidR="00780A87">
        <w:t xml:space="preserve">– varies </w:t>
      </w:r>
      <w:r w:rsidR="000A0217">
        <w:t>widely across sub-Saharan Africa</w:t>
      </w:r>
      <w:r w:rsidR="00821B72">
        <w:t>n countries</w:t>
      </w:r>
      <w:r w:rsidR="000A0217">
        <w:t>. In some countries,</w:t>
      </w:r>
      <w:r w:rsidR="00780A87">
        <w:t xml:space="preserve"> such as Burkina Faso and the Democratic Republic of the Congo,</w:t>
      </w:r>
      <w:r w:rsidR="000A0217">
        <w:t xml:space="preserve"> less than 1% of </w:t>
      </w:r>
      <w:r w:rsidR="00A336FE">
        <w:t xml:space="preserve">the </w:t>
      </w:r>
      <w:r w:rsidR="000A0217">
        <w:t>population suffers from HIV</w:t>
      </w:r>
      <w:r w:rsidR="00AA3677">
        <w:t xml:space="preserve"> [2</w:t>
      </w:r>
      <w:r w:rsidR="008F3287">
        <w:t>5</w:t>
      </w:r>
      <w:r w:rsidR="00AA3677">
        <w:t>]</w:t>
      </w:r>
      <w:r w:rsidR="00B265B6">
        <w:t xml:space="preserve">; and this largely explained some of the poor regression fits. </w:t>
      </w:r>
      <w:r w:rsidR="000A0217">
        <w:t xml:space="preserve">In contrast, South Africa, Swaziland, and Botswana </w:t>
      </w:r>
      <w:r w:rsidR="00821B72">
        <w:t xml:space="preserve">present </w:t>
      </w:r>
      <w:r w:rsidR="00A336FE">
        <w:t xml:space="preserve">an adult prevalence of HIV above </w:t>
      </w:r>
      <w:r w:rsidR="000A0217">
        <w:t>20%</w:t>
      </w:r>
      <w:r w:rsidR="00AA3677">
        <w:t xml:space="preserve"> [2</w:t>
      </w:r>
      <w:r w:rsidR="008F3287">
        <w:t>5</w:t>
      </w:r>
      <w:r w:rsidR="00AA3677">
        <w:t>]</w:t>
      </w:r>
      <w:r w:rsidR="000A0217">
        <w:t xml:space="preserve">. Clearly, the latter group of countries faces </w:t>
      </w:r>
      <w:r w:rsidR="007C490E">
        <w:t>different challenges</w:t>
      </w:r>
      <w:r w:rsidR="00250810">
        <w:t xml:space="preserve"> to HIV management and ART scale-up</w:t>
      </w:r>
      <w:r w:rsidR="007C490E">
        <w:t xml:space="preserve"> than the former. </w:t>
      </w:r>
      <w:r w:rsidR="00BF4AC5">
        <w:t>Lastly</w:t>
      </w:r>
      <w:r w:rsidR="00451791">
        <w:t xml:space="preserve">, our </w:t>
      </w:r>
      <w:r w:rsidR="00BF4AC5">
        <w:t xml:space="preserve">growth </w:t>
      </w:r>
      <w:r w:rsidR="00451791">
        <w:t>models</w:t>
      </w:r>
      <w:r w:rsidR="00BF4AC5">
        <w:t xml:space="preserve"> </w:t>
      </w:r>
      <w:r w:rsidR="00B265B6">
        <w:t xml:space="preserve">were </w:t>
      </w:r>
      <w:r w:rsidR="00BF4AC5">
        <w:t>purposely simplistic as they d</w:t>
      </w:r>
      <w:r w:rsidR="00B265B6">
        <w:t>id</w:t>
      </w:r>
      <w:r w:rsidR="00BF4AC5">
        <w:t xml:space="preserve"> not rely on</w:t>
      </w:r>
      <w:r w:rsidR="00451791">
        <w:t xml:space="preserve"> existing frameworks </w:t>
      </w:r>
      <w:r w:rsidR="00EB65FC">
        <w:t>for</w:t>
      </w:r>
      <w:r w:rsidR="00451791">
        <w:t xml:space="preserve"> </w:t>
      </w:r>
      <w:r w:rsidR="00B265B6">
        <w:t>health system analysis</w:t>
      </w:r>
      <w:r w:rsidR="00451791">
        <w:t xml:space="preserve">. </w:t>
      </w:r>
      <w:r w:rsidR="00307CD3">
        <w:t>Notably, t</w:t>
      </w:r>
      <w:r w:rsidR="00455D83">
        <w:t xml:space="preserve">he information gleaned from </w:t>
      </w:r>
      <w:r w:rsidR="00275E91">
        <w:t>our</w:t>
      </w:r>
      <w:r w:rsidR="00455D83">
        <w:t xml:space="preserve"> model</w:t>
      </w:r>
      <w:r w:rsidR="00307CD3">
        <w:t>ing approach</w:t>
      </w:r>
      <w:r w:rsidR="00455D83">
        <w:t xml:space="preserve"> should be augmented with the economic and historical context of a given country. As Balabanova et al. point out</w:t>
      </w:r>
      <w:r w:rsidR="00AA3677">
        <w:t xml:space="preserve"> [1</w:t>
      </w:r>
      <w:r w:rsidR="008F3287">
        <w:t>7</w:t>
      </w:r>
      <w:r w:rsidR="00AA3677">
        <w:t>]</w:t>
      </w:r>
      <w:r w:rsidR="00455D83">
        <w:t>, the ability of a health system to scale-up an intervention (i.e. to achieve a high rate of change or a low lag time) is influenced by the system’s history and development.</w:t>
      </w:r>
      <w:r w:rsidR="00D54EA7">
        <w:t xml:space="preserve"> Our objective in this paper is to present a simple approach to estimate meaningful parameters summarizing intervention </w:t>
      </w:r>
      <w:r w:rsidR="00B265B6">
        <w:t xml:space="preserve">and health services </w:t>
      </w:r>
      <w:r w:rsidR="00D54EA7">
        <w:t xml:space="preserve">scale-up, which may a useful first stepping stone toward </w:t>
      </w:r>
      <w:r w:rsidR="00B265B6">
        <w:t>characterizing and understanding</w:t>
      </w:r>
      <w:r w:rsidR="00D54EA7">
        <w:t xml:space="preserve"> health system performance.</w:t>
      </w:r>
    </w:p>
    <w:p w14:paraId="4D4BAFF0" w14:textId="77777777" w:rsidR="008F3287" w:rsidRDefault="008F3287" w:rsidP="0047073F">
      <w:pPr>
        <w:spacing w:line="480" w:lineRule="auto"/>
      </w:pPr>
    </w:p>
    <w:p w14:paraId="14A4C696" w14:textId="2583D33E" w:rsidR="00451791" w:rsidRPr="00451791" w:rsidRDefault="00524C45" w:rsidP="0047073F">
      <w:pPr>
        <w:spacing w:line="480" w:lineRule="auto"/>
      </w:pPr>
      <w:r>
        <w:t>To conclude</w:t>
      </w:r>
      <w:r w:rsidR="00455D83">
        <w:t xml:space="preserve">, </w:t>
      </w:r>
      <w:r>
        <w:t xml:space="preserve">our analysis intends to </w:t>
      </w:r>
      <w:r w:rsidR="00455D83">
        <w:t xml:space="preserve">contribute to </w:t>
      </w:r>
      <w:r>
        <w:t>the</w:t>
      </w:r>
      <w:r w:rsidR="00455D83">
        <w:t xml:space="preserve"> growing acknowledgement that rates of change </w:t>
      </w:r>
      <w:r w:rsidR="008F3287">
        <w:t>in</w:t>
      </w:r>
      <w:r>
        <w:t xml:space="preserve"> levels of health outcomes and health services coverage </w:t>
      </w:r>
      <w:r w:rsidR="00455D83">
        <w:t>may provide</w:t>
      </w:r>
      <w:r>
        <w:t xml:space="preserve"> helpful</w:t>
      </w:r>
      <w:r w:rsidR="00455D83">
        <w:t xml:space="preserve"> insight into </w:t>
      </w:r>
      <w:r>
        <w:t xml:space="preserve">the understanding of </w:t>
      </w:r>
      <w:r w:rsidR="00B05984">
        <w:t xml:space="preserve">country </w:t>
      </w:r>
      <w:r w:rsidR="00455D83">
        <w:t>performance</w:t>
      </w:r>
      <w:r w:rsidR="00B05984">
        <w:t xml:space="preserve"> on health</w:t>
      </w:r>
      <w:r w:rsidR="00455D83">
        <w:t xml:space="preserve">. And although they </w:t>
      </w:r>
      <w:r>
        <w:t>are only a starting point</w:t>
      </w:r>
      <w:r w:rsidR="00455D83">
        <w:t>, growth curves</w:t>
      </w:r>
      <w:r w:rsidR="00B05984">
        <w:t xml:space="preserve"> and basic differential equation models</w:t>
      </w:r>
      <w:r w:rsidR="00455D83">
        <w:t xml:space="preserve"> can </w:t>
      </w:r>
      <w:r>
        <w:t>provide</w:t>
      </w:r>
      <w:r w:rsidR="00455D83">
        <w:t xml:space="preserve"> a </w:t>
      </w:r>
      <w:r>
        <w:t>departure point and a novel</w:t>
      </w:r>
      <w:r w:rsidR="00455D83">
        <w:t xml:space="preserve"> perspective </w:t>
      </w:r>
      <w:r w:rsidR="00934AB0">
        <w:t>on</w:t>
      </w:r>
      <w:r w:rsidR="00455D83">
        <w:t xml:space="preserve"> </w:t>
      </w:r>
      <w:r>
        <w:t>characterizing the</w:t>
      </w:r>
      <w:r w:rsidR="00455D83">
        <w:t xml:space="preserve"> scale-up of key</w:t>
      </w:r>
      <w:r>
        <w:t xml:space="preserve"> </w:t>
      </w:r>
      <w:r w:rsidR="00455D83">
        <w:t>interventions</w:t>
      </w:r>
      <w:r>
        <w:t xml:space="preserve"> in global health.</w:t>
      </w:r>
      <w:r w:rsidR="00455D83">
        <w:t xml:space="preserve"> </w:t>
      </w:r>
    </w:p>
    <w:p w14:paraId="23E3AC40" w14:textId="0E8EBF41" w:rsidR="00A336FE" w:rsidRDefault="00A336FE" w:rsidP="0047073F">
      <w:pPr>
        <w:spacing w:line="480" w:lineRule="auto"/>
        <w:rPr>
          <w:b/>
        </w:rPr>
      </w:pPr>
    </w:p>
    <w:p w14:paraId="154BE001" w14:textId="1ADD5378" w:rsidR="00BE6A81" w:rsidRDefault="00BE6A81" w:rsidP="0047073F">
      <w:pPr>
        <w:spacing w:line="480" w:lineRule="auto"/>
        <w:rPr>
          <w:b/>
        </w:rPr>
      </w:pPr>
    </w:p>
    <w:p w14:paraId="1DF3E4E3" w14:textId="77777777" w:rsidR="00C84B76" w:rsidRDefault="00C84B76" w:rsidP="008F3287">
      <w:pPr>
        <w:spacing w:line="480" w:lineRule="auto"/>
        <w:outlineLvl w:val="0"/>
      </w:pPr>
      <w:r>
        <w:rPr>
          <w:b/>
        </w:rPr>
        <w:t xml:space="preserve">Acknowledgements: </w:t>
      </w:r>
      <w:r>
        <w:t>We thank Osondu Ogbuoji for sourcing the time series data used in this analysis and for useful discussions.</w:t>
      </w:r>
    </w:p>
    <w:p w14:paraId="1A08AF85" w14:textId="77777777" w:rsidR="00C84B76" w:rsidRPr="00831247" w:rsidRDefault="00C84B76" w:rsidP="008F3287">
      <w:pPr>
        <w:spacing w:line="480" w:lineRule="auto"/>
        <w:outlineLvl w:val="0"/>
        <w:rPr>
          <w:b/>
        </w:rPr>
      </w:pPr>
      <w:r w:rsidRPr="006C3722">
        <w:rPr>
          <w:b/>
        </w:rPr>
        <w:t>Funding</w:t>
      </w:r>
      <w:r>
        <w:rPr>
          <w:b/>
        </w:rPr>
        <w:t>:</w:t>
      </w:r>
      <w:r>
        <w:t xml:space="preserve"> Funding was received from the Department of Global Health and Population, Harvard T.H. Chan School of Public Health. </w:t>
      </w:r>
    </w:p>
    <w:p w14:paraId="394C1D48" w14:textId="77777777" w:rsidR="00C84B76" w:rsidRDefault="00C84B76" w:rsidP="008F3287">
      <w:pPr>
        <w:spacing w:line="480" w:lineRule="auto"/>
        <w:rPr>
          <w:rFonts w:cs="Times New Roman"/>
        </w:rPr>
      </w:pPr>
      <w:r>
        <w:rPr>
          <w:rFonts w:cs="Times New Roman"/>
          <w:b/>
        </w:rPr>
        <w:t xml:space="preserve">Disclaimer: </w:t>
      </w:r>
      <w:r>
        <w:rPr>
          <w:rFonts w:cs="Times New Roman"/>
        </w:rPr>
        <w:t>The views expressed in this article are those of the authors and are not the official positions of their affiliate institutions or funders.</w:t>
      </w:r>
    </w:p>
    <w:p w14:paraId="4391E20E" w14:textId="77777777" w:rsidR="00C84B76" w:rsidRDefault="00C84B76" w:rsidP="008F3287">
      <w:pPr>
        <w:spacing w:line="480" w:lineRule="auto"/>
        <w:rPr>
          <w:b/>
        </w:rPr>
      </w:pPr>
      <w:r w:rsidRPr="00380ADD">
        <w:rPr>
          <w:b/>
        </w:rPr>
        <w:t xml:space="preserve">Conflict of interest declaration: </w:t>
      </w:r>
      <w:r w:rsidRPr="00380ADD">
        <w:t xml:space="preserve">BB </w:t>
      </w:r>
      <w:r>
        <w:t>wa</w:t>
      </w:r>
      <w:r w:rsidRPr="00380ADD">
        <w:t>s employed by CareJourney (Arlington, VA), a healthcare software company. As part of employment package, author has received stock options from CareJourney. The majority of research, data analysis, and manuscript preparation occurred while the Author was in graduate school, prior to the Author’s employment at CareJourney. SV has no conflicts of interest to declare.</w:t>
      </w:r>
    </w:p>
    <w:p w14:paraId="4E9A013C" w14:textId="77777777" w:rsidR="00C84B76" w:rsidRDefault="00C84B76" w:rsidP="00C84B76">
      <w:pPr>
        <w:rPr>
          <w:b/>
        </w:rPr>
      </w:pPr>
    </w:p>
    <w:p w14:paraId="37D7D28C" w14:textId="6DB52849" w:rsidR="00BE6A81" w:rsidRDefault="00BE6A81" w:rsidP="0047073F">
      <w:pPr>
        <w:spacing w:line="480" w:lineRule="auto"/>
        <w:rPr>
          <w:b/>
        </w:rPr>
      </w:pPr>
    </w:p>
    <w:p w14:paraId="59D77A25" w14:textId="3A75C092" w:rsidR="00BE6A81" w:rsidRDefault="00BE6A81" w:rsidP="0047073F">
      <w:pPr>
        <w:spacing w:line="480" w:lineRule="auto"/>
        <w:rPr>
          <w:b/>
        </w:rPr>
      </w:pPr>
    </w:p>
    <w:p w14:paraId="526986CA" w14:textId="3564E6D9" w:rsidR="00BE6A81" w:rsidRDefault="00BE6A81" w:rsidP="0047073F">
      <w:pPr>
        <w:spacing w:line="480" w:lineRule="auto"/>
        <w:rPr>
          <w:b/>
        </w:rPr>
      </w:pPr>
    </w:p>
    <w:p w14:paraId="7AF8E925" w14:textId="3A153A3C" w:rsidR="00BE6A81" w:rsidRDefault="00BE6A81" w:rsidP="0047073F">
      <w:pPr>
        <w:spacing w:line="480" w:lineRule="auto"/>
        <w:rPr>
          <w:b/>
        </w:rPr>
      </w:pPr>
    </w:p>
    <w:p w14:paraId="5B67EB22" w14:textId="3CB4614D" w:rsidR="00BE6A81" w:rsidRDefault="00BE6A81" w:rsidP="0047073F">
      <w:pPr>
        <w:spacing w:line="480" w:lineRule="auto"/>
        <w:rPr>
          <w:b/>
        </w:rPr>
      </w:pPr>
    </w:p>
    <w:p w14:paraId="6F059AAA" w14:textId="450B67D7" w:rsidR="00BE6A81" w:rsidRDefault="00BE6A81" w:rsidP="0047073F">
      <w:pPr>
        <w:spacing w:line="480" w:lineRule="auto"/>
        <w:rPr>
          <w:b/>
        </w:rPr>
      </w:pPr>
    </w:p>
    <w:p w14:paraId="619B7526" w14:textId="23EA2F0A" w:rsidR="00BE6A81" w:rsidRDefault="00BE6A81" w:rsidP="0047073F">
      <w:pPr>
        <w:spacing w:line="480" w:lineRule="auto"/>
        <w:rPr>
          <w:b/>
        </w:rPr>
      </w:pPr>
    </w:p>
    <w:p w14:paraId="6A1B4C40" w14:textId="3449273D" w:rsidR="00BE6A81" w:rsidRDefault="00BE6A81" w:rsidP="0047073F">
      <w:pPr>
        <w:spacing w:line="480" w:lineRule="auto"/>
        <w:rPr>
          <w:b/>
        </w:rPr>
      </w:pPr>
    </w:p>
    <w:p w14:paraId="75732FE4" w14:textId="5F012AC6" w:rsidR="00BE6A81" w:rsidRDefault="00BE6A81" w:rsidP="0047073F">
      <w:pPr>
        <w:spacing w:line="480" w:lineRule="auto"/>
        <w:rPr>
          <w:b/>
        </w:rPr>
      </w:pPr>
    </w:p>
    <w:p w14:paraId="4AD2CBF7" w14:textId="13E79B00" w:rsidR="00BE6A81" w:rsidRDefault="00BE6A81" w:rsidP="0047073F">
      <w:pPr>
        <w:spacing w:line="480" w:lineRule="auto"/>
        <w:rPr>
          <w:b/>
        </w:rPr>
      </w:pPr>
    </w:p>
    <w:p w14:paraId="58F3E497" w14:textId="77777777" w:rsidR="00AA3677" w:rsidRDefault="00AA3677" w:rsidP="00AA3677">
      <w:pPr>
        <w:spacing w:line="480" w:lineRule="auto"/>
        <w:outlineLvl w:val="0"/>
        <w:rPr>
          <w:b/>
        </w:rPr>
      </w:pPr>
      <w:r>
        <w:rPr>
          <w:b/>
        </w:rPr>
        <w:lastRenderedPageBreak/>
        <w:t>References</w:t>
      </w:r>
    </w:p>
    <w:p w14:paraId="1F956853" w14:textId="77777777" w:rsidR="00AA3677" w:rsidRPr="00D90E13" w:rsidRDefault="00AA3677" w:rsidP="00AA3677">
      <w:pPr>
        <w:pStyle w:val="ListParagraph"/>
        <w:numPr>
          <w:ilvl w:val="0"/>
          <w:numId w:val="2"/>
        </w:numPr>
        <w:outlineLvl w:val="0"/>
      </w:pPr>
      <w:r w:rsidRPr="00D90E13">
        <w:t>Murray CJL, Frenk J. A framework for assessing the performance of health systems. Bulletin of the World Health Organization 2000; 78(6):717-731.</w:t>
      </w:r>
    </w:p>
    <w:p w14:paraId="41CFE81B" w14:textId="304D82D1" w:rsidR="00AA3677" w:rsidRDefault="00AA3677" w:rsidP="00AA3677">
      <w:pPr>
        <w:pStyle w:val="ListParagraph"/>
        <w:numPr>
          <w:ilvl w:val="0"/>
          <w:numId w:val="2"/>
        </w:numPr>
        <w:outlineLvl w:val="0"/>
      </w:pPr>
      <w:r>
        <w:t>Roberts M, Hsiao WC, Berman P, Reich MR. Getting health reform right: a guide to improving performance and equity. New York: Oxford University Press, 2008.</w:t>
      </w:r>
    </w:p>
    <w:p w14:paraId="28A05AAD" w14:textId="2D41512B" w:rsidR="00722C00" w:rsidRPr="008F3287" w:rsidRDefault="00722C00" w:rsidP="00AA3677">
      <w:pPr>
        <w:pStyle w:val="ListParagraph"/>
        <w:numPr>
          <w:ilvl w:val="0"/>
          <w:numId w:val="2"/>
        </w:numPr>
        <w:outlineLvl w:val="0"/>
      </w:pPr>
      <w:r w:rsidRPr="008F3287">
        <w:t>Smith PC</w:t>
      </w:r>
      <w:r w:rsidR="008F3287" w:rsidRPr="008F3287">
        <w:t>, Mossialos E, Papanicolas I, Leatherman S. Performance measurement for health system improvement. Cambridge, UK: Cambridge University Press, 2010</w:t>
      </w:r>
    </w:p>
    <w:p w14:paraId="6008373D" w14:textId="77777777" w:rsidR="00AA3677" w:rsidRDefault="00AA3677" w:rsidP="00AA3677">
      <w:pPr>
        <w:pStyle w:val="ListParagraph"/>
        <w:numPr>
          <w:ilvl w:val="0"/>
          <w:numId w:val="2"/>
        </w:numPr>
        <w:outlineLvl w:val="0"/>
      </w:pPr>
      <w:r>
        <w:t>World Health Organization. World Health Report 2000 – Health systems: improving performance. Geneva: World Health Organization, 2000.</w:t>
      </w:r>
    </w:p>
    <w:p w14:paraId="363BFA6C" w14:textId="31CB962A" w:rsidR="00AA3677" w:rsidRPr="008F3287" w:rsidRDefault="00AA3677" w:rsidP="00AA3677">
      <w:pPr>
        <w:pStyle w:val="ListParagraph"/>
        <w:numPr>
          <w:ilvl w:val="0"/>
          <w:numId w:val="2"/>
        </w:numPr>
        <w:outlineLvl w:val="0"/>
      </w:pPr>
      <w:r w:rsidRPr="008F3287">
        <w:t xml:space="preserve">Almeida C, </w:t>
      </w:r>
      <w:r w:rsidR="008F3287" w:rsidRPr="008F3287">
        <w:t>Braveman P, Gold MR, et al</w:t>
      </w:r>
      <w:r w:rsidRPr="008F3287">
        <w:t>. Methodological concerns and recommendation on policy consequences of the World Health Report 2000. Lancet 2001; 357:1692-1697.</w:t>
      </w:r>
    </w:p>
    <w:p w14:paraId="030E26F1" w14:textId="77777777" w:rsidR="009A26E2" w:rsidRPr="008F3287" w:rsidRDefault="009A26E2" w:rsidP="009A26E2">
      <w:pPr>
        <w:pStyle w:val="ListParagraph"/>
        <w:numPr>
          <w:ilvl w:val="0"/>
          <w:numId w:val="2"/>
        </w:numPr>
        <w:outlineLvl w:val="0"/>
        <w:rPr>
          <w:rFonts w:ascii="Times" w:hAnsi="Times"/>
          <w:color w:val="000000" w:themeColor="text1"/>
          <w:szCs w:val="24"/>
        </w:rPr>
      </w:pPr>
      <w:r w:rsidRPr="008F3287">
        <w:rPr>
          <w:rFonts w:ascii="Times" w:hAnsi="Times"/>
          <w:color w:val="000000" w:themeColor="text1"/>
          <w:szCs w:val="24"/>
        </w:rPr>
        <w:t>Jamison DT, Sandbu ME. WHO ranking of health system performance. Science 2001; 293(5535):1595-1596.</w:t>
      </w:r>
    </w:p>
    <w:p w14:paraId="459B15E8" w14:textId="20167978" w:rsidR="008F3287" w:rsidRPr="008F3287" w:rsidRDefault="008F3287" w:rsidP="008F3287">
      <w:pPr>
        <w:numPr>
          <w:ilvl w:val="0"/>
          <w:numId w:val="2"/>
        </w:numPr>
        <w:spacing w:before="100" w:beforeAutospacing="1" w:after="100" w:afterAutospacing="1"/>
        <w:ind w:right="75"/>
        <w:rPr>
          <w:rFonts w:ascii="Times" w:eastAsia="Times New Roman" w:hAnsi="Times" w:cs="Arial"/>
          <w:color w:val="000000" w:themeColor="text1"/>
          <w:szCs w:val="24"/>
        </w:rPr>
      </w:pPr>
      <w:r w:rsidRPr="008F3287">
        <w:rPr>
          <w:rFonts w:ascii="Times" w:eastAsia="Times New Roman" w:hAnsi="Times" w:cs="Arial"/>
          <w:color w:val="000000" w:themeColor="text1"/>
          <w:szCs w:val="24"/>
        </w:rPr>
        <w:t xml:space="preserve">Musgrove P. </w:t>
      </w:r>
      <w:r w:rsidRPr="008F3287">
        <w:rPr>
          <w:rFonts w:ascii="Times" w:eastAsia="Times New Roman" w:hAnsi="Times" w:cs="Arial"/>
          <w:bCs/>
          <w:color w:val="000000" w:themeColor="text1"/>
          <w:szCs w:val="24"/>
        </w:rPr>
        <w:t>Judging health systems: reflections on WHO's methods.</w:t>
      </w:r>
      <w:r>
        <w:rPr>
          <w:rFonts w:ascii="Times" w:eastAsia="Times New Roman" w:hAnsi="Times" w:cs="Arial"/>
          <w:bCs/>
          <w:color w:val="000000" w:themeColor="text1"/>
          <w:szCs w:val="24"/>
        </w:rPr>
        <w:t xml:space="preserve"> </w:t>
      </w:r>
      <w:r w:rsidRPr="008F3287">
        <w:rPr>
          <w:rFonts w:ascii="Times" w:eastAsia="Times New Roman" w:hAnsi="Times" w:cs="Arial"/>
          <w:i/>
          <w:iCs/>
          <w:color w:val="000000" w:themeColor="text1"/>
          <w:szCs w:val="24"/>
        </w:rPr>
        <w:t>Lancet</w:t>
      </w:r>
      <w:r w:rsidRPr="008F3287">
        <w:rPr>
          <w:rFonts w:ascii="Times" w:eastAsia="Times New Roman" w:hAnsi="Times" w:cs="Arial"/>
          <w:color w:val="000000" w:themeColor="text1"/>
          <w:szCs w:val="24"/>
        </w:rPr>
        <w:t> 2003; </w:t>
      </w:r>
      <w:r w:rsidRPr="008F3287">
        <w:rPr>
          <w:rFonts w:ascii="Times" w:eastAsia="Times New Roman" w:hAnsi="Times" w:cs="Arial"/>
          <w:bCs/>
          <w:color w:val="000000" w:themeColor="text1"/>
          <w:szCs w:val="24"/>
        </w:rPr>
        <w:t>361</w:t>
      </w:r>
      <w:r w:rsidRPr="008F3287">
        <w:rPr>
          <w:rFonts w:ascii="Times" w:eastAsia="Times New Roman" w:hAnsi="Times" w:cs="Arial"/>
          <w:color w:val="000000" w:themeColor="text1"/>
          <w:szCs w:val="24"/>
          <w:shd w:val="clear" w:color="auto" w:fill="FFFFFF"/>
        </w:rPr>
        <w:t>:</w:t>
      </w:r>
      <w:r w:rsidRPr="008F3287">
        <w:rPr>
          <w:rFonts w:ascii="Times" w:eastAsia="Times New Roman" w:hAnsi="Times" w:cs="Arial"/>
          <w:color w:val="000000" w:themeColor="text1"/>
          <w:szCs w:val="24"/>
        </w:rPr>
        <w:t>1817-1820.</w:t>
      </w:r>
    </w:p>
    <w:p w14:paraId="3602E437" w14:textId="77777777" w:rsidR="00AA3677" w:rsidRPr="008F3287" w:rsidRDefault="00AA3677" w:rsidP="00AA3677">
      <w:pPr>
        <w:pStyle w:val="ListParagraph"/>
        <w:numPr>
          <w:ilvl w:val="0"/>
          <w:numId w:val="2"/>
        </w:numPr>
        <w:outlineLvl w:val="0"/>
        <w:rPr>
          <w:rFonts w:ascii="Times" w:hAnsi="Times"/>
          <w:color w:val="000000" w:themeColor="text1"/>
          <w:szCs w:val="24"/>
        </w:rPr>
      </w:pPr>
      <w:r w:rsidRPr="008F3287">
        <w:rPr>
          <w:rFonts w:ascii="Times" w:hAnsi="Times"/>
          <w:color w:val="000000" w:themeColor="text1"/>
          <w:szCs w:val="24"/>
        </w:rPr>
        <w:t>Blendon RJ, Kim M, Benson JM. The public versus the World Health Organization on health system performance. Health Affairs 2001; 20(3):10-20.</w:t>
      </w:r>
    </w:p>
    <w:p w14:paraId="27F9E9CC" w14:textId="77777777" w:rsidR="00AA3677" w:rsidRDefault="00AA3677" w:rsidP="00AA3677">
      <w:pPr>
        <w:pStyle w:val="ListParagraph"/>
        <w:numPr>
          <w:ilvl w:val="0"/>
          <w:numId w:val="2"/>
        </w:numPr>
        <w:outlineLvl w:val="0"/>
      </w:pPr>
      <w:r w:rsidRPr="008F3287">
        <w:rPr>
          <w:rFonts w:ascii="Times" w:hAnsi="Times"/>
          <w:color w:val="000000" w:themeColor="text1"/>
          <w:szCs w:val="24"/>
        </w:rPr>
        <w:t>Navarro V. The World Health</w:t>
      </w:r>
      <w:r w:rsidRPr="008F3287">
        <w:rPr>
          <w:color w:val="000000" w:themeColor="text1"/>
        </w:rPr>
        <w:t xml:space="preserve"> </w:t>
      </w:r>
      <w:r>
        <w:t>Report 2000: can health care systems be compared using a single measure of performance? American Journal of Public Health 2002; 92(1):31-34.</w:t>
      </w:r>
    </w:p>
    <w:p w14:paraId="398B0C74" w14:textId="0E667F81" w:rsidR="00AA3677" w:rsidRDefault="00AA3677" w:rsidP="00AA3677">
      <w:pPr>
        <w:pStyle w:val="ListParagraph"/>
        <w:numPr>
          <w:ilvl w:val="0"/>
          <w:numId w:val="2"/>
        </w:numPr>
        <w:outlineLvl w:val="0"/>
      </w:pPr>
      <w:r>
        <w:t>Navarro V. Assessment of the World Health Report 2000. Lancet 2000; 356:1598-1601.</w:t>
      </w:r>
    </w:p>
    <w:p w14:paraId="3B54713A" w14:textId="77777777" w:rsidR="00AA3677" w:rsidRDefault="00AA3677" w:rsidP="00AA3677">
      <w:pPr>
        <w:pStyle w:val="ListParagraph"/>
        <w:numPr>
          <w:ilvl w:val="0"/>
          <w:numId w:val="2"/>
        </w:numPr>
        <w:outlineLvl w:val="0"/>
      </w:pPr>
      <w:r>
        <w:t>Nolte E, McKee M. Measuring the health of nations: analysis of mortality amenable to health care. BMJ 2003; 327(7424):1129.</w:t>
      </w:r>
    </w:p>
    <w:p w14:paraId="31889C2E" w14:textId="3E438E3A" w:rsidR="00AA3677" w:rsidRPr="00D90E13" w:rsidRDefault="00AA3677" w:rsidP="00AA3677">
      <w:pPr>
        <w:pStyle w:val="ListParagraph"/>
        <w:numPr>
          <w:ilvl w:val="0"/>
          <w:numId w:val="2"/>
        </w:numPr>
        <w:outlineLvl w:val="0"/>
      </w:pPr>
      <w:r>
        <w:t xml:space="preserve">United Nations. </w:t>
      </w:r>
      <w:r w:rsidR="00937B2D">
        <w:t>Millennium Development Goals</w:t>
      </w:r>
      <w:r>
        <w:t>. Available from:</w:t>
      </w:r>
      <w:r w:rsidRPr="00D90E13">
        <w:rPr>
          <w:rFonts w:cs="Times New Roman"/>
        </w:rPr>
        <w:t xml:space="preserve"> </w:t>
      </w:r>
      <w:r w:rsidR="00937B2D" w:rsidRPr="00937B2D">
        <w:rPr>
          <w:rFonts w:cs="Times New Roman"/>
        </w:rPr>
        <w:t>https://www.un.org/millenniumgoals/</w:t>
      </w:r>
      <w:r w:rsidRPr="009D0B92">
        <w:rPr>
          <w:rFonts w:cs="Times New Roman"/>
        </w:rPr>
        <w:t xml:space="preserve"> </w:t>
      </w:r>
      <w:r w:rsidR="00B43F36">
        <w:rPr>
          <w:rFonts w:cs="Times New Roman"/>
        </w:rPr>
        <w:t>(a</w:t>
      </w:r>
      <w:r w:rsidRPr="009D0B92">
        <w:rPr>
          <w:rFonts w:cs="Times New Roman"/>
        </w:rPr>
        <w:t xml:space="preserve">ccessed </w:t>
      </w:r>
      <w:r w:rsidR="00B43F36">
        <w:rPr>
          <w:rFonts w:cs="Times New Roman"/>
        </w:rPr>
        <w:t xml:space="preserve">July 29, </w:t>
      </w:r>
      <w:r w:rsidRPr="009D0B92">
        <w:rPr>
          <w:rFonts w:cs="Times New Roman"/>
        </w:rPr>
        <w:t>201</w:t>
      </w:r>
      <w:r w:rsidR="00937B2D">
        <w:rPr>
          <w:rFonts w:cs="Times New Roman"/>
        </w:rPr>
        <w:t>9</w:t>
      </w:r>
      <w:r w:rsidR="00B43F36">
        <w:rPr>
          <w:rFonts w:cs="Times New Roman"/>
        </w:rPr>
        <w:t>)</w:t>
      </w:r>
      <w:r w:rsidR="00201F19">
        <w:rPr>
          <w:rFonts w:cs="Times New Roman"/>
        </w:rPr>
        <w:t>.</w:t>
      </w:r>
    </w:p>
    <w:p w14:paraId="60DC6FF1" w14:textId="287E50A2" w:rsidR="00AA3677" w:rsidRDefault="00AA3677" w:rsidP="00AA3677">
      <w:pPr>
        <w:pStyle w:val="ListParagraph"/>
        <w:numPr>
          <w:ilvl w:val="0"/>
          <w:numId w:val="2"/>
        </w:numPr>
        <w:outlineLvl w:val="0"/>
      </w:pPr>
      <w:r>
        <w:t>UNAIDS. 90-90-90: an ambitious treatment target to help end the AIDS epidemic. UNAIDS, October 2014.</w:t>
      </w:r>
    </w:p>
    <w:p w14:paraId="10E82C6C" w14:textId="3681E822" w:rsidR="008F3287" w:rsidRDefault="008F3287" w:rsidP="00AA3677">
      <w:pPr>
        <w:pStyle w:val="ListParagraph"/>
        <w:numPr>
          <w:ilvl w:val="0"/>
          <w:numId w:val="2"/>
        </w:numPr>
        <w:outlineLvl w:val="0"/>
      </w:pPr>
      <w:r>
        <w:t>Verguet S, Jamison DT. Estimates of performance in the rate of decline of under-five mortality for 113 low- and middle-income countries. Health Policy and Planning 2014; 29(2):151-163.</w:t>
      </w:r>
    </w:p>
    <w:p w14:paraId="55D1AC01" w14:textId="1FEFD55D" w:rsidR="008F3287" w:rsidRDefault="008F3287" w:rsidP="00AA3677">
      <w:pPr>
        <w:pStyle w:val="ListParagraph"/>
        <w:numPr>
          <w:ilvl w:val="0"/>
          <w:numId w:val="2"/>
        </w:numPr>
        <w:outlineLvl w:val="0"/>
      </w:pPr>
      <w:r>
        <w:t>Verguet S, Norheim OF, Olson ZD, Yamey G, Jamison DT. Annual rates of decline in child, maternal, HIV, and tuberculosis mortality across 109 countries of low and middle income from 1990 to 2013: an assessment of the feasibility of post-2015 goals. Lancet Global Health 2014; 2:e698-709.</w:t>
      </w:r>
    </w:p>
    <w:p w14:paraId="067F7A6A" w14:textId="531EC267" w:rsidR="008F3287" w:rsidRDefault="008F3287" w:rsidP="00AA3677">
      <w:pPr>
        <w:pStyle w:val="ListParagraph"/>
        <w:numPr>
          <w:ilvl w:val="0"/>
          <w:numId w:val="2"/>
        </w:numPr>
        <w:outlineLvl w:val="0"/>
      </w:pPr>
      <w:r>
        <w:t>Verguet S, Jamison DT. Performance in rate of decline of adult mortality in the OECD, 1970-2010. Health Policy 2013; 109(2):137-142.</w:t>
      </w:r>
    </w:p>
    <w:p w14:paraId="03BF6B96" w14:textId="77777777" w:rsidR="00AA3677" w:rsidRDefault="00AA3677" w:rsidP="00AA3677">
      <w:pPr>
        <w:pStyle w:val="ListParagraph"/>
        <w:numPr>
          <w:ilvl w:val="0"/>
          <w:numId w:val="2"/>
        </w:numPr>
        <w:outlineLvl w:val="0"/>
      </w:pPr>
      <w:r>
        <w:t>Balanaova D, McKee M, Mills A. Good health at low cost 25 years on: what makes a successful health system? London: London School of Hygiene &amp; Tropical Medicine, 2011.</w:t>
      </w:r>
    </w:p>
    <w:p w14:paraId="618F16B5" w14:textId="77777777" w:rsidR="00AA3677" w:rsidRDefault="00AA3677" w:rsidP="00AA3677">
      <w:pPr>
        <w:pStyle w:val="ListParagraph"/>
        <w:numPr>
          <w:ilvl w:val="0"/>
          <w:numId w:val="2"/>
        </w:numPr>
        <w:outlineLvl w:val="0"/>
      </w:pPr>
      <w:r>
        <w:t>Meade N, Islam T. Forecasting with growth curves: an empirical comparison. International Journal of Forecasting 1995; 11(2):199-215.</w:t>
      </w:r>
    </w:p>
    <w:p w14:paraId="496706F4" w14:textId="77777777" w:rsidR="00AA3677" w:rsidRDefault="00AA3677" w:rsidP="00AA3677">
      <w:pPr>
        <w:pStyle w:val="ListParagraph"/>
        <w:numPr>
          <w:ilvl w:val="0"/>
          <w:numId w:val="2"/>
        </w:numPr>
        <w:outlineLvl w:val="0"/>
      </w:pPr>
      <w:r>
        <w:t>Zwietering MH, Jongenburger I, Rombouts FM, van’t Riet K. Modeling of the bacterial growth curve. Applied and Environmental Microbiology 1990; 56(6):1875-1881.</w:t>
      </w:r>
    </w:p>
    <w:p w14:paraId="10829962" w14:textId="77777777" w:rsidR="00AA3677" w:rsidRPr="005E77F6" w:rsidRDefault="00AA3677" w:rsidP="00AA3677">
      <w:pPr>
        <w:pStyle w:val="ListParagraph"/>
        <w:numPr>
          <w:ilvl w:val="0"/>
          <w:numId w:val="2"/>
        </w:numPr>
        <w:outlineLvl w:val="0"/>
        <w:rPr>
          <w:highlight w:val="yellow"/>
        </w:rPr>
      </w:pPr>
      <w:r w:rsidRPr="005E77F6">
        <w:rPr>
          <w:highlight w:val="yellow"/>
        </w:rPr>
        <w:t xml:space="preserve">Antiretroviral therapy coverage (% of people living with HIV). Available from: </w:t>
      </w:r>
      <w:r w:rsidRPr="005E77F6">
        <w:rPr>
          <w:rFonts w:cs="Times New Roman"/>
          <w:highlight w:val="yellow"/>
        </w:rPr>
        <w:t>https://data.worldbank.org/indicator/SH.HIV.ARTC.ZS?locations=SS-MG. [Accessed: 18-Nov-</w:t>
      </w:r>
      <w:commentRangeStart w:id="1"/>
      <w:r w:rsidRPr="005E77F6">
        <w:rPr>
          <w:rFonts w:cs="Times New Roman"/>
          <w:highlight w:val="yellow"/>
        </w:rPr>
        <w:t>2017</w:t>
      </w:r>
      <w:commentRangeEnd w:id="1"/>
      <w:r w:rsidR="005E77F6">
        <w:rPr>
          <w:rStyle w:val="CommentReference"/>
        </w:rPr>
        <w:commentReference w:id="1"/>
      </w:r>
      <w:r w:rsidRPr="005E77F6">
        <w:rPr>
          <w:rFonts w:cs="Times New Roman"/>
          <w:highlight w:val="yellow"/>
        </w:rPr>
        <w:t>].</w:t>
      </w:r>
    </w:p>
    <w:p w14:paraId="7D42F6CD" w14:textId="69A28DD7" w:rsidR="00AA3677" w:rsidRPr="00201F19" w:rsidRDefault="00AA3677" w:rsidP="00AA3677">
      <w:pPr>
        <w:pStyle w:val="ListParagraph"/>
        <w:numPr>
          <w:ilvl w:val="0"/>
          <w:numId w:val="2"/>
        </w:numPr>
        <w:outlineLvl w:val="0"/>
        <w:rPr>
          <w:color w:val="000000" w:themeColor="text1"/>
        </w:rPr>
      </w:pPr>
      <w:r w:rsidRPr="00201F19">
        <w:rPr>
          <w:color w:val="000000" w:themeColor="text1"/>
        </w:rPr>
        <w:lastRenderedPageBreak/>
        <w:t>Joint United Nations Programme on HIV/AIDS. UNAIDS data 201</w:t>
      </w:r>
      <w:r w:rsidR="00B43F36" w:rsidRPr="00201F19">
        <w:rPr>
          <w:color w:val="000000" w:themeColor="text1"/>
        </w:rPr>
        <w:t>9</w:t>
      </w:r>
      <w:r w:rsidRPr="00201F19">
        <w:rPr>
          <w:color w:val="000000" w:themeColor="text1"/>
        </w:rPr>
        <w:t xml:space="preserve">. </w:t>
      </w:r>
      <w:r w:rsidR="00B43F36" w:rsidRPr="00201F19">
        <w:rPr>
          <w:color w:val="000000" w:themeColor="text1"/>
        </w:rPr>
        <w:t xml:space="preserve">Available at: </w:t>
      </w:r>
      <w:hyperlink r:id="rId11" w:history="1">
        <w:r w:rsidR="00B43F36" w:rsidRPr="00201F19">
          <w:rPr>
            <w:rStyle w:val="Hyperlink"/>
            <w:color w:val="000000" w:themeColor="text1"/>
            <w:u w:val="none"/>
          </w:rPr>
          <w:t>www.unaids.org</w:t>
        </w:r>
      </w:hyperlink>
      <w:r w:rsidR="00B43F36" w:rsidRPr="00201F19">
        <w:rPr>
          <w:color w:val="000000" w:themeColor="text1"/>
        </w:rPr>
        <w:t xml:space="preserve"> (accessed July 29, 2019). </w:t>
      </w:r>
    </w:p>
    <w:p w14:paraId="0D030B24" w14:textId="6FFBD7CE" w:rsidR="00AA3677" w:rsidRPr="009A0223" w:rsidRDefault="00AA3677" w:rsidP="00AA3677">
      <w:pPr>
        <w:pStyle w:val="ListParagraph"/>
        <w:numPr>
          <w:ilvl w:val="0"/>
          <w:numId w:val="2"/>
        </w:numPr>
        <w:outlineLvl w:val="0"/>
      </w:pPr>
      <w:r>
        <w:t xml:space="preserve">World Bank. Population, total. Available from: </w:t>
      </w:r>
      <w:r w:rsidRPr="009A0223">
        <w:rPr>
          <w:rFonts w:cs="Times New Roman"/>
        </w:rPr>
        <w:t xml:space="preserve">https://data.worldbank.org/indicator/SP.POP.TOTL. </w:t>
      </w:r>
      <w:r w:rsidR="00311AF0">
        <w:rPr>
          <w:rFonts w:cs="Times New Roman"/>
        </w:rPr>
        <w:t>(accessed July 29, 2019)</w:t>
      </w:r>
      <w:r w:rsidRPr="009A0223">
        <w:rPr>
          <w:rFonts w:cs="Times New Roman"/>
        </w:rPr>
        <w:t>.</w:t>
      </w:r>
    </w:p>
    <w:p w14:paraId="48CF1083" w14:textId="5274C79A" w:rsidR="00AA3677" w:rsidRPr="009A0223" w:rsidRDefault="00AA3677" w:rsidP="00AA3677">
      <w:pPr>
        <w:pStyle w:val="ListParagraph"/>
        <w:numPr>
          <w:ilvl w:val="0"/>
          <w:numId w:val="2"/>
        </w:numPr>
        <w:outlineLvl w:val="0"/>
      </w:pPr>
      <w:r w:rsidRPr="009D0B92">
        <w:rPr>
          <w:rFonts w:cs="Times New Roman"/>
        </w:rPr>
        <w:t>LMFIT: Non-Linear Least-Square Minimization and Curve-Fitting for Python</w:t>
      </w:r>
      <w:r w:rsidR="00311AF0">
        <w:rPr>
          <w:rFonts w:cs="Times New Roman"/>
        </w:rPr>
        <w:t xml:space="preserve">. Available at: </w:t>
      </w:r>
      <w:hyperlink r:id="rId12" w:history="1">
        <w:r w:rsidR="00311AF0" w:rsidRPr="00311AF0">
          <w:rPr>
            <w:rStyle w:val="Hyperlink"/>
            <w:rFonts w:cs="Times New Roman"/>
            <w:color w:val="000000" w:themeColor="text1"/>
            <w:u w:val="none"/>
          </w:rPr>
          <w:t>https://lmfit.github.io/lmfit-py/</w:t>
        </w:r>
      </w:hyperlink>
      <w:r w:rsidR="00311AF0" w:rsidRPr="00311AF0">
        <w:rPr>
          <w:rFonts w:cs="Times New Roman"/>
          <w:color w:val="000000" w:themeColor="text1"/>
        </w:rPr>
        <w:t xml:space="preserve"> (accessed </w:t>
      </w:r>
      <w:r w:rsidR="00311AF0">
        <w:rPr>
          <w:rFonts w:cs="Times New Roman"/>
        </w:rPr>
        <w:t>July 29, 2019).</w:t>
      </w:r>
    </w:p>
    <w:p w14:paraId="4AB9406A" w14:textId="2036791A" w:rsidR="00AA3677" w:rsidRPr="009A0223" w:rsidRDefault="00AA3677" w:rsidP="00AA3677">
      <w:pPr>
        <w:pStyle w:val="ListParagraph"/>
        <w:numPr>
          <w:ilvl w:val="0"/>
          <w:numId w:val="2"/>
        </w:numPr>
        <w:outlineLvl w:val="0"/>
      </w:pPr>
      <w:r>
        <w:t xml:space="preserve">Spiess A-N, Neumeyer N. An </w:t>
      </w:r>
      <w:r w:rsidRPr="009D0B92">
        <w:rPr>
          <w:rFonts w:cs="Times New Roman"/>
        </w:rPr>
        <w:t>evaluation of R2 as an inadequate measure for nonlinear models in pharmacological and biochemical research: a Monte Carlo approach</w:t>
      </w:r>
      <w:r>
        <w:rPr>
          <w:rFonts w:cs="Times New Roman"/>
        </w:rPr>
        <w:t>. BMC Pharmacology 2010; 10</w:t>
      </w:r>
      <w:r w:rsidR="00311AF0">
        <w:rPr>
          <w:rFonts w:cs="Times New Roman"/>
        </w:rPr>
        <w:t>:</w:t>
      </w:r>
      <w:r>
        <w:rPr>
          <w:rFonts w:cs="Times New Roman"/>
        </w:rPr>
        <w:t>6.</w:t>
      </w:r>
    </w:p>
    <w:p w14:paraId="3FE8FFA5" w14:textId="77777777" w:rsidR="00AA3677" w:rsidRPr="009A0223" w:rsidRDefault="00AA3677" w:rsidP="00AA3677">
      <w:pPr>
        <w:pStyle w:val="ListParagraph"/>
        <w:numPr>
          <w:ilvl w:val="0"/>
          <w:numId w:val="2"/>
        </w:numPr>
        <w:outlineLvl w:val="0"/>
      </w:pPr>
      <w:r>
        <w:t>World Bank. World Development Indicators. Prevalence of HIV, total (% of population ages 15-49). Available from:</w:t>
      </w:r>
      <w:r>
        <w:rPr>
          <w:rFonts w:cs="Times New Roman"/>
        </w:rPr>
        <w:t xml:space="preserve"> </w:t>
      </w:r>
      <w:r w:rsidRPr="009D0B92">
        <w:rPr>
          <w:rFonts w:cs="Times New Roman"/>
        </w:rPr>
        <w:t>http://databank.worldbank.org/data/reports.aspx?source=2&amp;series=SH.DYN.AIDS.ZS&amp;country=. [Accessed: 12-May-2017]</w:t>
      </w:r>
      <w:r>
        <w:rPr>
          <w:rFonts w:cs="Times New Roman"/>
        </w:rPr>
        <w:t>.</w:t>
      </w:r>
    </w:p>
    <w:p w14:paraId="68A42E50" w14:textId="77777777" w:rsidR="00AA3677" w:rsidRDefault="00AA3677" w:rsidP="00AA3677">
      <w:pPr>
        <w:pStyle w:val="ListParagraph"/>
        <w:numPr>
          <w:ilvl w:val="0"/>
          <w:numId w:val="2"/>
        </w:numPr>
        <w:outlineLvl w:val="0"/>
      </w:pPr>
      <w:r>
        <w:t>Kass RE, Raftery AE. Bayes factors. Journal of the American Statistical Association 1995; 90(430):773-795.</w:t>
      </w:r>
    </w:p>
    <w:p w14:paraId="7D9196F0" w14:textId="2F6F1B58" w:rsidR="00AA3677" w:rsidRPr="008F3287" w:rsidRDefault="00AA3677" w:rsidP="00AA3677">
      <w:pPr>
        <w:pStyle w:val="ListParagraph"/>
        <w:numPr>
          <w:ilvl w:val="0"/>
          <w:numId w:val="2"/>
        </w:numPr>
        <w:outlineLvl w:val="0"/>
      </w:pPr>
      <w:r w:rsidRPr="008F3287">
        <w:t xml:space="preserve">Farahani M, </w:t>
      </w:r>
      <w:r w:rsidR="008F3287" w:rsidRPr="008F3287">
        <w:t xml:space="preserve">Vable A, Lebelonyane R, </w:t>
      </w:r>
      <w:r w:rsidRPr="008F3287">
        <w:t xml:space="preserve">et al. Outcomes of the </w:t>
      </w:r>
      <w:r w:rsidRPr="008F3287">
        <w:rPr>
          <w:rFonts w:cs="Times New Roman"/>
        </w:rPr>
        <w:t>Botswana national HIV/AIDS treatment programme from 2002 to 2010: a longitudinal analysis. Lancet Global Health 2014; 2(1):e44-e50.</w:t>
      </w:r>
    </w:p>
    <w:p w14:paraId="55587A42" w14:textId="2DA01693" w:rsidR="00AA3677" w:rsidRPr="008F3287" w:rsidRDefault="00AA3677" w:rsidP="00AA3677">
      <w:pPr>
        <w:pStyle w:val="ListParagraph"/>
        <w:numPr>
          <w:ilvl w:val="0"/>
          <w:numId w:val="2"/>
        </w:numPr>
        <w:outlineLvl w:val="0"/>
      </w:pPr>
      <w:r w:rsidRPr="008F3287">
        <w:t xml:space="preserve">Gaolathe T, </w:t>
      </w:r>
      <w:r w:rsidR="008F3287" w:rsidRPr="008F3287">
        <w:t>Wirth KE, Pretorius Holme M, et al</w:t>
      </w:r>
      <w:r w:rsidRPr="008F3287">
        <w:t xml:space="preserve">. </w:t>
      </w:r>
      <w:r w:rsidRPr="008F3287">
        <w:rPr>
          <w:rFonts w:cs="Times New Roman"/>
        </w:rPr>
        <w:t>Botswana’s progress toward achieving the 2020 UNAIDS 90-90-90 antiretroviral therapy and virological suppression goals: a population-based survey. Lancet HIV 2016; 3(5):e221-e230.</w:t>
      </w:r>
    </w:p>
    <w:p w14:paraId="3E572698" w14:textId="77777777" w:rsidR="00AA3677" w:rsidRPr="00A71F3F" w:rsidRDefault="00AA3677" w:rsidP="00AA3677">
      <w:pPr>
        <w:pStyle w:val="ListParagraph"/>
        <w:numPr>
          <w:ilvl w:val="0"/>
          <w:numId w:val="2"/>
        </w:numPr>
        <w:outlineLvl w:val="0"/>
      </w:pPr>
      <w:r>
        <w:t>Binagwaho A, et al.</w:t>
      </w:r>
      <w:r w:rsidRPr="00A71F3F">
        <w:rPr>
          <w:rFonts w:cs="Times New Roman"/>
        </w:rPr>
        <w:t xml:space="preserve"> </w:t>
      </w:r>
      <w:r w:rsidRPr="009D0B92">
        <w:rPr>
          <w:rFonts w:cs="Times New Roman"/>
        </w:rPr>
        <w:t>Rwanda 20 years on: investing in life</w:t>
      </w:r>
      <w:r>
        <w:rPr>
          <w:rFonts w:cs="Times New Roman"/>
        </w:rPr>
        <w:t>. Lancet 2014; 384(9940):371-375.</w:t>
      </w:r>
    </w:p>
    <w:p w14:paraId="30706F49" w14:textId="77777777" w:rsidR="00AA3677" w:rsidRPr="00A71F3F" w:rsidRDefault="00AA3677" w:rsidP="00AA3677">
      <w:pPr>
        <w:pStyle w:val="ListParagraph"/>
        <w:numPr>
          <w:ilvl w:val="0"/>
          <w:numId w:val="2"/>
        </w:numPr>
        <w:outlineLvl w:val="0"/>
      </w:pPr>
      <w:r>
        <w:t xml:space="preserve">Chigwedere P, Seage GR, Gruskin S, Lee T-H, Essex M. </w:t>
      </w:r>
      <w:r w:rsidRPr="009D0B92">
        <w:rPr>
          <w:rFonts w:cs="Times New Roman"/>
        </w:rPr>
        <w:t xml:space="preserve">Estimating the </w:t>
      </w:r>
      <w:r>
        <w:rPr>
          <w:rFonts w:cs="Times New Roman"/>
        </w:rPr>
        <w:t>l</w:t>
      </w:r>
      <w:r w:rsidRPr="009D0B92">
        <w:rPr>
          <w:rFonts w:cs="Times New Roman"/>
        </w:rPr>
        <w:t xml:space="preserve">ost </w:t>
      </w:r>
      <w:r>
        <w:rPr>
          <w:rFonts w:cs="Times New Roman"/>
        </w:rPr>
        <w:t>b</w:t>
      </w:r>
      <w:r w:rsidRPr="009D0B92">
        <w:rPr>
          <w:rFonts w:cs="Times New Roman"/>
        </w:rPr>
        <w:t xml:space="preserve">enefits of </w:t>
      </w:r>
      <w:r>
        <w:rPr>
          <w:rFonts w:cs="Times New Roman"/>
        </w:rPr>
        <w:t>a</w:t>
      </w:r>
      <w:r w:rsidRPr="009D0B92">
        <w:rPr>
          <w:rFonts w:cs="Times New Roman"/>
        </w:rPr>
        <w:t xml:space="preserve">ntiretroviral </w:t>
      </w:r>
      <w:r>
        <w:rPr>
          <w:rFonts w:cs="Times New Roman"/>
        </w:rPr>
        <w:t>d</w:t>
      </w:r>
      <w:r w:rsidRPr="009D0B92">
        <w:rPr>
          <w:rFonts w:cs="Times New Roman"/>
        </w:rPr>
        <w:t xml:space="preserve">rug </w:t>
      </w:r>
      <w:r>
        <w:rPr>
          <w:rFonts w:cs="Times New Roman"/>
        </w:rPr>
        <w:t>u</w:t>
      </w:r>
      <w:r w:rsidRPr="009D0B92">
        <w:rPr>
          <w:rFonts w:cs="Times New Roman"/>
        </w:rPr>
        <w:t>se in South Africa</w:t>
      </w:r>
      <w:r>
        <w:rPr>
          <w:rFonts w:cs="Times New Roman"/>
        </w:rPr>
        <w:t>. JAIDS 2008; 49(4):410-415.</w:t>
      </w:r>
    </w:p>
    <w:p w14:paraId="646A03BB" w14:textId="77777777" w:rsidR="00AA3677" w:rsidRPr="00A71F3F" w:rsidRDefault="00AA3677" w:rsidP="00AA3677">
      <w:pPr>
        <w:pStyle w:val="ListParagraph"/>
        <w:numPr>
          <w:ilvl w:val="0"/>
          <w:numId w:val="2"/>
        </w:numPr>
        <w:outlineLvl w:val="0"/>
      </w:pPr>
      <w:r>
        <w:t xml:space="preserve">Johnson LF. </w:t>
      </w:r>
      <w:r w:rsidRPr="009D0B92">
        <w:rPr>
          <w:rFonts w:cs="Times New Roman"/>
        </w:rPr>
        <w:t xml:space="preserve">Access to antiretroviral treatment in South Africa, 2004 </w:t>
      </w:r>
      <w:r>
        <w:rPr>
          <w:rFonts w:cs="Times New Roman"/>
        </w:rPr>
        <w:t>–</w:t>
      </w:r>
      <w:r w:rsidRPr="009D0B92">
        <w:rPr>
          <w:rFonts w:cs="Times New Roman"/>
        </w:rPr>
        <w:t xml:space="preserve"> 2011</w:t>
      </w:r>
      <w:r>
        <w:rPr>
          <w:rFonts w:cs="Times New Roman"/>
        </w:rPr>
        <w:t>. South African Journal of HIV Medicine 2012; 13(1):22-27.</w:t>
      </w:r>
    </w:p>
    <w:p w14:paraId="521E1053" w14:textId="77777777" w:rsidR="00AA3677" w:rsidRPr="00A71F3F" w:rsidRDefault="00AA3677" w:rsidP="00AA3677">
      <w:pPr>
        <w:pStyle w:val="ListParagraph"/>
        <w:numPr>
          <w:ilvl w:val="0"/>
          <w:numId w:val="2"/>
        </w:numPr>
        <w:outlineLvl w:val="0"/>
      </w:pPr>
      <w:r>
        <w:t>South Africa l</w:t>
      </w:r>
      <w:r w:rsidRPr="00A71F3F">
        <w:rPr>
          <w:rFonts w:cs="Times New Roman"/>
        </w:rPr>
        <w:t>aunches new plan to advance progress towards ending AIDS. Available from:</w:t>
      </w:r>
      <w:r>
        <w:rPr>
          <w:rFonts w:cs="Times New Roman"/>
        </w:rPr>
        <w:t xml:space="preserve"> </w:t>
      </w:r>
      <w:r w:rsidRPr="00A71F3F">
        <w:rPr>
          <w:rFonts w:cs="Times New Roman"/>
        </w:rPr>
        <w:t>http://www.unaids.org/en/resources/presscentre/featurestories/2017/april/20170403_south-africa-NSP. [Accessed: 22-Oct-2017].</w:t>
      </w:r>
    </w:p>
    <w:p w14:paraId="3730515B" w14:textId="4F90F212" w:rsidR="00563222" w:rsidRDefault="00563222" w:rsidP="00AA3677">
      <w:pPr>
        <w:spacing w:line="480" w:lineRule="auto"/>
        <w:outlineLvl w:val="0"/>
      </w:pPr>
    </w:p>
    <w:p w14:paraId="06A374F5" w14:textId="47CA9B5E" w:rsidR="005B2959" w:rsidRDefault="005B2959" w:rsidP="00AA3677">
      <w:pPr>
        <w:spacing w:line="480" w:lineRule="auto"/>
        <w:outlineLvl w:val="0"/>
      </w:pPr>
    </w:p>
    <w:p w14:paraId="42B7401D" w14:textId="0B235FA5" w:rsidR="005B2959" w:rsidRDefault="005B2959" w:rsidP="00AA3677">
      <w:pPr>
        <w:spacing w:line="480" w:lineRule="auto"/>
        <w:outlineLvl w:val="0"/>
      </w:pPr>
    </w:p>
    <w:p w14:paraId="6718FEE0" w14:textId="44F6D195" w:rsidR="005B2959" w:rsidRDefault="005B2959" w:rsidP="00AA3677">
      <w:pPr>
        <w:spacing w:line="480" w:lineRule="auto"/>
        <w:outlineLvl w:val="0"/>
      </w:pPr>
    </w:p>
    <w:p w14:paraId="4BD324C8" w14:textId="7E36FCD2" w:rsidR="005B2959" w:rsidRDefault="005B2959" w:rsidP="00AA3677">
      <w:pPr>
        <w:spacing w:line="480" w:lineRule="auto"/>
        <w:outlineLvl w:val="0"/>
      </w:pPr>
    </w:p>
    <w:p w14:paraId="1E8E0146" w14:textId="48D38D02" w:rsidR="005B2959" w:rsidRDefault="005B2959" w:rsidP="00AA3677">
      <w:pPr>
        <w:spacing w:line="480" w:lineRule="auto"/>
        <w:outlineLvl w:val="0"/>
      </w:pPr>
    </w:p>
    <w:p w14:paraId="76D55081" w14:textId="707E4957" w:rsidR="005B2959" w:rsidRDefault="005B2959" w:rsidP="00AA3677">
      <w:pPr>
        <w:spacing w:line="480" w:lineRule="auto"/>
        <w:outlineLvl w:val="0"/>
      </w:pPr>
    </w:p>
    <w:p w14:paraId="37D07EC6" w14:textId="549C489F" w:rsidR="005B2959" w:rsidRDefault="005B2959" w:rsidP="00AA3677">
      <w:pPr>
        <w:spacing w:line="480" w:lineRule="auto"/>
        <w:outlineLvl w:val="0"/>
      </w:pPr>
    </w:p>
    <w:p w14:paraId="4C4826C6" w14:textId="557FF31C" w:rsidR="005B2959" w:rsidRPr="00360E93" w:rsidRDefault="005B2959" w:rsidP="005B2959">
      <w:pPr>
        <w:tabs>
          <w:tab w:val="left" w:pos="936"/>
        </w:tabs>
        <w:rPr>
          <w:rFonts w:cs="Times New Roman"/>
          <w:szCs w:val="24"/>
        </w:rPr>
      </w:pPr>
      <w:r>
        <w:rPr>
          <w:rFonts w:cs="Times New Roman"/>
          <w:b/>
          <w:szCs w:val="24"/>
        </w:rPr>
        <w:lastRenderedPageBreak/>
        <w:t>Table 1.</w:t>
      </w:r>
      <w:r>
        <w:rPr>
          <w:rFonts w:cs="Times New Roman"/>
          <w:szCs w:val="24"/>
        </w:rPr>
        <w:t xml:space="preserve"> Mathematical formulations for the Gompertz and logistic </w:t>
      </w:r>
      <w:r w:rsidR="001A3DC7">
        <w:rPr>
          <w:rFonts w:cs="Times New Roman"/>
          <w:szCs w:val="24"/>
        </w:rPr>
        <w:t xml:space="preserve">growth </w:t>
      </w:r>
      <w:r>
        <w:rPr>
          <w:rFonts w:cs="Times New Roman"/>
          <w:szCs w:val="24"/>
        </w:rPr>
        <w:t>models.</w:t>
      </w:r>
    </w:p>
    <w:tbl>
      <w:tblPr>
        <w:tblStyle w:val="TableGrid"/>
        <w:tblW w:w="10705" w:type="dxa"/>
        <w:tblLook w:val="04A0" w:firstRow="1" w:lastRow="0" w:firstColumn="1" w:lastColumn="0" w:noHBand="0" w:noVBand="1"/>
      </w:tblPr>
      <w:tblGrid>
        <w:gridCol w:w="1263"/>
        <w:gridCol w:w="2062"/>
        <w:gridCol w:w="3240"/>
        <w:gridCol w:w="4140"/>
      </w:tblGrid>
      <w:tr w:rsidR="005B2959" w:rsidRPr="00540F54" w14:paraId="55BE6B6F" w14:textId="77777777" w:rsidTr="005B2959">
        <w:trPr>
          <w:trHeight w:val="431"/>
        </w:trPr>
        <w:tc>
          <w:tcPr>
            <w:tcW w:w="1263" w:type="dxa"/>
            <w:tcBorders>
              <w:bottom w:val="single" w:sz="4" w:space="0" w:color="auto"/>
            </w:tcBorders>
            <w:vAlign w:val="center"/>
          </w:tcPr>
          <w:p w14:paraId="070454F9" w14:textId="77777777" w:rsidR="005B2959" w:rsidRPr="00540F54" w:rsidRDefault="005B2959" w:rsidP="00CE4B72">
            <w:pPr>
              <w:jc w:val="center"/>
              <w:rPr>
                <w:b/>
              </w:rPr>
            </w:pPr>
            <w:r w:rsidRPr="00540F54">
              <w:rPr>
                <w:b/>
              </w:rPr>
              <w:t>Model</w:t>
            </w:r>
            <w:r>
              <w:rPr>
                <w:b/>
              </w:rPr>
              <w:t xml:space="preserve"> </w:t>
            </w:r>
          </w:p>
        </w:tc>
        <w:tc>
          <w:tcPr>
            <w:tcW w:w="2062" w:type="dxa"/>
            <w:tcBorders>
              <w:bottom w:val="single" w:sz="4" w:space="0" w:color="auto"/>
            </w:tcBorders>
            <w:vAlign w:val="center"/>
          </w:tcPr>
          <w:p w14:paraId="4C3C7C2B" w14:textId="77777777" w:rsidR="005B2959" w:rsidRPr="00540F54" w:rsidRDefault="005B2959" w:rsidP="00CE4B72">
            <w:pPr>
              <w:jc w:val="center"/>
              <w:rPr>
                <w:b/>
              </w:rPr>
            </w:pPr>
            <w:r>
              <w:rPr>
                <w:b/>
              </w:rPr>
              <w:t>D</w:t>
            </w:r>
            <w:r w:rsidRPr="00540F54">
              <w:rPr>
                <w:b/>
              </w:rPr>
              <w:t xml:space="preserve">ifferential </w:t>
            </w:r>
            <w:r>
              <w:rPr>
                <w:b/>
              </w:rPr>
              <w:t>e</w:t>
            </w:r>
            <w:r w:rsidRPr="00540F54">
              <w:rPr>
                <w:b/>
              </w:rPr>
              <w:t>quation</w:t>
            </w:r>
          </w:p>
        </w:tc>
        <w:tc>
          <w:tcPr>
            <w:tcW w:w="3240" w:type="dxa"/>
            <w:tcBorders>
              <w:bottom w:val="single" w:sz="4" w:space="0" w:color="auto"/>
            </w:tcBorders>
            <w:vAlign w:val="center"/>
          </w:tcPr>
          <w:p w14:paraId="477461CD" w14:textId="77777777" w:rsidR="005B2959" w:rsidRPr="00540F54" w:rsidRDefault="005B2959" w:rsidP="00CE4B72">
            <w:pPr>
              <w:jc w:val="center"/>
              <w:rPr>
                <w:b/>
              </w:rPr>
            </w:pPr>
            <w:r>
              <w:rPr>
                <w:b/>
              </w:rPr>
              <w:t>Original s</w:t>
            </w:r>
            <w:r w:rsidRPr="00540F54">
              <w:rPr>
                <w:b/>
              </w:rPr>
              <w:t>olution</w:t>
            </w:r>
          </w:p>
        </w:tc>
        <w:tc>
          <w:tcPr>
            <w:tcW w:w="4140" w:type="dxa"/>
            <w:tcBorders>
              <w:bottom w:val="single" w:sz="4" w:space="0" w:color="auto"/>
            </w:tcBorders>
            <w:vAlign w:val="center"/>
          </w:tcPr>
          <w:p w14:paraId="56D8C9B1" w14:textId="77777777" w:rsidR="005B2959" w:rsidRPr="00540F54" w:rsidRDefault="005B2959" w:rsidP="00CE4B72">
            <w:pPr>
              <w:jc w:val="center"/>
              <w:rPr>
                <w:b/>
              </w:rPr>
            </w:pPr>
            <w:r w:rsidRPr="00540F54">
              <w:rPr>
                <w:b/>
              </w:rPr>
              <w:t xml:space="preserve">Modified </w:t>
            </w:r>
            <w:r>
              <w:rPr>
                <w:b/>
              </w:rPr>
              <w:t>s</w:t>
            </w:r>
            <w:r w:rsidRPr="00540F54">
              <w:rPr>
                <w:b/>
              </w:rPr>
              <w:t>olution</w:t>
            </w:r>
          </w:p>
        </w:tc>
      </w:tr>
      <w:tr w:rsidR="005B2959" w14:paraId="1AEF12A5" w14:textId="77777777" w:rsidTr="005B2959">
        <w:trPr>
          <w:trHeight w:val="1061"/>
        </w:trPr>
        <w:tc>
          <w:tcPr>
            <w:tcW w:w="1263" w:type="dxa"/>
            <w:tcBorders>
              <w:top w:val="single" w:sz="4" w:space="0" w:color="auto"/>
              <w:bottom w:val="nil"/>
            </w:tcBorders>
            <w:vAlign w:val="center"/>
          </w:tcPr>
          <w:p w14:paraId="052C5CE4" w14:textId="77777777" w:rsidR="005B2959" w:rsidRDefault="005B2959" w:rsidP="00CE4B72">
            <w:r>
              <w:t>Gompertz</w:t>
            </w:r>
          </w:p>
        </w:tc>
        <w:tc>
          <w:tcPr>
            <w:tcW w:w="2062" w:type="dxa"/>
            <w:tcBorders>
              <w:top w:val="single" w:sz="4" w:space="0" w:color="auto"/>
              <w:bottom w:val="nil"/>
            </w:tcBorders>
            <w:vAlign w:val="center"/>
          </w:tcPr>
          <w:p w14:paraId="11F448F5" w14:textId="77777777" w:rsidR="005B2959" w:rsidRDefault="00516F95" w:rsidP="00CE4B72">
            <w:pPr>
              <w:jc w:val="center"/>
            </w:pPr>
            <m:oMathPara>
              <m:oMath>
                <m:f>
                  <m:fPr>
                    <m:ctrlPr>
                      <w:rPr>
                        <w:rFonts w:ascii="Cambria Math" w:hAnsi="Cambria Math"/>
                      </w:rPr>
                    </m:ctrlPr>
                  </m:fPr>
                  <m:num>
                    <m:r>
                      <w:rPr>
                        <w:rFonts w:ascii="Cambria Math" w:hAnsi="Cambria Math"/>
                      </w:rPr>
                      <m:t>dy</m:t>
                    </m:r>
                  </m:num>
                  <m:den>
                    <m:r>
                      <w:rPr>
                        <w:rFonts w:ascii="Cambria Math" w:hAnsi="Cambria Math"/>
                      </w:rPr>
                      <m:t>dt</m:t>
                    </m:r>
                  </m:den>
                </m:f>
                <m:r>
                  <w:rPr>
                    <w:rFonts w:ascii="Cambria Math" w:hAnsi="Cambria Math"/>
                  </w:rPr>
                  <m:t>=-cy</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a</m:t>
                    </m:r>
                  </m:den>
                </m:f>
                <m:r>
                  <w:rPr>
                    <w:rFonts w:ascii="Cambria Math" w:hAnsi="Cambria Math"/>
                  </w:rPr>
                  <m:t>)</m:t>
                </m:r>
              </m:oMath>
            </m:oMathPara>
          </w:p>
        </w:tc>
        <w:tc>
          <w:tcPr>
            <w:tcW w:w="3240" w:type="dxa"/>
            <w:tcBorders>
              <w:top w:val="single" w:sz="4" w:space="0" w:color="auto"/>
              <w:bottom w:val="nil"/>
            </w:tcBorders>
            <w:vAlign w:val="center"/>
          </w:tcPr>
          <w:p w14:paraId="639FA655" w14:textId="77777777" w:rsidR="005B2959" w:rsidRPr="007C490E" w:rsidRDefault="005B2959" w:rsidP="00CE4B72">
            <w:pPr>
              <w:jc w:val="cente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b-ct</m:t>
                                </m:r>
                              </m:e>
                            </m:d>
                          </m:e>
                        </m:func>
                      </m:e>
                    </m:d>
                  </m:e>
                </m:func>
              </m:oMath>
            </m:oMathPara>
          </w:p>
          <w:p w14:paraId="7EBD0815" w14:textId="77777777" w:rsidR="005B2959" w:rsidRPr="007C490E" w:rsidRDefault="005B2959" w:rsidP="00CE4B72">
            <w:pPr>
              <w:jc w:val="center"/>
              <w:rPr>
                <w:rFonts w:eastAsiaTheme="minorEastAsia"/>
              </w:rPr>
            </w:pPr>
          </w:p>
          <w:p w14:paraId="34EBFB7A" w14:textId="77777777" w:rsidR="005B2959" w:rsidRPr="007C490E" w:rsidRDefault="005B2959" w:rsidP="00CE4B72">
            <w:pPr>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4140" w:type="dxa"/>
            <w:tcBorders>
              <w:top w:val="single" w:sz="4" w:space="0" w:color="auto"/>
              <w:bottom w:val="nil"/>
            </w:tcBorders>
            <w:vAlign w:val="center"/>
          </w:tcPr>
          <w:p w14:paraId="5C1B35E2" w14:textId="77777777" w:rsidR="005B2959" w:rsidRDefault="005B2959" w:rsidP="00CE4B72">
            <w:pPr>
              <w:jc w:val="center"/>
            </w:pPr>
            <m:oMathPara>
              <m:oMath>
                <m:r>
                  <w:rPr>
                    <w:rFonts w:ascii="Cambria Math" w:hAnsi="Cambria Math"/>
                  </w:rPr>
                  <m:t>y=A⋅</m:t>
                </m:r>
                <m:r>
                  <m:rPr>
                    <m:sty m:val="p"/>
                  </m:rPr>
                  <w:rPr>
                    <w:rFonts w:ascii="Cambria Math" w:hAnsi="Cambria Math"/>
                  </w:rPr>
                  <m:t>exp</m:t>
                </m:r>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Cambria Math" w:hAnsi="Cambria Math"/>
                      </w:rPr>
                      <m:t>exp</m:t>
                    </m:r>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μ⋅e</m:t>
                            </m:r>
                          </m:num>
                          <m:den>
                            <m:r>
                              <w:rPr>
                                <w:rFonts w:ascii="Cambria Math" w:hAnsi="Cambria Math"/>
                              </w:rPr>
                              <m:t>A</m:t>
                            </m:r>
                          </m:den>
                        </m:f>
                        <m:r>
                          <w:rPr>
                            <w:rFonts w:ascii="Cambria Math" w:hAnsi="Cambria Math"/>
                          </w:rPr>
                          <m:t>(λ-t)+1</m:t>
                        </m:r>
                      </m:e>
                    </m:d>
                  </m:e>
                </m:d>
              </m:oMath>
            </m:oMathPara>
          </w:p>
        </w:tc>
      </w:tr>
      <w:tr w:rsidR="005B2959" w14:paraId="4E6A7C95" w14:textId="77777777" w:rsidTr="005B2959">
        <w:trPr>
          <w:trHeight w:val="1314"/>
        </w:trPr>
        <w:tc>
          <w:tcPr>
            <w:tcW w:w="1263" w:type="dxa"/>
            <w:tcBorders>
              <w:top w:val="nil"/>
              <w:bottom w:val="single" w:sz="4" w:space="0" w:color="auto"/>
            </w:tcBorders>
            <w:vAlign w:val="center"/>
          </w:tcPr>
          <w:p w14:paraId="60AAFADD" w14:textId="77777777" w:rsidR="005B2959" w:rsidRDefault="005B2959" w:rsidP="00CE4B72">
            <w:r>
              <w:t>Logistic</w:t>
            </w:r>
          </w:p>
        </w:tc>
        <w:tc>
          <w:tcPr>
            <w:tcW w:w="2062" w:type="dxa"/>
            <w:tcBorders>
              <w:top w:val="nil"/>
              <w:bottom w:val="single" w:sz="4" w:space="0" w:color="auto"/>
            </w:tcBorders>
            <w:vAlign w:val="center"/>
          </w:tcPr>
          <w:p w14:paraId="1A66CF99" w14:textId="77777777" w:rsidR="005B2959" w:rsidRDefault="00516F95" w:rsidP="00CE4B72">
            <w:pPr>
              <w:jc w:val="center"/>
            </w:pPr>
            <m:oMathPara>
              <m:oMath>
                <m:f>
                  <m:fPr>
                    <m:ctrlPr>
                      <w:rPr>
                        <w:rFonts w:ascii="Cambria Math" w:hAnsi="Cambria Math"/>
                      </w:rPr>
                    </m:ctrlPr>
                  </m:fPr>
                  <m:num>
                    <m:r>
                      <w:rPr>
                        <w:rFonts w:ascii="Cambria Math" w:hAnsi="Cambria Math"/>
                      </w:rPr>
                      <m:t>dy</m:t>
                    </m:r>
                  </m:num>
                  <m:den>
                    <m:r>
                      <w:rPr>
                        <w:rFonts w:ascii="Cambria Math" w:hAnsi="Cambria Math"/>
                      </w:rPr>
                      <m:t>dt</m:t>
                    </m:r>
                  </m:den>
                </m:f>
                <m:r>
                  <w:rPr>
                    <w:rFonts w:ascii="Cambria Math" w:hAnsi="Cambria Math"/>
                  </w:rPr>
                  <m:t>=cy(1-</m:t>
                </m:r>
                <m:f>
                  <m:fPr>
                    <m:ctrlPr>
                      <w:rPr>
                        <w:rFonts w:ascii="Cambria Math" w:hAnsi="Cambria Math"/>
                      </w:rPr>
                    </m:ctrlPr>
                  </m:fPr>
                  <m:num>
                    <m:r>
                      <w:rPr>
                        <w:rFonts w:ascii="Cambria Math" w:hAnsi="Cambria Math"/>
                      </w:rPr>
                      <m:t>y</m:t>
                    </m:r>
                  </m:num>
                  <m:den>
                    <m:r>
                      <w:rPr>
                        <w:rFonts w:ascii="Cambria Math" w:hAnsi="Cambria Math"/>
                      </w:rPr>
                      <m:t>a</m:t>
                    </m:r>
                  </m:den>
                </m:f>
                <m:r>
                  <w:rPr>
                    <w:rFonts w:ascii="Cambria Math" w:hAnsi="Cambria Math"/>
                  </w:rPr>
                  <m:t>)</m:t>
                </m:r>
              </m:oMath>
            </m:oMathPara>
          </w:p>
        </w:tc>
        <w:tc>
          <w:tcPr>
            <w:tcW w:w="3240" w:type="dxa"/>
            <w:tcBorders>
              <w:top w:val="nil"/>
              <w:bottom w:val="single" w:sz="4" w:space="0" w:color="auto"/>
            </w:tcBorders>
            <w:vAlign w:val="center"/>
          </w:tcPr>
          <w:p w14:paraId="7536D5DA" w14:textId="77777777" w:rsidR="005B2959" w:rsidRPr="007C490E" w:rsidRDefault="005B2959" w:rsidP="00CE4B72">
            <w:pPr>
              <w:jc w:val="center"/>
              <w:rPr>
                <w:rFonts w:eastAsiaTheme="minorEastAsia"/>
              </w:rPr>
            </w:pPr>
            <m:oMathPara>
              <m:oMath>
                <m:r>
                  <w:rPr>
                    <w:rFonts w:ascii="Cambria Math" w:hAnsi="Cambria Math"/>
                  </w:rPr>
                  <m:t>y(t)=</m:t>
                </m:r>
                <m:f>
                  <m:fPr>
                    <m:ctrlPr>
                      <w:rPr>
                        <w:rFonts w:ascii="Cambria Math" w:hAnsi="Cambria Math"/>
                      </w:rPr>
                    </m:ctrlPr>
                  </m:fPr>
                  <m:num>
                    <m:r>
                      <w:rPr>
                        <w:rFonts w:ascii="Cambria Math" w:hAnsi="Cambria Math"/>
                      </w:rPr>
                      <m:t>a</m:t>
                    </m:r>
                  </m:num>
                  <m:den>
                    <m:r>
                      <w:rPr>
                        <w:rFonts w:ascii="Cambria Math" w:hAnsi="Cambria Math"/>
                      </w:rPr>
                      <m:t>1+</m:t>
                    </m:r>
                    <m:r>
                      <m:rPr>
                        <m:sty m:val="p"/>
                      </m:rPr>
                      <w:rPr>
                        <w:rFonts w:ascii="Cambria Math" w:hAnsi="Cambria Math"/>
                      </w:rPr>
                      <m:t>exp</m:t>
                    </m:r>
                    <m:r>
                      <w:rPr>
                        <w:rFonts w:ascii="Cambria Math" w:hAnsi="Cambria Math"/>
                      </w:rPr>
                      <m:t>⁡(b-ct)</m:t>
                    </m:r>
                  </m:den>
                </m:f>
              </m:oMath>
            </m:oMathPara>
          </w:p>
          <w:p w14:paraId="53B71204" w14:textId="77777777" w:rsidR="005B2959" w:rsidRPr="007C490E" w:rsidRDefault="005B2959" w:rsidP="00CE4B72">
            <w:pPr>
              <w:jc w:val="center"/>
              <w:rPr>
                <w:rFonts w:eastAsiaTheme="minorEastAsia"/>
              </w:rPr>
            </w:pPr>
          </w:p>
          <w:p w14:paraId="313B0D2E" w14:textId="77777777" w:rsidR="005B2959" w:rsidRDefault="005B2959" w:rsidP="00CE4B72">
            <w:pPr>
              <w:jc w:val="cente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4140" w:type="dxa"/>
            <w:tcBorders>
              <w:top w:val="nil"/>
              <w:bottom w:val="single" w:sz="4" w:space="0" w:color="auto"/>
            </w:tcBorders>
            <w:vAlign w:val="center"/>
          </w:tcPr>
          <w:p w14:paraId="41755C80" w14:textId="77777777" w:rsidR="005B2959" w:rsidRDefault="005B2959" w:rsidP="00CE4B72">
            <w:pPr>
              <w:jc w:val="center"/>
            </w:pPr>
            <m:oMathPara>
              <m:oMath>
                <m:r>
                  <w:rPr>
                    <w:rFonts w:ascii="Cambria Math" w:hAnsi="Cambria Math"/>
                  </w:rPr>
                  <m:t>y=</m:t>
                </m:r>
                <m:f>
                  <m:fPr>
                    <m:ctrlPr>
                      <w:rPr>
                        <w:rFonts w:ascii="Cambria Math" w:hAnsi="Cambria Math"/>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4μ</m:t>
                                </m:r>
                              </m:num>
                              <m:den>
                                <m:r>
                                  <w:rPr>
                                    <w:rFonts w:ascii="Cambria Math" w:hAnsi="Cambria Math"/>
                                  </w:rPr>
                                  <m:t>A</m:t>
                                </m:r>
                              </m:den>
                            </m:f>
                            <m:r>
                              <w:rPr>
                                <w:rFonts w:ascii="Cambria Math" w:hAnsi="Cambria Math"/>
                              </w:rPr>
                              <m:t>(λ-t)+2</m:t>
                            </m:r>
                          </m:e>
                        </m:d>
                      </m:e>
                    </m:d>
                  </m:den>
                </m:f>
              </m:oMath>
            </m:oMathPara>
          </w:p>
        </w:tc>
      </w:tr>
    </w:tbl>
    <w:p w14:paraId="663A310D" w14:textId="631919A8" w:rsidR="005B2959" w:rsidRPr="009A7B0A" w:rsidRDefault="005B2959" w:rsidP="001A3DC7">
      <w:pPr>
        <w:ind w:right="-1350"/>
        <w:rPr>
          <w:rFonts w:cs="Times New Roman"/>
          <w:i/>
          <w:sz w:val="22"/>
          <w:szCs w:val="24"/>
        </w:rPr>
      </w:pPr>
      <w:r w:rsidRPr="009A7B0A">
        <w:rPr>
          <w:rFonts w:cs="Times New Roman"/>
          <w:i/>
          <w:sz w:val="22"/>
          <w:szCs w:val="24"/>
        </w:rPr>
        <w:t>The modified solutions are</w:t>
      </w:r>
      <w:r>
        <w:rPr>
          <w:rFonts w:cs="Times New Roman"/>
          <w:i/>
          <w:sz w:val="22"/>
          <w:szCs w:val="24"/>
        </w:rPr>
        <w:t xml:space="preserve"> adapted</w:t>
      </w:r>
      <w:r w:rsidRPr="009A7B0A">
        <w:rPr>
          <w:rFonts w:cs="Times New Roman"/>
          <w:i/>
          <w:sz w:val="22"/>
          <w:szCs w:val="24"/>
        </w:rPr>
        <w:t xml:space="preserve"> from Zwietering </w:t>
      </w:r>
      <w:r w:rsidR="001A3DC7">
        <w:rPr>
          <w:rFonts w:cs="Times New Roman"/>
          <w:i/>
          <w:sz w:val="22"/>
          <w:szCs w:val="24"/>
        </w:rPr>
        <w:t>and colleagues</w:t>
      </w:r>
      <w:r>
        <w:rPr>
          <w:rFonts w:cs="Times New Roman"/>
          <w:i/>
          <w:sz w:val="22"/>
          <w:szCs w:val="24"/>
        </w:rPr>
        <w:t xml:space="preserve"> [1</w:t>
      </w:r>
      <w:r w:rsidR="001A3DC7">
        <w:rPr>
          <w:rFonts w:cs="Times New Roman"/>
          <w:i/>
          <w:sz w:val="22"/>
          <w:szCs w:val="24"/>
        </w:rPr>
        <w:t>6</w:t>
      </w:r>
      <w:r>
        <w:rPr>
          <w:rFonts w:cs="Times New Roman"/>
          <w:i/>
          <w:sz w:val="22"/>
          <w:szCs w:val="24"/>
        </w:rPr>
        <w:t>].</w:t>
      </w:r>
      <w:r w:rsidRPr="009A7B0A">
        <w:rPr>
          <w:rFonts w:cs="Times New Roman"/>
          <w:i/>
          <w:sz w:val="22"/>
          <w:szCs w:val="24"/>
        </w:rPr>
        <w:t xml:space="preserve"> They are equivalent to the canonical solutions provided, but rewritten so as to be interpretable in </w:t>
      </w:r>
      <w:r>
        <w:rPr>
          <w:rFonts w:cs="Times New Roman"/>
          <w:i/>
          <w:sz w:val="22"/>
          <w:szCs w:val="24"/>
        </w:rPr>
        <w:t>a global health context. ART coverage (in percentage points) is represented by y. The dependent variables represent the lag</w:t>
      </w:r>
      <w:r w:rsidR="001A3DC7">
        <w:rPr>
          <w:rFonts w:cs="Times New Roman"/>
          <w:i/>
          <w:sz w:val="22"/>
          <w:szCs w:val="24"/>
        </w:rPr>
        <w:t xml:space="preserve"> or delay</w:t>
      </w:r>
      <w:r>
        <w:rPr>
          <w:rFonts w:cs="Times New Roman"/>
          <w:i/>
          <w:sz w:val="22"/>
          <w:szCs w:val="24"/>
        </w:rPr>
        <w:t xml:space="preserve"> time (λ, in years since 2000), the maximum scale-up rate</w:t>
      </w:r>
      <w:r w:rsidR="001A3DC7">
        <w:rPr>
          <w:rFonts w:cs="Times New Roman"/>
          <w:i/>
          <w:sz w:val="22"/>
          <w:szCs w:val="24"/>
        </w:rPr>
        <w:t xml:space="preserve"> of ART coverage</w:t>
      </w:r>
      <w:r>
        <w:rPr>
          <w:rFonts w:cs="Times New Roman"/>
          <w:i/>
          <w:sz w:val="22"/>
          <w:szCs w:val="24"/>
        </w:rPr>
        <w:t xml:space="preserve"> (μ, in percentage points per year), and the carrying capacity of ART coverage (A, in percentage points).</w:t>
      </w:r>
    </w:p>
    <w:p w14:paraId="15B4986C" w14:textId="6A8ABD94" w:rsidR="005B2959" w:rsidRDefault="005B2959" w:rsidP="005B2959">
      <w:pPr>
        <w:spacing w:line="480" w:lineRule="auto"/>
        <w:ind w:right="-450"/>
        <w:outlineLvl w:val="0"/>
      </w:pPr>
    </w:p>
    <w:p w14:paraId="6797D338" w14:textId="468F003B" w:rsidR="005B2959" w:rsidRDefault="005B2959" w:rsidP="005B2959">
      <w:pPr>
        <w:spacing w:line="480" w:lineRule="auto"/>
        <w:ind w:right="-450"/>
        <w:outlineLvl w:val="0"/>
      </w:pPr>
    </w:p>
    <w:p w14:paraId="7708BF0E" w14:textId="2596844F" w:rsidR="005B2959" w:rsidRDefault="005B2959" w:rsidP="005B2959">
      <w:pPr>
        <w:spacing w:line="480" w:lineRule="auto"/>
        <w:ind w:right="-450"/>
        <w:outlineLvl w:val="0"/>
      </w:pPr>
    </w:p>
    <w:p w14:paraId="1A5E86DF" w14:textId="3768C705" w:rsidR="005B2959" w:rsidRDefault="005B2959" w:rsidP="005B2959">
      <w:pPr>
        <w:spacing w:line="480" w:lineRule="auto"/>
        <w:ind w:right="-450"/>
        <w:outlineLvl w:val="0"/>
      </w:pPr>
    </w:p>
    <w:p w14:paraId="49A7D286" w14:textId="46443200" w:rsidR="005B2959" w:rsidRDefault="005B2959" w:rsidP="005B2959">
      <w:pPr>
        <w:spacing w:line="480" w:lineRule="auto"/>
        <w:ind w:right="-450"/>
        <w:outlineLvl w:val="0"/>
      </w:pPr>
    </w:p>
    <w:p w14:paraId="413F033D" w14:textId="296C21D0" w:rsidR="005B2959" w:rsidRDefault="005B2959" w:rsidP="005B2959">
      <w:pPr>
        <w:spacing w:line="480" w:lineRule="auto"/>
        <w:ind w:right="-450"/>
        <w:outlineLvl w:val="0"/>
      </w:pPr>
    </w:p>
    <w:p w14:paraId="3459FC8F" w14:textId="7B3AC52D" w:rsidR="005B2959" w:rsidRDefault="005B2959" w:rsidP="005B2959">
      <w:pPr>
        <w:spacing w:line="480" w:lineRule="auto"/>
        <w:ind w:right="-450"/>
        <w:outlineLvl w:val="0"/>
      </w:pPr>
    </w:p>
    <w:p w14:paraId="18AB3747" w14:textId="7B744FDE" w:rsidR="005B2959" w:rsidRDefault="005B2959" w:rsidP="005B2959">
      <w:pPr>
        <w:spacing w:line="480" w:lineRule="auto"/>
        <w:ind w:right="-450"/>
        <w:outlineLvl w:val="0"/>
      </w:pPr>
    </w:p>
    <w:p w14:paraId="3828F6E1" w14:textId="1693D9B3" w:rsidR="005B2959" w:rsidRDefault="005B2959" w:rsidP="005B2959">
      <w:pPr>
        <w:spacing w:line="480" w:lineRule="auto"/>
        <w:ind w:right="-450"/>
        <w:outlineLvl w:val="0"/>
      </w:pPr>
    </w:p>
    <w:p w14:paraId="41137833" w14:textId="22F72401" w:rsidR="005B2959" w:rsidRDefault="005B2959" w:rsidP="005B2959">
      <w:pPr>
        <w:spacing w:line="480" w:lineRule="auto"/>
        <w:ind w:right="-450"/>
        <w:outlineLvl w:val="0"/>
      </w:pPr>
    </w:p>
    <w:p w14:paraId="7E2D0E48" w14:textId="2189CAC8" w:rsidR="005B2959" w:rsidRDefault="005B2959" w:rsidP="005B2959">
      <w:pPr>
        <w:spacing w:line="480" w:lineRule="auto"/>
        <w:ind w:right="-450"/>
        <w:outlineLvl w:val="0"/>
      </w:pPr>
    </w:p>
    <w:p w14:paraId="3E35206A" w14:textId="17296079" w:rsidR="005B2959" w:rsidRDefault="005B2959" w:rsidP="005B2959">
      <w:pPr>
        <w:spacing w:line="480" w:lineRule="auto"/>
        <w:ind w:right="-450"/>
        <w:outlineLvl w:val="0"/>
      </w:pPr>
    </w:p>
    <w:p w14:paraId="2966ACE5" w14:textId="630383BD" w:rsidR="005B2959" w:rsidRDefault="005B2959" w:rsidP="005B2959">
      <w:pPr>
        <w:spacing w:line="480" w:lineRule="auto"/>
        <w:ind w:right="-450"/>
        <w:outlineLvl w:val="0"/>
      </w:pPr>
    </w:p>
    <w:p w14:paraId="18E1CC7E" w14:textId="296EC7A8" w:rsidR="005B2959" w:rsidRDefault="005B2959" w:rsidP="005B2959">
      <w:pPr>
        <w:spacing w:line="480" w:lineRule="auto"/>
        <w:ind w:right="-450"/>
        <w:outlineLvl w:val="0"/>
      </w:pPr>
    </w:p>
    <w:p w14:paraId="19EE2F42" w14:textId="6197A56E" w:rsidR="005B2959" w:rsidRDefault="005B2959" w:rsidP="005B2959">
      <w:pPr>
        <w:spacing w:line="480" w:lineRule="auto"/>
        <w:ind w:right="-450"/>
        <w:outlineLvl w:val="0"/>
      </w:pPr>
    </w:p>
    <w:p w14:paraId="02DF4F48" w14:textId="37FEAFFC" w:rsidR="005B2959" w:rsidRPr="007411DA" w:rsidRDefault="005B2959" w:rsidP="005B2959">
      <w:r>
        <w:rPr>
          <w:b/>
        </w:rPr>
        <w:lastRenderedPageBreak/>
        <w:t xml:space="preserve">Table 2. </w:t>
      </w:r>
      <w:r>
        <w:t>Observed average rate</w:t>
      </w:r>
      <w:r w:rsidR="00CC23E9">
        <w:t xml:space="preserve"> of change (crude computation of difference in coverage over time divided by time period)</w:t>
      </w:r>
      <w:r>
        <w:t xml:space="preserve"> and estimated maximum rate of change (</w:t>
      </w:r>
      <w:r w:rsidRPr="000013C5">
        <w:rPr>
          <w:rFonts w:cs="Times New Roman"/>
          <w:bCs/>
          <w:i/>
          <w:color w:val="000000"/>
          <w:szCs w:val="24"/>
        </w:rPr>
        <w:t>μ</w:t>
      </w:r>
      <w:r>
        <w:t>) in ART scale-up (in percentage points per year) for 39 sub-Saharan African countries, with rankings.</w:t>
      </w:r>
    </w:p>
    <w:p w14:paraId="4BF13248" w14:textId="77777777" w:rsidR="005B2959" w:rsidRDefault="005B2959" w:rsidP="005B2959">
      <w:pPr>
        <w:rPr>
          <w:b/>
        </w:rPr>
      </w:pPr>
    </w:p>
    <w:tbl>
      <w:tblPr>
        <w:tblStyle w:val="TableGrid"/>
        <w:tblW w:w="9360" w:type="dxa"/>
        <w:tblLayout w:type="fixed"/>
        <w:tblLook w:val="04A0" w:firstRow="1" w:lastRow="0" w:firstColumn="1" w:lastColumn="0" w:noHBand="0" w:noVBand="1"/>
      </w:tblPr>
      <w:tblGrid>
        <w:gridCol w:w="2250"/>
        <w:gridCol w:w="1800"/>
        <w:gridCol w:w="810"/>
        <w:gridCol w:w="1080"/>
        <w:gridCol w:w="1170"/>
        <w:gridCol w:w="1170"/>
        <w:gridCol w:w="1080"/>
      </w:tblGrid>
      <w:tr w:rsidR="005B2959" w:rsidRPr="00FD38B5" w14:paraId="055694D4" w14:textId="77777777" w:rsidTr="00CC23E9">
        <w:trPr>
          <w:trHeight w:val="377"/>
        </w:trPr>
        <w:tc>
          <w:tcPr>
            <w:tcW w:w="2250" w:type="dxa"/>
            <w:tcBorders>
              <w:top w:val="nil"/>
              <w:left w:val="nil"/>
              <w:right w:val="nil"/>
            </w:tcBorders>
            <w:noWrap/>
            <w:vAlign w:val="center"/>
          </w:tcPr>
          <w:p w14:paraId="7F22C5AD" w14:textId="77777777" w:rsidR="005B2959" w:rsidRPr="00FD38B5" w:rsidRDefault="005B2959" w:rsidP="00CE4B72">
            <w:pPr>
              <w:rPr>
                <w:b/>
                <w:bCs/>
              </w:rPr>
            </w:pPr>
          </w:p>
        </w:tc>
        <w:tc>
          <w:tcPr>
            <w:tcW w:w="2610" w:type="dxa"/>
            <w:gridSpan w:val="2"/>
            <w:tcBorders>
              <w:top w:val="nil"/>
              <w:left w:val="nil"/>
              <w:bottom w:val="single" w:sz="4" w:space="0" w:color="auto"/>
            </w:tcBorders>
            <w:vAlign w:val="center"/>
          </w:tcPr>
          <w:p w14:paraId="740686AA" w14:textId="77777777" w:rsidR="005B2959" w:rsidRPr="00FD38B5" w:rsidRDefault="005B2959" w:rsidP="00CE4B72">
            <w:pPr>
              <w:jc w:val="center"/>
              <w:rPr>
                <w:b/>
                <w:bCs/>
              </w:rPr>
            </w:pPr>
          </w:p>
        </w:tc>
        <w:tc>
          <w:tcPr>
            <w:tcW w:w="2250" w:type="dxa"/>
            <w:gridSpan w:val="2"/>
            <w:tcBorders>
              <w:bottom w:val="single" w:sz="4" w:space="0" w:color="auto"/>
            </w:tcBorders>
            <w:noWrap/>
            <w:vAlign w:val="center"/>
          </w:tcPr>
          <w:p w14:paraId="39691BAC" w14:textId="77777777" w:rsidR="005B2959" w:rsidRPr="00FD38B5" w:rsidRDefault="005B2959" w:rsidP="00CE4B72">
            <w:pPr>
              <w:jc w:val="center"/>
              <w:rPr>
                <w:b/>
                <w:bCs/>
              </w:rPr>
            </w:pPr>
            <w:r>
              <w:rPr>
                <w:b/>
                <w:bCs/>
              </w:rPr>
              <w:t>Gompertz</w:t>
            </w:r>
          </w:p>
        </w:tc>
        <w:tc>
          <w:tcPr>
            <w:tcW w:w="2250" w:type="dxa"/>
            <w:gridSpan w:val="2"/>
            <w:tcBorders>
              <w:bottom w:val="single" w:sz="4" w:space="0" w:color="auto"/>
            </w:tcBorders>
            <w:noWrap/>
            <w:vAlign w:val="center"/>
          </w:tcPr>
          <w:p w14:paraId="10576F54" w14:textId="77777777" w:rsidR="005B2959" w:rsidRPr="00FD38B5" w:rsidRDefault="005B2959" w:rsidP="00CE4B72">
            <w:pPr>
              <w:jc w:val="center"/>
              <w:rPr>
                <w:b/>
                <w:bCs/>
              </w:rPr>
            </w:pPr>
            <w:r>
              <w:rPr>
                <w:b/>
                <w:bCs/>
              </w:rPr>
              <w:t>Logistic</w:t>
            </w:r>
          </w:p>
        </w:tc>
      </w:tr>
      <w:tr w:rsidR="005B2959" w:rsidRPr="00FD38B5" w14:paraId="195C1542" w14:textId="77777777" w:rsidTr="00CC23E9">
        <w:trPr>
          <w:trHeight w:val="288"/>
        </w:trPr>
        <w:tc>
          <w:tcPr>
            <w:tcW w:w="2250" w:type="dxa"/>
            <w:noWrap/>
            <w:vAlign w:val="center"/>
            <w:hideMark/>
          </w:tcPr>
          <w:p w14:paraId="65983C0A" w14:textId="77777777" w:rsidR="005B2959" w:rsidRPr="00FD38B5" w:rsidRDefault="005B2959" w:rsidP="00CE4B72">
            <w:pPr>
              <w:rPr>
                <w:b/>
                <w:bCs/>
              </w:rPr>
            </w:pPr>
            <w:r w:rsidRPr="00FD38B5">
              <w:rPr>
                <w:b/>
                <w:bCs/>
              </w:rPr>
              <w:t xml:space="preserve">Country </w:t>
            </w:r>
          </w:p>
        </w:tc>
        <w:tc>
          <w:tcPr>
            <w:tcW w:w="1800" w:type="dxa"/>
            <w:tcBorders>
              <w:left w:val="single" w:sz="4" w:space="0" w:color="auto"/>
              <w:right w:val="nil"/>
            </w:tcBorders>
            <w:noWrap/>
            <w:vAlign w:val="center"/>
            <w:hideMark/>
          </w:tcPr>
          <w:p w14:paraId="1C444039" w14:textId="343617E3" w:rsidR="005B2959" w:rsidRPr="00FD38B5" w:rsidRDefault="005B2959" w:rsidP="00CE4B72">
            <w:pPr>
              <w:jc w:val="center"/>
              <w:rPr>
                <w:b/>
                <w:bCs/>
              </w:rPr>
            </w:pPr>
            <w:r>
              <w:rPr>
                <w:b/>
                <w:bCs/>
              </w:rPr>
              <w:t>Observed</w:t>
            </w:r>
            <w:r w:rsidR="00CC23E9">
              <w:rPr>
                <w:b/>
                <w:bCs/>
              </w:rPr>
              <w:t xml:space="preserve"> crude</w:t>
            </w:r>
            <w:r>
              <w:rPr>
                <w:b/>
                <w:bCs/>
              </w:rPr>
              <w:t xml:space="preserve"> average change</w:t>
            </w:r>
          </w:p>
        </w:tc>
        <w:tc>
          <w:tcPr>
            <w:tcW w:w="810" w:type="dxa"/>
            <w:tcBorders>
              <w:left w:val="nil"/>
            </w:tcBorders>
            <w:vAlign w:val="center"/>
          </w:tcPr>
          <w:p w14:paraId="01609677" w14:textId="77777777" w:rsidR="005B2959" w:rsidRPr="00FD38B5" w:rsidRDefault="005B2959" w:rsidP="00CE4B72">
            <w:pPr>
              <w:jc w:val="center"/>
              <w:rPr>
                <w:b/>
                <w:bCs/>
              </w:rPr>
            </w:pPr>
            <w:r w:rsidRPr="00FD38B5">
              <w:rPr>
                <w:b/>
                <w:bCs/>
              </w:rPr>
              <w:t>Rank</w:t>
            </w:r>
          </w:p>
        </w:tc>
        <w:tc>
          <w:tcPr>
            <w:tcW w:w="1080" w:type="dxa"/>
            <w:tcBorders>
              <w:right w:val="nil"/>
            </w:tcBorders>
            <w:noWrap/>
            <w:vAlign w:val="center"/>
            <w:hideMark/>
          </w:tcPr>
          <w:p w14:paraId="7178F8D7" w14:textId="77777777" w:rsidR="005B2959" w:rsidRPr="00FD38B5" w:rsidRDefault="005B2959" w:rsidP="00CE4B72">
            <w:pPr>
              <w:jc w:val="center"/>
              <w:rPr>
                <w:b/>
                <w:bCs/>
              </w:rPr>
            </w:pPr>
            <w:r w:rsidRPr="00757920">
              <w:rPr>
                <w:rFonts w:cs="Times New Roman"/>
                <w:b/>
                <w:bCs/>
                <w:i/>
                <w:color w:val="000000"/>
                <w:szCs w:val="24"/>
              </w:rPr>
              <w:t>μ</w:t>
            </w:r>
          </w:p>
        </w:tc>
        <w:tc>
          <w:tcPr>
            <w:tcW w:w="1170" w:type="dxa"/>
            <w:tcBorders>
              <w:left w:val="nil"/>
            </w:tcBorders>
            <w:vAlign w:val="center"/>
          </w:tcPr>
          <w:p w14:paraId="48EF575A" w14:textId="77777777" w:rsidR="005B2959" w:rsidRPr="00FD38B5" w:rsidRDefault="005B2959" w:rsidP="00CE4B72">
            <w:pPr>
              <w:jc w:val="center"/>
              <w:rPr>
                <w:b/>
                <w:bCs/>
              </w:rPr>
            </w:pPr>
            <w:r w:rsidRPr="00FD38B5">
              <w:rPr>
                <w:b/>
                <w:bCs/>
              </w:rPr>
              <w:t>Rank</w:t>
            </w:r>
          </w:p>
        </w:tc>
        <w:tc>
          <w:tcPr>
            <w:tcW w:w="1170" w:type="dxa"/>
            <w:tcBorders>
              <w:right w:val="nil"/>
            </w:tcBorders>
            <w:noWrap/>
            <w:vAlign w:val="center"/>
            <w:hideMark/>
          </w:tcPr>
          <w:p w14:paraId="20F6F7D5" w14:textId="77777777" w:rsidR="005B2959" w:rsidRPr="00FD38B5" w:rsidRDefault="005B2959" w:rsidP="00CE4B72">
            <w:pPr>
              <w:jc w:val="center"/>
              <w:rPr>
                <w:b/>
                <w:bCs/>
              </w:rPr>
            </w:pPr>
            <w:r w:rsidRPr="00757920">
              <w:rPr>
                <w:rFonts w:cs="Times New Roman"/>
                <w:b/>
                <w:bCs/>
                <w:i/>
                <w:color w:val="000000"/>
                <w:szCs w:val="24"/>
              </w:rPr>
              <w:t>μ</w:t>
            </w:r>
          </w:p>
        </w:tc>
        <w:tc>
          <w:tcPr>
            <w:tcW w:w="1080" w:type="dxa"/>
            <w:tcBorders>
              <w:left w:val="nil"/>
            </w:tcBorders>
            <w:noWrap/>
            <w:vAlign w:val="center"/>
            <w:hideMark/>
          </w:tcPr>
          <w:p w14:paraId="3D8E5B94" w14:textId="77777777" w:rsidR="005B2959" w:rsidRPr="00FD38B5" w:rsidRDefault="005B2959" w:rsidP="00CE4B72">
            <w:pPr>
              <w:jc w:val="center"/>
              <w:rPr>
                <w:b/>
                <w:bCs/>
              </w:rPr>
            </w:pPr>
            <w:r w:rsidRPr="00FD38B5">
              <w:rPr>
                <w:b/>
                <w:bCs/>
              </w:rPr>
              <w:t>Rank</w:t>
            </w:r>
          </w:p>
        </w:tc>
      </w:tr>
      <w:tr w:rsidR="005B2959" w:rsidRPr="00706615" w14:paraId="4D617EDB" w14:textId="77777777" w:rsidTr="00CC23E9">
        <w:trPr>
          <w:trHeight w:val="259"/>
        </w:trPr>
        <w:tc>
          <w:tcPr>
            <w:tcW w:w="2250" w:type="dxa"/>
            <w:noWrap/>
            <w:vAlign w:val="center"/>
            <w:hideMark/>
          </w:tcPr>
          <w:p w14:paraId="7CA84C4E" w14:textId="77777777" w:rsidR="005B2959" w:rsidRPr="000013C5" w:rsidRDefault="005B2959" w:rsidP="00CE4B72">
            <w:pPr>
              <w:rPr>
                <w:rFonts w:ascii="Times" w:hAnsi="Times"/>
                <w:sz w:val="20"/>
                <w:szCs w:val="20"/>
              </w:rPr>
            </w:pPr>
            <w:r w:rsidRPr="000013C5">
              <w:rPr>
                <w:rFonts w:ascii="Times" w:hAnsi="Times"/>
                <w:sz w:val="20"/>
                <w:szCs w:val="20"/>
              </w:rPr>
              <w:t>Benin</w:t>
            </w:r>
          </w:p>
        </w:tc>
        <w:tc>
          <w:tcPr>
            <w:tcW w:w="1800" w:type="dxa"/>
            <w:tcBorders>
              <w:left w:val="single" w:sz="4" w:space="0" w:color="auto"/>
              <w:right w:val="nil"/>
            </w:tcBorders>
            <w:noWrap/>
            <w:vAlign w:val="center"/>
            <w:hideMark/>
          </w:tcPr>
          <w:p w14:paraId="5F84498A" w14:textId="77777777" w:rsidR="005B2959" w:rsidRPr="000013C5" w:rsidRDefault="005B2959" w:rsidP="00CE4B72">
            <w:pPr>
              <w:jc w:val="center"/>
              <w:rPr>
                <w:rFonts w:ascii="Times" w:hAnsi="Times"/>
                <w:sz w:val="20"/>
                <w:szCs w:val="20"/>
              </w:rPr>
            </w:pPr>
            <w:r w:rsidRPr="000013C5">
              <w:rPr>
                <w:rFonts w:ascii="Times" w:hAnsi="Times"/>
                <w:sz w:val="20"/>
                <w:szCs w:val="20"/>
              </w:rPr>
              <w:t>6.1</w:t>
            </w:r>
          </w:p>
        </w:tc>
        <w:tc>
          <w:tcPr>
            <w:tcW w:w="810" w:type="dxa"/>
            <w:tcBorders>
              <w:left w:val="nil"/>
            </w:tcBorders>
            <w:vAlign w:val="center"/>
          </w:tcPr>
          <w:p w14:paraId="7106210D" w14:textId="77777777" w:rsidR="005B2959" w:rsidRPr="000013C5" w:rsidRDefault="005B2959" w:rsidP="00CE4B72">
            <w:pPr>
              <w:jc w:val="center"/>
              <w:rPr>
                <w:rFonts w:ascii="Times" w:hAnsi="Times"/>
                <w:sz w:val="20"/>
                <w:szCs w:val="20"/>
              </w:rPr>
            </w:pPr>
            <w:r w:rsidRPr="000013C5">
              <w:rPr>
                <w:rFonts w:ascii="Times" w:hAnsi="Times"/>
                <w:sz w:val="20"/>
                <w:szCs w:val="20"/>
              </w:rPr>
              <w:t>2</w:t>
            </w:r>
          </w:p>
        </w:tc>
        <w:tc>
          <w:tcPr>
            <w:tcW w:w="1080" w:type="dxa"/>
            <w:tcBorders>
              <w:right w:val="nil"/>
            </w:tcBorders>
            <w:noWrap/>
            <w:vAlign w:val="center"/>
            <w:hideMark/>
          </w:tcPr>
          <w:p w14:paraId="132EDB79" w14:textId="77777777" w:rsidR="005B2959" w:rsidRPr="000013C5" w:rsidRDefault="005B2959" w:rsidP="00CE4B72">
            <w:pPr>
              <w:jc w:val="center"/>
              <w:rPr>
                <w:rFonts w:ascii="Times" w:hAnsi="Times"/>
                <w:sz w:val="20"/>
                <w:szCs w:val="20"/>
              </w:rPr>
            </w:pPr>
            <w:r w:rsidRPr="000013C5">
              <w:rPr>
                <w:rFonts w:ascii="Times" w:hAnsi="Times"/>
                <w:sz w:val="20"/>
                <w:szCs w:val="20"/>
              </w:rPr>
              <w:t>11.5</w:t>
            </w:r>
          </w:p>
        </w:tc>
        <w:tc>
          <w:tcPr>
            <w:tcW w:w="1170" w:type="dxa"/>
            <w:tcBorders>
              <w:left w:val="nil"/>
            </w:tcBorders>
            <w:vAlign w:val="center"/>
          </w:tcPr>
          <w:p w14:paraId="07A66C3B" w14:textId="77777777" w:rsidR="005B2959" w:rsidRPr="000013C5" w:rsidRDefault="005B2959" w:rsidP="00CE4B72">
            <w:pPr>
              <w:jc w:val="center"/>
              <w:rPr>
                <w:rFonts w:ascii="Times" w:hAnsi="Times"/>
                <w:sz w:val="20"/>
                <w:szCs w:val="20"/>
              </w:rPr>
            </w:pPr>
            <w:r w:rsidRPr="000013C5">
              <w:rPr>
                <w:rFonts w:ascii="Times" w:hAnsi="Times"/>
                <w:sz w:val="20"/>
                <w:szCs w:val="20"/>
              </w:rPr>
              <w:t>1</w:t>
            </w:r>
          </w:p>
        </w:tc>
        <w:tc>
          <w:tcPr>
            <w:tcW w:w="1170" w:type="dxa"/>
            <w:tcBorders>
              <w:right w:val="nil"/>
            </w:tcBorders>
            <w:noWrap/>
            <w:vAlign w:val="center"/>
            <w:hideMark/>
          </w:tcPr>
          <w:p w14:paraId="1692BA8D" w14:textId="77777777" w:rsidR="005B2959" w:rsidRPr="000013C5" w:rsidRDefault="005B2959" w:rsidP="00CE4B72">
            <w:pPr>
              <w:jc w:val="center"/>
              <w:rPr>
                <w:rFonts w:ascii="Times" w:hAnsi="Times"/>
                <w:sz w:val="20"/>
                <w:szCs w:val="20"/>
              </w:rPr>
            </w:pPr>
            <w:r w:rsidRPr="000013C5">
              <w:rPr>
                <w:rFonts w:ascii="Times" w:hAnsi="Times"/>
                <w:sz w:val="20"/>
                <w:szCs w:val="20"/>
              </w:rPr>
              <w:t>11.4</w:t>
            </w:r>
          </w:p>
        </w:tc>
        <w:tc>
          <w:tcPr>
            <w:tcW w:w="1080" w:type="dxa"/>
            <w:tcBorders>
              <w:left w:val="nil"/>
            </w:tcBorders>
            <w:noWrap/>
            <w:vAlign w:val="center"/>
            <w:hideMark/>
          </w:tcPr>
          <w:p w14:paraId="160B5FA8" w14:textId="77777777" w:rsidR="005B2959" w:rsidRPr="000013C5" w:rsidRDefault="005B2959" w:rsidP="00CE4B72">
            <w:pPr>
              <w:jc w:val="center"/>
              <w:rPr>
                <w:rFonts w:ascii="Times" w:hAnsi="Times"/>
                <w:sz w:val="20"/>
                <w:szCs w:val="20"/>
              </w:rPr>
            </w:pPr>
            <w:r w:rsidRPr="000013C5">
              <w:rPr>
                <w:rFonts w:ascii="Times" w:hAnsi="Times"/>
                <w:sz w:val="20"/>
                <w:szCs w:val="20"/>
              </w:rPr>
              <w:t>2</w:t>
            </w:r>
          </w:p>
        </w:tc>
      </w:tr>
      <w:tr w:rsidR="005B2959" w:rsidRPr="00706615" w14:paraId="5021D452" w14:textId="77777777" w:rsidTr="00CC23E9">
        <w:trPr>
          <w:trHeight w:val="259"/>
        </w:trPr>
        <w:tc>
          <w:tcPr>
            <w:tcW w:w="2250" w:type="dxa"/>
            <w:noWrap/>
            <w:vAlign w:val="center"/>
            <w:hideMark/>
          </w:tcPr>
          <w:p w14:paraId="304C74B2" w14:textId="77777777" w:rsidR="005B2959" w:rsidRPr="000013C5" w:rsidRDefault="005B2959" w:rsidP="00CE4B72">
            <w:pPr>
              <w:rPr>
                <w:rFonts w:ascii="Times" w:hAnsi="Times"/>
                <w:sz w:val="20"/>
                <w:szCs w:val="20"/>
              </w:rPr>
            </w:pPr>
            <w:r w:rsidRPr="000013C5">
              <w:rPr>
                <w:rFonts w:ascii="Times" w:hAnsi="Times"/>
                <w:sz w:val="20"/>
                <w:szCs w:val="20"/>
              </w:rPr>
              <w:t>Senegal</w:t>
            </w:r>
          </w:p>
        </w:tc>
        <w:tc>
          <w:tcPr>
            <w:tcW w:w="1800" w:type="dxa"/>
            <w:tcBorders>
              <w:left w:val="single" w:sz="4" w:space="0" w:color="auto"/>
              <w:right w:val="nil"/>
            </w:tcBorders>
            <w:noWrap/>
            <w:vAlign w:val="center"/>
            <w:hideMark/>
          </w:tcPr>
          <w:p w14:paraId="0025A20A" w14:textId="77777777" w:rsidR="005B2959" w:rsidRPr="000013C5" w:rsidRDefault="005B2959" w:rsidP="00CE4B72">
            <w:pPr>
              <w:jc w:val="center"/>
              <w:rPr>
                <w:rFonts w:ascii="Times" w:hAnsi="Times"/>
                <w:sz w:val="20"/>
                <w:szCs w:val="20"/>
              </w:rPr>
            </w:pPr>
            <w:r w:rsidRPr="000013C5">
              <w:rPr>
                <w:rFonts w:ascii="Times" w:hAnsi="Times"/>
                <w:sz w:val="20"/>
                <w:szCs w:val="20"/>
              </w:rPr>
              <w:t>2.7</w:t>
            </w:r>
          </w:p>
        </w:tc>
        <w:tc>
          <w:tcPr>
            <w:tcW w:w="810" w:type="dxa"/>
            <w:tcBorders>
              <w:left w:val="nil"/>
            </w:tcBorders>
            <w:vAlign w:val="center"/>
          </w:tcPr>
          <w:p w14:paraId="3EC61726" w14:textId="77777777" w:rsidR="005B2959" w:rsidRPr="000013C5" w:rsidRDefault="005B2959" w:rsidP="00CE4B72">
            <w:pPr>
              <w:jc w:val="center"/>
              <w:rPr>
                <w:rFonts w:ascii="Times" w:hAnsi="Times"/>
                <w:sz w:val="20"/>
                <w:szCs w:val="20"/>
              </w:rPr>
            </w:pPr>
            <w:r w:rsidRPr="000013C5">
              <w:rPr>
                <w:rFonts w:ascii="Times" w:hAnsi="Times"/>
                <w:sz w:val="20"/>
                <w:szCs w:val="20"/>
              </w:rPr>
              <w:t>25</w:t>
            </w:r>
          </w:p>
        </w:tc>
        <w:tc>
          <w:tcPr>
            <w:tcW w:w="1080" w:type="dxa"/>
            <w:tcBorders>
              <w:right w:val="nil"/>
            </w:tcBorders>
            <w:noWrap/>
            <w:vAlign w:val="center"/>
            <w:hideMark/>
          </w:tcPr>
          <w:p w14:paraId="5072EB84" w14:textId="77777777" w:rsidR="005B2959" w:rsidRPr="000013C5" w:rsidRDefault="005B2959" w:rsidP="00CE4B72">
            <w:pPr>
              <w:jc w:val="center"/>
              <w:rPr>
                <w:rFonts w:ascii="Times" w:hAnsi="Times"/>
                <w:sz w:val="20"/>
                <w:szCs w:val="20"/>
              </w:rPr>
            </w:pPr>
            <w:r w:rsidRPr="000013C5">
              <w:rPr>
                <w:rFonts w:ascii="Times" w:hAnsi="Times"/>
                <w:sz w:val="20"/>
                <w:szCs w:val="20"/>
              </w:rPr>
              <w:t>5.1</w:t>
            </w:r>
          </w:p>
        </w:tc>
        <w:tc>
          <w:tcPr>
            <w:tcW w:w="1170" w:type="dxa"/>
            <w:tcBorders>
              <w:left w:val="nil"/>
            </w:tcBorders>
            <w:vAlign w:val="center"/>
          </w:tcPr>
          <w:p w14:paraId="63C1FF97" w14:textId="77777777" w:rsidR="005B2959" w:rsidRPr="000013C5" w:rsidRDefault="005B2959" w:rsidP="00CE4B72">
            <w:pPr>
              <w:jc w:val="center"/>
              <w:rPr>
                <w:rFonts w:ascii="Times" w:hAnsi="Times"/>
                <w:sz w:val="20"/>
                <w:szCs w:val="20"/>
              </w:rPr>
            </w:pPr>
            <w:r w:rsidRPr="000013C5">
              <w:rPr>
                <w:rFonts w:ascii="Times" w:hAnsi="Times"/>
                <w:sz w:val="20"/>
                <w:szCs w:val="20"/>
              </w:rPr>
              <w:t>21</w:t>
            </w:r>
          </w:p>
        </w:tc>
        <w:tc>
          <w:tcPr>
            <w:tcW w:w="1170" w:type="dxa"/>
            <w:tcBorders>
              <w:right w:val="nil"/>
            </w:tcBorders>
            <w:noWrap/>
            <w:vAlign w:val="center"/>
            <w:hideMark/>
          </w:tcPr>
          <w:p w14:paraId="24773F7D" w14:textId="77777777" w:rsidR="005B2959" w:rsidRPr="000013C5" w:rsidRDefault="005B2959" w:rsidP="00CE4B72">
            <w:pPr>
              <w:jc w:val="center"/>
              <w:rPr>
                <w:rFonts w:ascii="Times" w:hAnsi="Times"/>
                <w:sz w:val="20"/>
                <w:szCs w:val="20"/>
              </w:rPr>
            </w:pPr>
            <w:r w:rsidRPr="000013C5">
              <w:rPr>
                <w:rFonts w:ascii="Times" w:hAnsi="Times"/>
                <w:sz w:val="20"/>
                <w:szCs w:val="20"/>
              </w:rPr>
              <w:t>5.2</w:t>
            </w:r>
          </w:p>
        </w:tc>
        <w:tc>
          <w:tcPr>
            <w:tcW w:w="1080" w:type="dxa"/>
            <w:tcBorders>
              <w:left w:val="nil"/>
            </w:tcBorders>
            <w:noWrap/>
            <w:vAlign w:val="center"/>
            <w:hideMark/>
          </w:tcPr>
          <w:p w14:paraId="0DCB6D03" w14:textId="77777777" w:rsidR="005B2959" w:rsidRPr="000013C5" w:rsidRDefault="005B2959" w:rsidP="00CE4B72">
            <w:pPr>
              <w:jc w:val="center"/>
              <w:rPr>
                <w:rFonts w:ascii="Times" w:hAnsi="Times"/>
                <w:sz w:val="20"/>
                <w:szCs w:val="20"/>
              </w:rPr>
            </w:pPr>
            <w:r w:rsidRPr="000013C5">
              <w:rPr>
                <w:rFonts w:ascii="Times" w:hAnsi="Times"/>
                <w:sz w:val="20"/>
                <w:szCs w:val="20"/>
              </w:rPr>
              <w:t>23</w:t>
            </w:r>
          </w:p>
        </w:tc>
      </w:tr>
      <w:tr w:rsidR="005B2959" w:rsidRPr="00706615" w14:paraId="51D43C9D" w14:textId="77777777" w:rsidTr="00CC23E9">
        <w:trPr>
          <w:trHeight w:val="259"/>
        </w:trPr>
        <w:tc>
          <w:tcPr>
            <w:tcW w:w="2250" w:type="dxa"/>
            <w:noWrap/>
            <w:vAlign w:val="center"/>
            <w:hideMark/>
          </w:tcPr>
          <w:p w14:paraId="3CDB2B86" w14:textId="77777777" w:rsidR="005B2959" w:rsidRPr="000013C5" w:rsidRDefault="005B2959" w:rsidP="00CE4B72">
            <w:pPr>
              <w:rPr>
                <w:rFonts w:ascii="Times" w:hAnsi="Times"/>
                <w:sz w:val="20"/>
                <w:szCs w:val="20"/>
              </w:rPr>
            </w:pPr>
            <w:r w:rsidRPr="000013C5">
              <w:rPr>
                <w:rFonts w:ascii="Times" w:hAnsi="Times"/>
                <w:sz w:val="20"/>
                <w:szCs w:val="20"/>
              </w:rPr>
              <w:t>Zimbabwe</w:t>
            </w:r>
          </w:p>
        </w:tc>
        <w:tc>
          <w:tcPr>
            <w:tcW w:w="1800" w:type="dxa"/>
            <w:tcBorders>
              <w:left w:val="single" w:sz="4" w:space="0" w:color="auto"/>
              <w:right w:val="nil"/>
            </w:tcBorders>
            <w:noWrap/>
            <w:vAlign w:val="center"/>
            <w:hideMark/>
          </w:tcPr>
          <w:p w14:paraId="3F219670" w14:textId="77777777" w:rsidR="005B2959" w:rsidRPr="000013C5" w:rsidRDefault="005B2959" w:rsidP="00CE4B72">
            <w:pPr>
              <w:jc w:val="center"/>
              <w:rPr>
                <w:rFonts w:ascii="Times" w:hAnsi="Times"/>
                <w:sz w:val="20"/>
                <w:szCs w:val="20"/>
              </w:rPr>
            </w:pPr>
            <w:r w:rsidRPr="000013C5">
              <w:rPr>
                <w:rFonts w:ascii="Times" w:hAnsi="Times"/>
                <w:sz w:val="20"/>
                <w:szCs w:val="20"/>
              </w:rPr>
              <w:t>5.2</w:t>
            </w:r>
          </w:p>
        </w:tc>
        <w:tc>
          <w:tcPr>
            <w:tcW w:w="810" w:type="dxa"/>
            <w:tcBorders>
              <w:left w:val="nil"/>
            </w:tcBorders>
            <w:vAlign w:val="center"/>
          </w:tcPr>
          <w:p w14:paraId="0695099A" w14:textId="77777777" w:rsidR="005B2959" w:rsidRPr="000013C5" w:rsidRDefault="005B2959" w:rsidP="00CE4B72">
            <w:pPr>
              <w:jc w:val="center"/>
              <w:rPr>
                <w:rFonts w:ascii="Times" w:hAnsi="Times"/>
                <w:sz w:val="20"/>
                <w:szCs w:val="20"/>
              </w:rPr>
            </w:pPr>
            <w:r w:rsidRPr="000013C5">
              <w:rPr>
                <w:rFonts w:ascii="Times" w:hAnsi="Times"/>
                <w:sz w:val="20"/>
                <w:szCs w:val="20"/>
              </w:rPr>
              <w:t>6</w:t>
            </w:r>
          </w:p>
        </w:tc>
        <w:tc>
          <w:tcPr>
            <w:tcW w:w="1080" w:type="dxa"/>
            <w:tcBorders>
              <w:right w:val="nil"/>
            </w:tcBorders>
            <w:noWrap/>
            <w:vAlign w:val="center"/>
            <w:hideMark/>
          </w:tcPr>
          <w:p w14:paraId="1E9E144A" w14:textId="77777777" w:rsidR="005B2959" w:rsidRPr="000013C5" w:rsidRDefault="005B2959" w:rsidP="00CE4B72">
            <w:pPr>
              <w:jc w:val="center"/>
              <w:rPr>
                <w:rFonts w:ascii="Times" w:hAnsi="Times"/>
                <w:sz w:val="20"/>
                <w:szCs w:val="20"/>
              </w:rPr>
            </w:pPr>
            <w:r w:rsidRPr="000013C5">
              <w:rPr>
                <w:rFonts w:ascii="Times" w:hAnsi="Times"/>
                <w:sz w:val="20"/>
                <w:szCs w:val="20"/>
              </w:rPr>
              <w:t>8.2</w:t>
            </w:r>
          </w:p>
        </w:tc>
        <w:tc>
          <w:tcPr>
            <w:tcW w:w="1170" w:type="dxa"/>
            <w:tcBorders>
              <w:left w:val="nil"/>
            </w:tcBorders>
            <w:vAlign w:val="center"/>
          </w:tcPr>
          <w:p w14:paraId="317D2F54" w14:textId="77777777" w:rsidR="005B2959" w:rsidRPr="000013C5" w:rsidRDefault="005B2959" w:rsidP="00CE4B72">
            <w:pPr>
              <w:jc w:val="center"/>
              <w:rPr>
                <w:rFonts w:ascii="Times" w:hAnsi="Times"/>
                <w:sz w:val="20"/>
                <w:szCs w:val="20"/>
              </w:rPr>
            </w:pPr>
            <w:r w:rsidRPr="000013C5">
              <w:rPr>
                <w:rFonts w:ascii="Times" w:hAnsi="Times"/>
                <w:sz w:val="20"/>
                <w:szCs w:val="20"/>
              </w:rPr>
              <w:t>4</w:t>
            </w:r>
          </w:p>
        </w:tc>
        <w:tc>
          <w:tcPr>
            <w:tcW w:w="1170" w:type="dxa"/>
            <w:tcBorders>
              <w:right w:val="nil"/>
            </w:tcBorders>
            <w:noWrap/>
            <w:vAlign w:val="center"/>
            <w:hideMark/>
          </w:tcPr>
          <w:p w14:paraId="2A8D7831" w14:textId="77777777" w:rsidR="005B2959" w:rsidRPr="000013C5" w:rsidRDefault="005B2959" w:rsidP="00CE4B72">
            <w:pPr>
              <w:jc w:val="center"/>
              <w:rPr>
                <w:rFonts w:ascii="Times" w:hAnsi="Times"/>
                <w:sz w:val="20"/>
                <w:szCs w:val="20"/>
              </w:rPr>
            </w:pPr>
            <w:r w:rsidRPr="000013C5">
              <w:rPr>
                <w:rFonts w:ascii="Times" w:hAnsi="Times"/>
                <w:sz w:val="20"/>
                <w:szCs w:val="20"/>
              </w:rPr>
              <w:t>9.2</w:t>
            </w:r>
          </w:p>
        </w:tc>
        <w:tc>
          <w:tcPr>
            <w:tcW w:w="1080" w:type="dxa"/>
            <w:tcBorders>
              <w:left w:val="nil"/>
            </w:tcBorders>
            <w:noWrap/>
            <w:vAlign w:val="center"/>
            <w:hideMark/>
          </w:tcPr>
          <w:p w14:paraId="1048BF01" w14:textId="77777777" w:rsidR="005B2959" w:rsidRPr="000013C5" w:rsidRDefault="005B2959" w:rsidP="00CE4B72">
            <w:pPr>
              <w:jc w:val="center"/>
              <w:rPr>
                <w:rFonts w:ascii="Times" w:hAnsi="Times"/>
                <w:sz w:val="20"/>
                <w:szCs w:val="20"/>
              </w:rPr>
            </w:pPr>
            <w:r w:rsidRPr="000013C5">
              <w:rPr>
                <w:rFonts w:ascii="Times" w:hAnsi="Times"/>
                <w:sz w:val="20"/>
                <w:szCs w:val="20"/>
              </w:rPr>
              <w:t>3</w:t>
            </w:r>
          </w:p>
        </w:tc>
      </w:tr>
      <w:tr w:rsidR="005B2959" w:rsidRPr="00706615" w14:paraId="4CC92823" w14:textId="77777777" w:rsidTr="00CC23E9">
        <w:trPr>
          <w:trHeight w:val="259"/>
        </w:trPr>
        <w:tc>
          <w:tcPr>
            <w:tcW w:w="2250" w:type="dxa"/>
            <w:noWrap/>
            <w:vAlign w:val="center"/>
            <w:hideMark/>
          </w:tcPr>
          <w:p w14:paraId="5626362A" w14:textId="77777777" w:rsidR="005B2959" w:rsidRPr="004D52B7" w:rsidRDefault="005B2959" w:rsidP="00CE4B72">
            <w:pPr>
              <w:rPr>
                <w:rFonts w:ascii="Times" w:hAnsi="Times"/>
                <w:sz w:val="20"/>
                <w:szCs w:val="20"/>
              </w:rPr>
            </w:pPr>
            <w:r w:rsidRPr="004D52B7">
              <w:rPr>
                <w:rFonts w:ascii="Times" w:hAnsi="Times"/>
                <w:sz w:val="20"/>
                <w:szCs w:val="20"/>
              </w:rPr>
              <w:t>Mozambique</w:t>
            </w:r>
          </w:p>
        </w:tc>
        <w:tc>
          <w:tcPr>
            <w:tcW w:w="1800" w:type="dxa"/>
            <w:tcBorders>
              <w:left w:val="single" w:sz="4" w:space="0" w:color="auto"/>
              <w:right w:val="nil"/>
            </w:tcBorders>
            <w:noWrap/>
            <w:vAlign w:val="center"/>
            <w:hideMark/>
          </w:tcPr>
          <w:p w14:paraId="12F8CF03" w14:textId="77777777" w:rsidR="005B2959" w:rsidRPr="004D52B7" w:rsidRDefault="005B2959" w:rsidP="00CE4B72">
            <w:pPr>
              <w:jc w:val="center"/>
              <w:rPr>
                <w:rFonts w:ascii="Times" w:hAnsi="Times"/>
                <w:sz w:val="20"/>
                <w:szCs w:val="20"/>
              </w:rPr>
            </w:pPr>
            <w:r w:rsidRPr="004D52B7">
              <w:rPr>
                <w:rFonts w:ascii="Times" w:hAnsi="Times"/>
                <w:sz w:val="20"/>
                <w:szCs w:val="20"/>
              </w:rPr>
              <w:t>4.4</w:t>
            </w:r>
          </w:p>
        </w:tc>
        <w:tc>
          <w:tcPr>
            <w:tcW w:w="810" w:type="dxa"/>
            <w:tcBorders>
              <w:left w:val="nil"/>
            </w:tcBorders>
            <w:vAlign w:val="center"/>
          </w:tcPr>
          <w:p w14:paraId="6E2A7330" w14:textId="77777777" w:rsidR="005B2959" w:rsidRPr="004D52B7" w:rsidRDefault="005B2959" w:rsidP="00CE4B72">
            <w:pPr>
              <w:jc w:val="center"/>
              <w:rPr>
                <w:rFonts w:ascii="Times" w:hAnsi="Times"/>
                <w:sz w:val="20"/>
                <w:szCs w:val="20"/>
              </w:rPr>
            </w:pPr>
            <w:r w:rsidRPr="004D52B7">
              <w:rPr>
                <w:rFonts w:ascii="Times" w:hAnsi="Times"/>
                <w:sz w:val="20"/>
                <w:szCs w:val="20"/>
              </w:rPr>
              <w:t>11</w:t>
            </w:r>
          </w:p>
        </w:tc>
        <w:tc>
          <w:tcPr>
            <w:tcW w:w="1080" w:type="dxa"/>
            <w:tcBorders>
              <w:right w:val="nil"/>
            </w:tcBorders>
            <w:noWrap/>
            <w:vAlign w:val="center"/>
            <w:hideMark/>
          </w:tcPr>
          <w:p w14:paraId="6D91F51E" w14:textId="77777777" w:rsidR="005B2959" w:rsidRPr="004D52B7" w:rsidRDefault="005B2959" w:rsidP="00CE4B72">
            <w:pPr>
              <w:jc w:val="center"/>
              <w:rPr>
                <w:rFonts w:ascii="Times" w:hAnsi="Times"/>
                <w:sz w:val="20"/>
                <w:szCs w:val="20"/>
              </w:rPr>
            </w:pPr>
            <w:r w:rsidRPr="004D52B7">
              <w:rPr>
                <w:rFonts w:ascii="Times" w:hAnsi="Times"/>
                <w:sz w:val="20"/>
                <w:szCs w:val="20"/>
              </w:rPr>
              <w:t>6.6</w:t>
            </w:r>
          </w:p>
        </w:tc>
        <w:tc>
          <w:tcPr>
            <w:tcW w:w="1170" w:type="dxa"/>
            <w:tcBorders>
              <w:left w:val="nil"/>
            </w:tcBorders>
            <w:vAlign w:val="center"/>
          </w:tcPr>
          <w:p w14:paraId="13756355" w14:textId="77777777" w:rsidR="005B2959" w:rsidRPr="004D52B7" w:rsidRDefault="005B2959" w:rsidP="00CE4B72">
            <w:pPr>
              <w:jc w:val="center"/>
              <w:rPr>
                <w:rFonts w:ascii="Times" w:hAnsi="Times"/>
                <w:sz w:val="20"/>
                <w:szCs w:val="20"/>
              </w:rPr>
            </w:pPr>
            <w:r w:rsidRPr="004D52B7">
              <w:rPr>
                <w:rFonts w:ascii="Times" w:hAnsi="Times"/>
                <w:sz w:val="20"/>
                <w:szCs w:val="20"/>
              </w:rPr>
              <w:t>9</w:t>
            </w:r>
          </w:p>
        </w:tc>
        <w:tc>
          <w:tcPr>
            <w:tcW w:w="1170" w:type="dxa"/>
            <w:tcBorders>
              <w:right w:val="nil"/>
            </w:tcBorders>
            <w:noWrap/>
            <w:vAlign w:val="center"/>
            <w:hideMark/>
          </w:tcPr>
          <w:p w14:paraId="197068DB" w14:textId="77777777" w:rsidR="005B2959" w:rsidRPr="004D52B7" w:rsidRDefault="005B2959" w:rsidP="00CE4B72">
            <w:pPr>
              <w:jc w:val="center"/>
              <w:rPr>
                <w:rFonts w:ascii="Times" w:hAnsi="Times"/>
                <w:sz w:val="20"/>
                <w:szCs w:val="20"/>
              </w:rPr>
            </w:pPr>
            <w:r w:rsidRPr="004D52B7">
              <w:rPr>
                <w:rFonts w:ascii="Times" w:hAnsi="Times"/>
                <w:sz w:val="20"/>
                <w:szCs w:val="20"/>
              </w:rPr>
              <w:t>8.9</w:t>
            </w:r>
          </w:p>
        </w:tc>
        <w:tc>
          <w:tcPr>
            <w:tcW w:w="1080" w:type="dxa"/>
            <w:tcBorders>
              <w:left w:val="nil"/>
            </w:tcBorders>
            <w:noWrap/>
            <w:vAlign w:val="center"/>
            <w:hideMark/>
          </w:tcPr>
          <w:p w14:paraId="08735D26" w14:textId="77777777" w:rsidR="005B2959" w:rsidRPr="004D52B7" w:rsidRDefault="005B2959" w:rsidP="00CE4B72">
            <w:pPr>
              <w:jc w:val="center"/>
              <w:rPr>
                <w:rFonts w:ascii="Times" w:hAnsi="Times"/>
                <w:sz w:val="20"/>
                <w:szCs w:val="20"/>
              </w:rPr>
            </w:pPr>
            <w:r w:rsidRPr="004D52B7">
              <w:rPr>
                <w:rFonts w:ascii="Times" w:hAnsi="Times"/>
                <w:sz w:val="20"/>
                <w:szCs w:val="20"/>
              </w:rPr>
              <w:t>6</w:t>
            </w:r>
          </w:p>
        </w:tc>
      </w:tr>
      <w:tr w:rsidR="005B2959" w:rsidRPr="00706615" w14:paraId="7C30547C" w14:textId="77777777" w:rsidTr="00CC23E9">
        <w:trPr>
          <w:trHeight w:val="259"/>
        </w:trPr>
        <w:tc>
          <w:tcPr>
            <w:tcW w:w="2250" w:type="dxa"/>
            <w:noWrap/>
            <w:vAlign w:val="center"/>
            <w:hideMark/>
          </w:tcPr>
          <w:p w14:paraId="5C159C6E" w14:textId="77777777" w:rsidR="005B2959" w:rsidRPr="004D52B7" w:rsidRDefault="005B2959" w:rsidP="00CE4B72">
            <w:pPr>
              <w:rPr>
                <w:rFonts w:ascii="Times" w:hAnsi="Times"/>
                <w:sz w:val="20"/>
                <w:szCs w:val="20"/>
              </w:rPr>
            </w:pPr>
            <w:r w:rsidRPr="004D52B7">
              <w:rPr>
                <w:rFonts w:ascii="Times" w:hAnsi="Times"/>
                <w:sz w:val="20"/>
                <w:szCs w:val="20"/>
              </w:rPr>
              <w:t>Tanzania</w:t>
            </w:r>
          </w:p>
        </w:tc>
        <w:tc>
          <w:tcPr>
            <w:tcW w:w="1800" w:type="dxa"/>
            <w:tcBorders>
              <w:left w:val="single" w:sz="4" w:space="0" w:color="auto"/>
              <w:right w:val="nil"/>
            </w:tcBorders>
            <w:noWrap/>
            <w:vAlign w:val="center"/>
            <w:hideMark/>
          </w:tcPr>
          <w:p w14:paraId="441F205F" w14:textId="77777777" w:rsidR="005B2959" w:rsidRPr="004D52B7" w:rsidRDefault="005B2959" w:rsidP="00CE4B72">
            <w:pPr>
              <w:jc w:val="center"/>
              <w:rPr>
                <w:rFonts w:ascii="Times" w:hAnsi="Times"/>
                <w:sz w:val="20"/>
                <w:szCs w:val="20"/>
              </w:rPr>
            </w:pPr>
            <w:r w:rsidRPr="004D52B7">
              <w:rPr>
                <w:rFonts w:ascii="Times" w:hAnsi="Times"/>
                <w:sz w:val="20"/>
                <w:szCs w:val="20"/>
              </w:rPr>
              <w:t>4.4</w:t>
            </w:r>
          </w:p>
        </w:tc>
        <w:tc>
          <w:tcPr>
            <w:tcW w:w="810" w:type="dxa"/>
            <w:tcBorders>
              <w:left w:val="nil"/>
            </w:tcBorders>
            <w:vAlign w:val="center"/>
          </w:tcPr>
          <w:p w14:paraId="7929B260" w14:textId="77777777" w:rsidR="005B2959" w:rsidRPr="004D52B7" w:rsidRDefault="005B2959" w:rsidP="00CE4B72">
            <w:pPr>
              <w:jc w:val="center"/>
              <w:rPr>
                <w:rFonts w:ascii="Times" w:hAnsi="Times"/>
                <w:sz w:val="20"/>
                <w:szCs w:val="20"/>
              </w:rPr>
            </w:pPr>
            <w:r w:rsidRPr="004D52B7">
              <w:rPr>
                <w:rFonts w:ascii="Times" w:hAnsi="Times"/>
                <w:sz w:val="20"/>
                <w:szCs w:val="20"/>
              </w:rPr>
              <w:t>11</w:t>
            </w:r>
          </w:p>
        </w:tc>
        <w:tc>
          <w:tcPr>
            <w:tcW w:w="1080" w:type="dxa"/>
            <w:tcBorders>
              <w:right w:val="nil"/>
            </w:tcBorders>
            <w:noWrap/>
            <w:vAlign w:val="center"/>
            <w:hideMark/>
          </w:tcPr>
          <w:p w14:paraId="4FAD1339" w14:textId="77777777" w:rsidR="005B2959" w:rsidRPr="004D52B7" w:rsidRDefault="005B2959" w:rsidP="00CE4B72">
            <w:pPr>
              <w:jc w:val="center"/>
              <w:rPr>
                <w:rFonts w:ascii="Times" w:hAnsi="Times"/>
                <w:sz w:val="20"/>
                <w:szCs w:val="20"/>
              </w:rPr>
            </w:pPr>
            <w:r w:rsidRPr="004D52B7">
              <w:rPr>
                <w:rFonts w:ascii="Times" w:hAnsi="Times"/>
                <w:sz w:val="20"/>
                <w:szCs w:val="20"/>
              </w:rPr>
              <w:t>6.6</w:t>
            </w:r>
          </w:p>
        </w:tc>
        <w:tc>
          <w:tcPr>
            <w:tcW w:w="1170" w:type="dxa"/>
            <w:tcBorders>
              <w:left w:val="nil"/>
            </w:tcBorders>
            <w:vAlign w:val="center"/>
          </w:tcPr>
          <w:p w14:paraId="3DC73F68" w14:textId="77777777" w:rsidR="005B2959" w:rsidRPr="004D52B7" w:rsidRDefault="005B2959" w:rsidP="00CE4B72">
            <w:pPr>
              <w:jc w:val="center"/>
              <w:rPr>
                <w:rFonts w:ascii="Times" w:hAnsi="Times"/>
                <w:sz w:val="20"/>
                <w:szCs w:val="20"/>
              </w:rPr>
            </w:pPr>
            <w:r w:rsidRPr="004D52B7">
              <w:rPr>
                <w:rFonts w:ascii="Times" w:hAnsi="Times"/>
                <w:sz w:val="20"/>
                <w:szCs w:val="20"/>
              </w:rPr>
              <w:t>10</w:t>
            </w:r>
          </w:p>
        </w:tc>
        <w:tc>
          <w:tcPr>
            <w:tcW w:w="1170" w:type="dxa"/>
            <w:tcBorders>
              <w:right w:val="nil"/>
            </w:tcBorders>
            <w:noWrap/>
            <w:vAlign w:val="center"/>
            <w:hideMark/>
          </w:tcPr>
          <w:p w14:paraId="1FD8607C" w14:textId="77777777" w:rsidR="005B2959" w:rsidRPr="004D52B7" w:rsidRDefault="005B2959" w:rsidP="00CE4B72">
            <w:pPr>
              <w:jc w:val="center"/>
              <w:rPr>
                <w:rFonts w:ascii="Times" w:hAnsi="Times"/>
                <w:sz w:val="20"/>
                <w:szCs w:val="20"/>
              </w:rPr>
            </w:pPr>
            <w:r w:rsidRPr="004D52B7">
              <w:rPr>
                <w:rFonts w:ascii="Times" w:hAnsi="Times"/>
                <w:sz w:val="20"/>
                <w:szCs w:val="20"/>
              </w:rPr>
              <w:t>8.0</w:t>
            </w:r>
          </w:p>
        </w:tc>
        <w:tc>
          <w:tcPr>
            <w:tcW w:w="1080" w:type="dxa"/>
            <w:tcBorders>
              <w:left w:val="nil"/>
            </w:tcBorders>
            <w:noWrap/>
            <w:vAlign w:val="center"/>
            <w:hideMark/>
          </w:tcPr>
          <w:p w14:paraId="4AFA3782" w14:textId="77777777" w:rsidR="005B2959" w:rsidRPr="004D52B7" w:rsidRDefault="005B2959" w:rsidP="00CE4B72">
            <w:pPr>
              <w:jc w:val="center"/>
              <w:rPr>
                <w:rFonts w:ascii="Times" w:hAnsi="Times"/>
                <w:sz w:val="20"/>
                <w:szCs w:val="20"/>
              </w:rPr>
            </w:pPr>
            <w:r w:rsidRPr="004D52B7">
              <w:rPr>
                <w:rFonts w:ascii="Times" w:hAnsi="Times"/>
                <w:sz w:val="20"/>
                <w:szCs w:val="20"/>
              </w:rPr>
              <w:t>8</w:t>
            </w:r>
          </w:p>
        </w:tc>
      </w:tr>
      <w:tr w:rsidR="005B2959" w:rsidRPr="00706615" w14:paraId="49622D57" w14:textId="77777777" w:rsidTr="00CC23E9">
        <w:trPr>
          <w:trHeight w:val="259"/>
        </w:trPr>
        <w:tc>
          <w:tcPr>
            <w:tcW w:w="2250" w:type="dxa"/>
            <w:noWrap/>
            <w:vAlign w:val="center"/>
            <w:hideMark/>
          </w:tcPr>
          <w:p w14:paraId="65260637" w14:textId="77777777" w:rsidR="005B2959" w:rsidRPr="004D52B7" w:rsidRDefault="005B2959" w:rsidP="00CE4B72">
            <w:pPr>
              <w:rPr>
                <w:rFonts w:ascii="Times" w:hAnsi="Times"/>
                <w:sz w:val="20"/>
                <w:szCs w:val="20"/>
              </w:rPr>
            </w:pPr>
            <w:r w:rsidRPr="004D52B7">
              <w:rPr>
                <w:rFonts w:ascii="Times" w:hAnsi="Times"/>
                <w:sz w:val="20"/>
                <w:szCs w:val="20"/>
              </w:rPr>
              <w:t>Namibia</w:t>
            </w:r>
          </w:p>
        </w:tc>
        <w:tc>
          <w:tcPr>
            <w:tcW w:w="1800" w:type="dxa"/>
            <w:tcBorders>
              <w:left w:val="single" w:sz="4" w:space="0" w:color="auto"/>
              <w:right w:val="nil"/>
            </w:tcBorders>
            <w:noWrap/>
            <w:vAlign w:val="center"/>
            <w:hideMark/>
          </w:tcPr>
          <w:p w14:paraId="7EC95ED8" w14:textId="77777777" w:rsidR="005B2959" w:rsidRPr="004D52B7" w:rsidRDefault="005B2959" w:rsidP="00CE4B72">
            <w:pPr>
              <w:jc w:val="center"/>
              <w:rPr>
                <w:rFonts w:ascii="Times" w:hAnsi="Times"/>
                <w:sz w:val="20"/>
                <w:szCs w:val="20"/>
              </w:rPr>
            </w:pPr>
            <w:r w:rsidRPr="004D52B7">
              <w:rPr>
                <w:rFonts w:ascii="Times" w:hAnsi="Times"/>
                <w:sz w:val="20"/>
                <w:szCs w:val="20"/>
              </w:rPr>
              <w:t>5.8</w:t>
            </w:r>
          </w:p>
        </w:tc>
        <w:tc>
          <w:tcPr>
            <w:tcW w:w="810" w:type="dxa"/>
            <w:tcBorders>
              <w:left w:val="nil"/>
            </w:tcBorders>
            <w:vAlign w:val="center"/>
          </w:tcPr>
          <w:p w14:paraId="0E486FC5" w14:textId="77777777" w:rsidR="005B2959" w:rsidRPr="004D52B7" w:rsidRDefault="005B2959" w:rsidP="00CE4B72">
            <w:pPr>
              <w:jc w:val="center"/>
              <w:rPr>
                <w:rFonts w:ascii="Times" w:hAnsi="Times"/>
                <w:sz w:val="20"/>
                <w:szCs w:val="20"/>
              </w:rPr>
            </w:pPr>
            <w:r w:rsidRPr="004D52B7">
              <w:rPr>
                <w:rFonts w:ascii="Times" w:hAnsi="Times"/>
                <w:sz w:val="20"/>
                <w:szCs w:val="20"/>
              </w:rPr>
              <w:t>3</w:t>
            </w:r>
          </w:p>
        </w:tc>
        <w:tc>
          <w:tcPr>
            <w:tcW w:w="1080" w:type="dxa"/>
            <w:tcBorders>
              <w:right w:val="nil"/>
            </w:tcBorders>
            <w:noWrap/>
            <w:vAlign w:val="center"/>
            <w:hideMark/>
          </w:tcPr>
          <w:p w14:paraId="0BF4903E" w14:textId="77777777" w:rsidR="005B2959" w:rsidRPr="004D52B7" w:rsidRDefault="005B2959" w:rsidP="00CE4B72">
            <w:pPr>
              <w:jc w:val="center"/>
              <w:rPr>
                <w:rFonts w:ascii="Times" w:hAnsi="Times"/>
                <w:sz w:val="20"/>
                <w:szCs w:val="20"/>
              </w:rPr>
            </w:pPr>
            <w:r w:rsidRPr="004D52B7">
              <w:rPr>
                <w:rFonts w:ascii="Times" w:hAnsi="Times"/>
                <w:sz w:val="20"/>
                <w:szCs w:val="20"/>
              </w:rPr>
              <w:t>8.2</w:t>
            </w:r>
          </w:p>
        </w:tc>
        <w:tc>
          <w:tcPr>
            <w:tcW w:w="1170" w:type="dxa"/>
            <w:tcBorders>
              <w:left w:val="nil"/>
            </w:tcBorders>
            <w:vAlign w:val="center"/>
          </w:tcPr>
          <w:p w14:paraId="404E4C6D" w14:textId="77777777" w:rsidR="005B2959" w:rsidRPr="004D52B7" w:rsidRDefault="005B2959" w:rsidP="00CE4B72">
            <w:pPr>
              <w:jc w:val="center"/>
              <w:rPr>
                <w:rFonts w:ascii="Times" w:hAnsi="Times"/>
                <w:sz w:val="20"/>
                <w:szCs w:val="20"/>
              </w:rPr>
            </w:pPr>
            <w:r w:rsidRPr="004D52B7">
              <w:rPr>
                <w:rFonts w:ascii="Times" w:hAnsi="Times"/>
                <w:sz w:val="20"/>
                <w:szCs w:val="20"/>
              </w:rPr>
              <w:t>3</w:t>
            </w:r>
          </w:p>
        </w:tc>
        <w:tc>
          <w:tcPr>
            <w:tcW w:w="1170" w:type="dxa"/>
            <w:tcBorders>
              <w:right w:val="nil"/>
            </w:tcBorders>
            <w:noWrap/>
            <w:vAlign w:val="center"/>
            <w:hideMark/>
          </w:tcPr>
          <w:p w14:paraId="16D6CA64" w14:textId="77777777" w:rsidR="005B2959" w:rsidRPr="004D52B7" w:rsidRDefault="005B2959" w:rsidP="00CE4B72">
            <w:pPr>
              <w:jc w:val="center"/>
              <w:rPr>
                <w:rFonts w:ascii="Times" w:hAnsi="Times"/>
                <w:sz w:val="20"/>
                <w:szCs w:val="20"/>
              </w:rPr>
            </w:pPr>
            <w:r w:rsidRPr="004D52B7">
              <w:rPr>
                <w:rFonts w:ascii="Times" w:hAnsi="Times"/>
                <w:sz w:val="20"/>
                <w:szCs w:val="20"/>
              </w:rPr>
              <w:t>9.0</w:t>
            </w:r>
          </w:p>
        </w:tc>
        <w:tc>
          <w:tcPr>
            <w:tcW w:w="1080" w:type="dxa"/>
            <w:tcBorders>
              <w:left w:val="nil"/>
            </w:tcBorders>
            <w:noWrap/>
            <w:vAlign w:val="center"/>
            <w:hideMark/>
          </w:tcPr>
          <w:p w14:paraId="491F1B2B" w14:textId="77777777" w:rsidR="005B2959" w:rsidRPr="004D52B7" w:rsidRDefault="005B2959" w:rsidP="00CE4B72">
            <w:pPr>
              <w:jc w:val="center"/>
              <w:rPr>
                <w:rFonts w:ascii="Times" w:hAnsi="Times"/>
                <w:sz w:val="20"/>
                <w:szCs w:val="20"/>
              </w:rPr>
            </w:pPr>
            <w:r w:rsidRPr="004D52B7">
              <w:rPr>
                <w:rFonts w:ascii="Times" w:hAnsi="Times"/>
                <w:sz w:val="20"/>
                <w:szCs w:val="20"/>
              </w:rPr>
              <w:t>5</w:t>
            </w:r>
          </w:p>
        </w:tc>
      </w:tr>
      <w:tr w:rsidR="005B2959" w:rsidRPr="00706615" w14:paraId="085898B3" w14:textId="77777777" w:rsidTr="00CC23E9">
        <w:trPr>
          <w:trHeight w:val="259"/>
        </w:trPr>
        <w:tc>
          <w:tcPr>
            <w:tcW w:w="2250" w:type="dxa"/>
            <w:noWrap/>
            <w:vAlign w:val="center"/>
            <w:hideMark/>
          </w:tcPr>
          <w:p w14:paraId="567251F3" w14:textId="77777777" w:rsidR="005B2959" w:rsidRPr="004D52B7" w:rsidRDefault="005B2959" w:rsidP="00CE4B72">
            <w:pPr>
              <w:rPr>
                <w:rFonts w:ascii="Times" w:hAnsi="Times"/>
                <w:sz w:val="20"/>
                <w:szCs w:val="20"/>
              </w:rPr>
            </w:pPr>
            <w:r w:rsidRPr="004D52B7">
              <w:rPr>
                <w:rFonts w:ascii="Times" w:hAnsi="Times"/>
                <w:sz w:val="20"/>
                <w:szCs w:val="20"/>
              </w:rPr>
              <w:t>Gabon</w:t>
            </w:r>
          </w:p>
        </w:tc>
        <w:tc>
          <w:tcPr>
            <w:tcW w:w="1800" w:type="dxa"/>
            <w:tcBorders>
              <w:left w:val="single" w:sz="4" w:space="0" w:color="auto"/>
              <w:right w:val="nil"/>
            </w:tcBorders>
            <w:noWrap/>
            <w:vAlign w:val="center"/>
            <w:hideMark/>
          </w:tcPr>
          <w:p w14:paraId="7ABEADF7" w14:textId="77777777" w:rsidR="005B2959" w:rsidRPr="004D52B7" w:rsidRDefault="005B2959" w:rsidP="00CE4B72">
            <w:pPr>
              <w:jc w:val="center"/>
              <w:rPr>
                <w:rFonts w:ascii="Times" w:hAnsi="Times"/>
                <w:sz w:val="20"/>
                <w:szCs w:val="20"/>
              </w:rPr>
            </w:pPr>
            <w:r w:rsidRPr="004D52B7">
              <w:rPr>
                <w:rFonts w:ascii="Times" w:hAnsi="Times"/>
                <w:sz w:val="20"/>
                <w:szCs w:val="20"/>
              </w:rPr>
              <w:t>4.1</w:t>
            </w:r>
          </w:p>
        </w:tc>
        <w:tc>
          <w:tcPr>
            <w:tcW w:w="810" w:type="dxa"/>
            <w:tcBorders>
              <w:left w:val="nil"/>
            </w:tcBorders>
            <w:vAlign w:val="center"/>
          </w:tcPr>
          <w:p w14:paraId="0024E302" w14:textId="77777777" w:rsidR="005B2959" w:rsidRPr="004D52B7" w:rsidRDefault="005B2959" w:rsidP="00CE4B72">
            <w:pPr>
              <w:jc w:val="center"/>
              <w:rPr>
                <w:rFonts w:ascii="Times" w:hAnsi="Times"/>
                <w:sz w:val="20"/>
                <w:szCs w:val="20"/>
              </w:rPr>
            </w:pPr>
            <w:r w:rsidRPr="004D52B7">
              <w:rPr>
                <w:rFonts w:ascii="Times" w:hAnsi="Times"/>
                <w:sz w:val="20"/>
                <w:szCs w:val="20"/>
              </w:rPr>
              <w:t>14</w:t>
            </w:r>
          </w:p>
        </w:tc>
        <w:tc>
          <w:tcPr>
            <w:tcW w:w="1080" w:type="dxa"/>
            <w:tcBorders>
              <w:right w:val="nil"/>
            </w:tcBorders>
            <w:noWrap/>
            <w:vAlign w:val="center"/>
            <w:hideMark/>
          </w:tcPr>
          <w:p w14:paraId="22256406" w14:textId="77777777" w:rsidR="005B2959" w:rsidRPr="004D52B7" w:rsidRDefault="005B2959" w:rsidP="00CE4B72">
            <w:pPr>
              <w:jc w:val="center"/>
              <w:rPr>
                <w:rFonts w:ascii="Times" w:hAnsi="Times"/>
                <w:sz w:val="20"/>
                <w:szCs w:val="20"/>
              </w:rPr>
            </w:pPr>
            <w:r w:rsidRPr="004D52B7">
              <w:rPr>
                <w:rFonts w:ascii="Times" w:hAnsi="Times"/>
                <w:sz w:val="20"/>
                <w:szCs w:val="20"/>
              </w:rPr>
              <w:t>5.5</w:t>
            </w:r>
          </w:p>
        </w:tc>
        <w:tc>
          <w:tcPr>
            <w:tcW w:w="1170" w:type="dxa"/>
            <w:tcBorders>
              <w:left w:val="nil"/>
            </w:tcBorders>
            <w:vAlign w:val="center"/>
          </w:tcPr>
          <w:p w14:paraId="0F7AF8AD" w14:textId="77777777" w:rsidR="005B2959" w:rsidRPr="004D52B7" w:rsidRDefault="005B2959" w:rsidP="00CE4B72">
            <w:pPr>
              <w:jc w:val="center"/>
              <w:rPr>
                <w:rFonts w:ascii="Times" w:hAnsi="Times"/>
                <w:sz w:val="20"/>
                <w:szCs w:val="20"/>
              </w:rPr>
            </w:pPr>
            <w:r w:rsidRPr="004D52B7">
              <w:rPr>
                <w:rFonts w:ascii="Times" w:hAnsi="Times"/>
                <w:sz w:val="20"/>
                <w:szCs w:val="20"/>
              </w:rPr>
              <w:t>17</w:t>
            </w:r>
          </w:p>
        </w:tc>
        <w:tc>
          <w:tcPr>
            <w:tcW w:w="1170" w:type="dxa"/>
            <w:tcBorders>
              <w:right w:val="nil"/>
            </w:tcBorders>
            <w:noWrap/>
            <w:vAlign w:val="center"/>
            <w:hideMark/>
          </w:tcPr>
          <w:p w14:paraId="7BA2B313" w14:textId="77777777" w:rsidR="005B2959" w:rsidRPr="004D52B7" w:rsidRDefault="005B2959" w:rsidP="00CE4B72">
            <w:pPr>
              <w:jc w:val="center"/>
              <w:rPr>
                <w:rFonts w:ascii="Times" w:hAnsi="Times"/>
                <w:sz w:val="20"/>
                <w:szCs w:val="20"/>
              </w:rPr>
            </w:pPr>
            <w:r w:rsidRPr="004D52B7">
              <w:rPr>
                <w:rFonts w:ascii="Times" w:hAnsi="Times"/>
                <w:sz w:val="20"/>
                <w:szCs w:val="20"/>
              </w:rPr>
              <w:t>7.1</w:t>
            </w:r>
          </w:p>
        </w:tc>
        <w:tc>
          <w:tcPr>
            <w:tcW w:w="1080" w:type="dxa"/>
            <w:tcBorders>
              <w:left w:val="nil"/>
            </w:tcBorders>
            <w:noWrap/>
            <w:vAlign w:val="center"/>
            <w:hideMark/>
          </w:tcPr>
          <w:p w14:paraId="2BBCE2E1" w14:textId="77777777" w:rsidR="005B2959" w:rsidRPr="004D52B7" w:rsidRDefault="005B2959" w:rsidP="00CE4B72">
            <w:pPr>
              <w:jc w:val="center"/>
              <w:rPr>
                <w:rFonts w:ascii="Times" w:hAnsi="Times"/>
                <w:sz w:val="20"/>
                <w:szCs w:val="20"/>
              </w:rPr>
            </w:pPr>
            <w:r w:rsidRPr="004D52B7">
              <w:rPr>
                <w:rFonts w:ascii="Times" w:hAnsi="Times"/>
                <w:sz w:val="20"/>
                <w:szCs w:val="20"/>
              </w:rPr>
              <w:t>16</w:t>
            </w:r>
          </w:p>
        </w:tc>
      </w:tr>
      <w:tr w:rsidR="005B2959" w:rsidRPr="00706615" w14:paraId="15955774" w14:textId="77777777" w:rsidTr="00CC23E9">
        <w:trPr>
          <w:trHeight w:val="259"/>
        </w:trPr>
        <w:tc>
          <w:tcPr>
            <w:tcW w:w="2250" w:type="dxa"/>
            <w:noWrap/>
            <w:vAlign w:val="center"/>
            <w:hideMark/>
          </w:tcPr>
          <w:p w14:paraId="49E6BF07" w14:textId="77777777" w:rsidR="005B2959" w:rsidRPr="004D52B7" w:rsidRDefault="005B2959" w:rsidP="00CE4B72">
            <w:pPr>
              <w:rPr>
                <w:rFonts w:ascii="Times" w:hAnsi="Times"/>
                <w:sz w:val="20"/>
                <w:szCs w:val="20"/>
              </w:rPr>
            </w:pPr>
            <w:r w:rsidRPr="004D52B7">
              <w:rPr>
                <w:rFonts w:ascii="Times" w:hAnsi="Times"/>
                <w:sz w:val="20"/>
                <w:szCs w:val="20"/>
              </w:rPr>
              <w:t>Uganda</w:t>
            </w:r>
          </w:p>
        </w:tc>
        <w:tc>
          <w:tcPr>
            <w:tcW w:w="1800" w:type="dxa"/>
            <w:tcBorders>
              <w:left w:val="single" w:sz="4" w:space="0" w:color="auto"/>
              <w:right w:val="nil"/>
            </w:tcBorders>
            <w:noWrap/>
            <w:vAlign w:val="center"/>
            <w:hideMark/>
          </w:tcPr>
          <w:p w14:paraId="343B4BA2" w14:textId="77777777" w:rsidR="005B2959" w:rsidRPr="004D52B7" w:rsidRDefault="005B2959" w:rsidP="00CE4B72">
            <w:pPr>
              <w:jc w:val="center"/>
              <w:rPr>
                <w:rFonts w:ascii="Times" w:hAnsi="Times"/>
                <w:sz w:val="20"/>
                <w:szCs w:val="20"/>
              </w:rPr>
            </w:pPr>
            <w:r w:rsidRPr="004D52B7">
              <w:rPr>
                <w:rFonts w:ascii="Times" w:hAnsi="Times"/>
                <w:sz w:val="20"/>
                <w:szCs w:val="20"/>
              </w:rPr>
              <w:t>3.8</w:t>
            </w:r>
          </w:p>
        </w:tc>
        <w:tc>
          <w:tcPr>
            <w:tcW w:w="810" w:type="dxa"/>
            <w:tcBorders>
              <w:left w:val="nil"/>
            </w:tcBorders>
            <w:vAlign w:val="center"/>
          </w:tcPr>
          <w:p w14:paraId="61D14264" w14:textId="77777777" w:rsidR="005B2959" w:rsidRPr="004D52B7" w:rsidRDefault="005B2959" w:rsidP="00CE4B72">
            <w:pPr>
              <w:jc w:val="center"/>
              <w:rPr>
                <w:rFonts w:ascii="Times" w:hAnsi="Times"/>
                <w:sz w:val="20"/>
                <w:szCs w:val="20"/>
              </w:rPr>
            </w:pPr>
            <w:r w:rsidRPr="004D52B7">
              <w:rPr>
                <w:rFonts w:ascii="Times" w:hAnsi="Times"/>
                <w:sz w:val="20"/>
                <w:szCs w:val="20"/>
              </w:rPr>
              <w:t>16</w:t>
            </w:r>
          </w:p>
        </w:tc>
        <w:tc>
          <w:tcPr>
            <w:tcW w:w="1080" w:type="dxa"/>
            <w:tcBorders>
              <w:right w:val="nil"/>
            </w:tcBorders>
            <w:noWrap/>
            <w:vAlign w:val="center"/>
            <w:hideMark/>
          </w:tcPr>
          <w:p w14:paraId="33ECED8A" w14:textId="77777777" w:rsidR="005B2959" w:rsidRPr="004D52B7" w:rsidRDefault="005B2959" w:rsidP="00CE4B72">
            <w:pPr>
              <w:jc w:val="center"/>
              <w:rPr>
                <w:rFonts w:ascii="Times" w:hAnsi="Times"/>
                <w:sz w:val="20"/>
                <w:szCs w:val="20"/>
              </w:rPr>
            </w:pPr>
            <w:r w:rsidRPr="004D52B7">
              <w:rPr>
                <w:rFonts w:ascii="Times" w:hAnsi="Times"/>
                <w:sz w:val="20"/>
                <w:szCs w:val="20"/>
              </w:rPr>
              <w:t>6.0</w:t>
            </w:r>
          </w:p>
        </w:tc>
        <w:tc>
          <w:tcPr>
            <w:tcW w:w="1170" w:type="dxa"/>
            <w:tcBorders>
              <w:left w:val="nil"/>
            </w:tcBorders>
            <w:vAlign w:val="center"/>
          </w:tcPr>
          <w:p w14:paraId="2361A099" w14:textId="77777777" w:rsidR="005B2959" w:rsidRPr="004D52B7" w:rsidRDefault="005B2959" w:rsidP="00CE4B72">
            <w:pPr>
              <w:jc w:val="center"/>
              <w:rPr>
                <w:rFonts w:ascii="Times" w:hAnsi="Times"/>
                <w:sz w:val="20"/>
                <w:szCs w:val="20"/>
              </w:rPr>
            </w:pPr>
            <w:r w:rsidRPr="004D52B7">
              <w:rPr>
                <w:rFonts w:ascii="Times" w:hAnsi="Times"/>
                <w:sz w:val="20"/>
                <w:szCs w:val="20"/>
              </w:rPr>
              <w:t>14</w:t>
            </w:r>
          </w:p>
        </w:tc>
        <w:tc>
          <w:tcPr>
            <w:tcW w:w="1170" w:type="dxa"/>
            <w:tcBorders>
              <w:right w:val="nil"/>
            </w:tcBorders>
            <w:noWrap/>
            <w:vAlign w:val="center"/>
            <w:hideMark/>
          </w:tcPr>
          <w:p w14:paraId="735AE2C6" w14:textId="77777777" w:rsidR="005B2959" w:rsidRPr="004D52B7" w:rsidRDefault="005B2959" w:rsidP="00CE4B72">
            <w:pPr>
              <w:jc w:val="center"/>
              <w:rPr>
                <w:rFonts w:ascii="Times" w:hAnsi="Times"/>
                <w:sz w:val="20"/>
                <w:szCs w:val="20"/>
              </w:rPr>
            </w:pPr>
            <w:r w:rsidRPr="004D52B7">
              <w:rPr>
                <w:rFonts w:ascii="Times" w:hAnsi="Times"/>
                <w:sz w:val="20"/>
                <w:szCs w:val="20"/>
              </w:rPr>
              <w:t>7.7</w:t>
            </w:r>
          </w:p>
        </w:tc>
        <w:tc>
          <w:tcPr>
            <w:tcW w:w="1080" w:type="dxa"/>
            <w:tcBorders>
              <w:left w:val="nil"/>
            </w:tcBorders>
            <w:noWrap/>
            <w:vAlign w:val="center"/>
            <w:hideMark/>
          </w:tcPr>
          <w:p w14:paraId="00BAB3EE" w14:textId="77777777" w:rsidR="005B2959" w:rsidRPr="004D52B7" w:rsidRDefault="005B2959" w:rsidP="00CE4B72">
            <w:pPr>
              <w:jc w:val="center"/>
              <w:rPr>
                <w:rFonts w:ascii="Times" w:hAnsi="Times"/>
                <w:sz w:val="20"/>
                <w:szCs w:val="20"/>
              </w:rPr>
            </w:pPr>
            <w:r w:rsidRPr="004D52B7">
              <w:rPr>
                <w:rFonts w:ascii="Times" w:hAnsi="Times"/>
                <w:sz w:val="20"/>
                <w:szCs w:val="20"/>
              </w:rPr>
              <w:t>12</w:t>
            </w:r>
          </w:p>
        </w:tc>
      </w:tr>
      <w:tr w:rsidR="005B2959" w:rsidRPr="00706615" w14:paraId="2A1BEE42" w14:textId="77777777" w:rsidTr="00CC23E9">
        <w:trPr>
          <w:trHeight w:val="259"/>
        </w:trPr>
        <w:tc>
          <w:tcPr>
            <w:tcW w:w="2250" w:type="dxa"/>
            <w:noWrap/>
            <w:vAlign w:val="center"/>
            <w:hideMark/>
          </w:tcPr>
          <w:p w14:paraId="1D48B424" w14:textId="77777777" w:rsidR="005B2959" w:rsidRPr="004D52B7" w:rsidRDefault="005B2959" w:rsidP="00CE4B72">
            <w:pPr>
              <w:rPr>
                <w:rFonts w:ascii="Times" w:hAnsi="Times"/>
                <w:sz w:val="20"/>
                <w:szCs w:val="20"/>
              </w:rPr>
            </w:pPr>
            <w:r w:rsidRPr="004D52B7">
              <w:rPr>
                <w:rFonts w:ascii="Times" w:hAnsi="Times"/>
                <w:sz w:val="20"/>
                <w:szCs w:val="20"/>
              </w:rPr>
              <w:t>Swaziland</w:t>
            </w:r>
          </w:p>
        </w:tc>
        <w:tc>
          <w:tcPr>
            <w:tcW w:w="1800" w:type="dxa"/>
            <w:tcBorders>
              <w:left w:val="single" w:sz="4" w:space="0" w:color="auto"/>
              <w:right w:val="nil"/>
            </w:tcBorders>
            <w:noWrap/>
            <w:vAlign w:val="center"/>
            <w:hideMark/>
          </w:tcPr>
          <w:p w14:paraId="0933947F" w14:textId="77777777" w:rsidR="005B2959" w:rsidRPr="004D52B7" w:rsidRDefault="005B2959" w:rsidP="00CE4B72">
            <w:pPr>
              <w:jc w:val="center"/>
              <w:rPr>
                <w:rFonts w:ascii="Times" w:hAnsi="Times"/>
                <w:sz w:val="20"/>
                <w:szCs w:val="20"/>
              </w:rPr>
            </w:pPr>
            <w:r w:rsidRPr="004D52B7">
              <w:rPr>
                <w:rFonts w:ascii="Times" w:hAnsi="Times"/>
                <w:sz w:val="20"/>
                <w:szCs w:val="20"/>
              </w:rPr>
              <w:t>4.5</w:t>
            </w:r>
          </w:p>
        </w:tc>
        <w:tc>
          <w:tcPr>
            <w:tcW w:w="810" w:type="dxa"/>
            <w:tcBorders>
              <w:left w:val="nil"/>
            </w:tcBorders>
            <w:vAlign w:val="center"/>
          </w:tcPr>
          <w:p w14:paraId="1AD48BF1" w14:textId="77777777" w:rsidR="005B2959" w:rsidRPr="004D52B7" w:rsidRDefault="005B2959" w:rsidP="00CE4B72">
            <w:pPr>
              <w:jc w:val="center"/>
              <w:rPr>
                <w:rFonts w:ascii="Times" w:hAnsi="Times"/>
                <w:sz w:val="20"/>
                <w:szCs w:val="20"/>
              </w:rPr>
            </w:pPr>
            <w:r w:rsidRPr="004D52B7">
              <w:rPr>
                <w:rFonts w:ascii="Times" w:hAnsi="Times"/>
                <w:sz w:val="20"/>
                <w:szCs w:val="20"/>
              </w:rPr>
              <w:t>10</w:t>
            </w:r>
          </w:p>
        </w:tc>
        <w:tc>
          <w:tcPr>
            <w:tcW w:w="1080" w:type="dxa"/>
            <w:tcBorders>
              <w:right w:val="nil"/>
            </w:tcBorders>
            <w:noWrap/>
            <w:vAlign w:val="center"/>
            <w:hideMark/>
          </w:tcPr>
          <w:p w14:paraId="6709566E" w14:textId="77777777" w:rsidR="005B2959" w:rsidRPr="004D52B7" w:rsidRDefault="005B2959" w:rsidP="00CE4B72">
            <w:pPr>
              <w:jc w:val="center"/>
              <w:rPr>
                <w:rFonts w:ascii="Times" w:hAnsi="Times"/>
                <w:sz w:val="20"/>
                <w:szCs w:val="20"/>
              </w:rPr>
            </w:pPr>
            <w:r w:rsidRPr="004D52B7">
              <w:rPr>
                <w:rFonts w:ascii="Times" w:hAnsi="Times"/>
                <w:sz w:val="20"/>
                <w:szCs w:val="20"/>
              </w:rPr>
              <w:t>6.6</w:t>
            </w:r>
          </w:p>
        </w:tc>
        <w:tc>
          <w:tcPr>
            <w:tcW w:w="1170" w:type="dxa"/>
            <w:tcBorders>
              <w:left w:val="nil"/>
            </w:tcBorders>
            <w:vAlign w:val="center"/>
          </w:tcPr>
          <w:p w14:paraId="6C45B328" w14:textId="77777777" w:rsidR="005B2959" w:rsidRPr="004D52B7" w:rsidRDefault="005B2959" w:rsidP="00CE4B72">
            <w:pPr>
              <w:jc w:val="center"/>
              <w:rPr>
                <w:rFonts w:ascii="Times" w:hAnsi="Times"/>
                <w:sz w:val="20"/>
                <w:szCs w:val="20"/>
              </w:rPr>
            </w:pPr>
            <w:r w:rsidRPr="004D52B7">
              <w:rPr>
                <w:rFonts w:ascii="Times" w:hAnsi="Times"/>
                <w:sz w:val="20"/>
                <w:szCs w:val="20"/>
              </w:rPr>
              <w:t>8</w:t>
            </w:r>
          </w:p>
        </w:tc>
        <w:tc>
          <w:tcPr>
            <w:tcW w:w="1170" w:type="dxa"/>
            <w:tcBorders>
              <w:right w:val="nil"/>
            </w:tcBorders>
            <w:noWrap/>
            <w:vAlign w:val="center"/>
            <w:hideMark/>
          </w:tcPr>
          <w:p w14:paraId="48F6EAFC" w14:textId="77777777" w:rsidR="005B2959" w:rsidRPr="004D52B7" w:rsidRDefault="005B2959" w:rsidP="00CE4B72">
            <w:pPr>
              <w:jc w:val="center"/>
              <w:rPr>
                <w:rFonts w:ascii="Times" w:hAnsi="Times"/>
                <w:sz w:val="20"/>
                <w:szCs w:val="20"/>
              </w:rPr>
            </w:pPr>
            <w:r w:rsidRPr="004D52B7">
              <w:rPr>
                <w:rFonts w:ascii="Times" w:hAnsi="Times"/>
                <w:sz w:val="20"/>
                <w:szCs w:val="20"/>
              </w:rPr>
              <w:t>7.4</w:t>
            </w:r>
          </w:p>
        </w:tc>
        <w:tc>
          <w:tcPr>
            <w:tcW w:w="1080" w:type="dxa"/>
            <w:tcBorders>
              <w:left w:val="nil"/>
            </w:tcBorders>
            <w:noWrap/>
            <w:vAlign w:val="center"/>
            <w:hideMark/>
          </w:tcPr>
          <w:p w14:paraId="43A19D4A" w14:textId="77777777" w:rsidR="005B2959" w:rsidRPr="004D52B7" w:rsidRDefault="005B2959" w:rsidP="00CE4B72">
            <w:pPr>
              <w:jc w:val="center"/>
              <w:rPr>
                <w:rFonts w:ascii="Times" w:hAnsi="Times"/>
                <w:sz w:val="20"/>
                <w:szCs w:val="20"/>
              </w:rPr>
            </w:pPr>
            <w:r w:rsidRPr="004D52B7">
              <w:rPr>
                <w:rFonts w:ascii="Times" w:hAnsi="Times"/>
                <w:sz w:val="20"/>
                <w:szCs w:val="20"/>
              </w:rPr>
              <w:t>14</w:t>
            </w:r>
          </w:p>
        </w:tc>
      </w:tr>
      <w:tr w:rsidR="005B2959" w:rsidRPr="00706615" w14:paraId="2D2292B5" w14:textId="77777777" w:rsidTr="00CC23E9">
        <w:trPr>
          <w:trHeight w:val="259"/>
        </w:trPr>
        <w:tc>
          <w:tcPr>
            <w:tcW w:w="2250" w:type="dxa"/>
            <w:noWrap/>
            <w:vAlign w:val="center"/>
            <w:hideMark/>
          </w:tcPr>
          <w:p w14:paraId="0C9033AB" w14:textId="77777777" w:rsidR="005B2959" w:rsidRPr="004D52B7" w:rsidRDefault="005B2959" w:rsidP="00CE4B72">
            <w:pPr>
              <w:rPr>
                <w:rFonts w:ascii="Times" w:hAnsi="Times"/>
                <w:sz w:val="20"/>
                <w:szCs w:val="20"/>
              </w:rPr>
            </w:pPr>
            <w:r w:rsidRPr="004D52B7">
              <w:rPr>
                <w:rFonts w:ascii="Times" w:hAnsi="Times"/>
                <w:sz w:val="20"/>
                <w:szCs w:val="20"/>
              </w:rPr>
              <w:t>Rwanda</w:t>
            </w:r>
          </w:p>
        </w:tc>
        <w:tc>
          <w:tcPr>
            <w:tcW w:w="1800" w:type="dxa"/>
            <w:tcBorders>
              <w:left w:val="single" w:sz="4" w:space="0" w:color="auto"/>
              <w:right w:val="nil"/>
            </w:tcBorders>
            <w:noWrap/>
            <w:vAlign w:val="center"/>
            <w:hideMark/>
          </w:tcPr>
          <w:p w14:paraId="131AEADC" w14:textId="77777777" w:rsidR="005B2959" w:rsidRPr="004D52B7" w:rsidRDefault="005B2959" w:rsidP="00CE4B72">
            <w:pPr>
              <w:jc w:val="center"/>
              <w:rPr>
                <w:rFonts w:ascii="Times" w:hAnsi="Times"/>
                <w:sz w:val="20"/>
                <w:szCs w:val="20"/>
              </w:rPr>
            </w:pPr>
            <w:r w:rsidRPr="004D52B7">
              <w:rPr>
                <w:rFonts w:ascii="Times" w:hAnsi="Times"/>
                <w:sz w:val="20"/>
                <w:szCs w:val="20"/>
              </w:rPr>
              <w:t>6.6</w:t>
            </w:r>
          </w:p>
        </w:tc>
        <w:tc>
          <w:tcPr>
            <w:tcW w:w="810" w:type="dxa"/>
            <w:tcBorders>
              <w:left w:val="nil"/>
            </w:tcBorders>
            <w:vAlign w:val="center"/>
          </w:tcPr>
          <w:p w14:paraId="0AB0B532" w14:textId="77777777" w:rsidR="005B2959" w:rsidRPr="004D52B7" w:rsidRDefault="005B2959" w:rsidP="00CE4B72">
            <w:pPr>
              <w:jc w:val="center"/>
              <w:rPr>
                <w:rFonts w:ascii="Times" w:hAnsi="Times"/>
                <w:sz w:val="20"/>
                <w:szCs w:val="20"/>
              </w:rPr>
            </w:pPr>
            <w:r w:rsidRPr="004D52B7">
              <w:rPr>
                <w:rFonts w:ascii="Times" w:hAnsi="Times"/>
                <w:sz w:val="20"/>
                <w:szCs w:val="20"/>
              </w:rPr>
              <w:t>1</w:t>
            </w:r>
          </w:p>
        </w:tc>
        <w:tc>
          <w:tcPr>
            <w:tcW w:w="1080" w:type="dxa"/>
            <w:tcBorders>
              <w:right w:val="nil"/>
            </w:tcBorders>
            <w:noWrap/>
            <w:vAlign w:val="center"/>
            <w:hideMark/>
          </w:tcPr>
          <w:p w14:paraId="3823E647" w14:textId="77777777" w:rsidR="005B2959" w:rsidRPr="004D52B7" w:rsidRDefault="005B2959" w:rsidP="00CE4B72">
            <w:pPr>
              <w:jc w:val="center"/>
              <w:rPr>
                <w:rFonts w:ascii="Times" w:hAnsi="Times"/>
                <w:sz w:val="20"/>
                <w:szCs w:val="20"/>
              </w:rPr>
            </w:pPr>
            <w:r w:rsidRPr="004D52B7">
              <w:rPr>
                <w:rFonts w:ascii="Times" w:hAnsi="Times"/>
                <w:sz w:val="20"/>
                <w:szCs w:val="20"/>
              </w:rPr>
              <w:t>8.2</w:t>
            </w:r>
          </w:p>
        </w:tc>
        <w:tc>
          <w:tcPr>
            <w:tcW w:w="1170" w:type="dxa"/>
            <w:tcBorders>
              <w:left w:val="nil"/>
            </w:tcBorders>
            <w:vAlign w:val="center"/>
          </w:tcPr>
          <w:p w14:paraId="54460496" w14:textId="77777777" w:rsidR="005B2959" w:rsidRPr="004D52B7" w:rsidRDefault="005B2959" w:rsidP="00CE4B72">
            <w:pPr>
              <w:jc w:val="center"/>
              <w:rPr>
                <w:rFonts w:ascii="Times" w:hAnsi="Times"/>
                <w:sz w:val="20"/>
                <w:szCs w:val="20"/>
              </w:rPr>
            </w:pPr>
            <w:r w:rsidRPr="004D52B7">
              <w:rPr>
                <w:rFonts w:ascii="Times" w:hAnsi="Times"/>
                <w:sz w:val="20"/>
                <w:szCs w:val="20"/>
              </w:rPr>
              <w:t>2</w:t>
            </w:r>
          </w:p>
        </w:tc>
        <w:tc>
          <w:tcPr>
            <w:tcW w:w="1170" w:type="dxa"/>
            <w:tcBorders>
              <w:right w:val="nil"/>
            </w:tcBorders>
            <w:noWrap/>
            <w:vAlign w:val="center"/>
            <w:hideMark/>
          </w:tcPr>
          <w:p w14:paraId="1D2AE3AF" w14:textId="77777777" w:rsidR="005B2959" w:rsidRPr="004D52B7" w:rsidRDefault="005B2959" w:rsidP="00CE4B72">
            <w:pPr>
              <w:jc w:val="center"/>
              <w:rPr>
                <w:rFonts w:ascii="Times" w:hAnsi="Times"/>
                <w:sz w:val="20"/>
                <w:szCs w:val="20"/>
              </w:rPr>
            </w:pPr>
            <w:r w:rsidRPr="004D52B7">
              <w:rPr>
                <w:rFonts w:ascii="Times" w:hAnsi="Times"/>
                <w:sz w:val="20"/>
                <w:szCs w:val="20"/>
              </w:rPr>
              <w:t>9.0</w:t>
            </w:r>
          </w:p>
        </w:tc>
        <w:tc>
          <w:tcPr>
            <w:tcW w:w="1080" w:type="dxa"/>
            <w:tcBorders>
              <w:left w:val="nil"/>
            </w:tcBorders>
            <w:noWrap/>
            <w:vAlign w:val="center"/>
            <w:hideMark/>
          </w:tcPr>
          <w:p w14:paraId="116D675A" w14:textId="77777777" w:rsidR="005B2959" w:rsidRPr="004D52B7" w:rsidRDefault="005B2959" w:rsidP="00CE4B72">
            <w:pPr>
              <w:jc w:val="center"/>
              <w:rPr>
                <w:rFonts w:ascii="Times" w:hAnsi="Times"/>
                <w:sz w:val="20"/>
                <w:szCs w:val="20"/>
              </w:rPr>
            </w:pPr>
            <w:r w:rsidRPr="004D52B7">
              <w:rPr>
                <w:rFonts w:ascii="Times" w:hAnsi="Times"/>
                <w:sz w:val="20"/>
                <w:szCs w:val="20"/>
              </w:rPr>
              <w:t>4</w:t>
            </w:r>
          </w:p>
        </w:tc>
      </w:tr>
      <w:tr w:rsidR="005B2959" w:rsidRPr="00706615" w14:paraId="09060BF2" w14:textId="77777777" w:rsidTr="00CC23E9">
        <w:trPr>
          <w:trHeight w:val="259"/>
        </w:trPr>
        <w:tc>
          <w:tcPr>
            <w:tcW w:w="2250" w:type="dxa"/>
            <w:noWrap/>
            <w:vAlign w:val="center"/>
            <w:hideMark/>
          </w:tcPr>
          <w:p w14:paraId="2262E746" w14:textId="77777777" w:rsidR="005B2959" w:rsidRPr="004D52B7" w:rsidRDefault="005B2959" w:rsidP="00CE4B72">
            <w:pPr>
              <w:rPr>
                <w:rFonts w:ascii="Times" w:hAnsi="Times"/>
                <w:sz w:val="20"/>
                <w:szCs w:val="20"/>
              </w:rPr>
            </w:pPr>
            <w:r w:rsidRPr="004D52B7">
              <w:rPr>
                <w:rFonts w:ascii="Times" w:hAnsi="Times"/>
                <w:sz w:val="20"/>
                <w:szCs w:val="20"/>
              </w:rPr>
              <w:t>Malawi</w:t>
            </w:r>
          </w:p>
        </w:tc>
        <w:tc>
          <w:tcPr>
            <w:tcW w:w="1800" w:type="dxa"/>
            <w:tcBorders>
              <w:left w:val="single" w:sz="4" w:space="0" w:color="auto"/>
              <w:right w:val="nil"/>
            </w:tcBorders>
            <w:noWrap/>
            <w:vAlign w:val="center"/>
            <w:hideMark/>
          </w:tcPr>
          <w:p w14:paraId="474F20C7" w14:textId="77777777" w:rsidR="005B2959" w:rsidRPr="004D52B7" w:rsidRDefault="005B2959" w:rsidP="00CE4B72">
            <w:pPr>
              <w:jc w:val="center"/>
              <w:rPr>
                <w:rFonts w:ascii="Times" w:hAnsi="Times"/>
                <w:sz w:val="20"/>
                <w:szCs w:val="20"/>
              </w:rPr>
            </w:pPr>
            <w:r w:rsidRPr="004D52B7">
              <w:rPr>
                <w:rFonts w:ascii="Times" w:hAnsi="Times"/>
                <w:sz w:val="20"/>
                <w:szCs w:val="20"/>
              </w:rPr>
              <w:t>5.1</w:t>
            </w:r>
          </w:p>
        </w:tc>
        <w:tc>
          <w:tcPr>
            <w:tcW w:w="810" w:type="dxa"/>
            <w:tcBorders>
              <w:left w:val="nil"/>
            </w:tcBorders>
            <w:vAlign w:val="center"/>
          </w:tcPr>
          <w:p w14:paraId="41A93C8C" w14:textId="77777777" w:rsidR="005B2959" w:rsidRPr="004D52B7" w:rsidRDefault="005B2959" w:rsidP="00CE4B72">
            <w:pPr>
              <w:jc w:val="center"/>
              <w:rPr>
                <w:rFonts w:ascii="Times" w:hAnsi="Times"/>
                <w:sz w:val="20"/>
                <w:szCs w:val="20"/>
              </w:rPr>
            </w:pPr>
            <w:r w:rsidRPr="004D52B7">
              <w:rPr>
                <w:rFonts w:ascii="Times" w:hAnsi="Times"/>
                <w:sz w:val="20"/>
                <w:szCs w:val="20"/>
              </w:rPr>
              <w:t>7</w:t>
            </w:r>
          </w:p>
        </w:tc>
        <w:tc>
          <w:tcPr>
            <w:tcW w:w="1080" w:type="dxa"/>
            <w:tcBorders>
              <w:right w:val="nil"/>
            </w:tcBorders>
            <w:noWrap/>
            <w:vAlign w:val="center"/>
            <w:hideMark/>
          </w:tcPr>
          <w:p w14:paraId="1484A0ED" w14:textId="77777777" w:rsidR="005B2959" w:rsidRPr="004D52B7" w:rsidRDefault="005B2959" w:rsidP="00CE4B72">
            <w:pPr>
              <w:jc w:val="center"/>
              <w:rPr>
                <w:rFonts w:ascii="Times" w:hAnsi="Times"/>
                <w:sz w:val="20"/>
                <w:szCs w:val="20"/>
              </w:rPr>
            </w:pPr>
            <w:r w:rsidRPr="004D52B7">
              <w:rPr>
                <w:rFonts w:ascii="Times" w:hAnsi="Times"/>
                <w:sz w:val="20"/>
                <w:szCs w:val="20"/>
              </w:rPr>
              <w:t>7.1</w:t>
            </w:r>
          </w:p>
        </w:tc>
        <w:tc>
          <w:tcPr>
            <w:tcW w:w="1170" w:type="dxa"/>
            <w:tcBorders>
              <w:left w:val="nil"/>
            </w:tcBorders>
            <w:vAlign w:val="center"/>
          </w:tcPr>
          <w:p w14:paraId="3F1E6450" w14:textId="77777777" w:rsidR="005B2959" w:rsidRPr="004D52B7" w:rsidRDefault="005B2959" w:rsidP="00CE4B72">
            <w:pPr>
              <w:jc w:val="center"/>
              <w:rPr>
                <w:rFonts w:ascii="Times" w:hAnsi="Times"/>
                <w:sz w:val="20"/>
                <w:szCs w:val="20"/>
              </w:rPr>
            </w:pPr>
            <w:r w:rsidRPr="004D52B7">
              <w:rPr>
                <w:rFonts w:ascii="Times" w:hAnsi="Times"/>
                <w:sz w:val="20"/>
                <w:szCs w:val="20"/>
              </w:rPr>
              <w:t>5</w:t>
            </w:r>
          </w:p>
        </w:tc>
        <w:tc>
          <w:tcPr>
            <w:tcW w:w="1170" w:type="dxa"/>
            <w:tcBorders>
              <w:right w:val="nil"/>
            </w:tcBorders>
            <w:noWrap/>
            <w:vAlign w:val="center"/>
            <w:hideMark/>
          </w:tcPr>
          <w:p w14:paraId="0BFB1E18" w14:textId="77777777" w:rsidR="005B2959" w:rsidRPr="004D52B7" w:rsidRDefault="005B2959" w:rsidP="00CE4B72">
            <w:pPr>
              <w:jc w:val="center"/>
              <w:rPr>
                <w:rFonts w:ascii="Times" w:hAnsi="Times"/>
                <w:sz w:val="20"/>
                <w:szCs w:val="20"/>
              </w:rPr>
            </w:pPr>
            <w:r w:rsidRPr="004D52B7">
              <w:rPr>
                <w:rFonts w:ascii="Times" w:hAnsi="Times"/>
                <w:sz w:val="20"/>
                <w:szCs w:val="20"/>
              </w:rPr>
              <w:t>7.9</w:t>
            </w:r>
          </w:p>
        </w:tc>
        <w:tc>
          <w:tcPr>
            <w:tcW w:w="1080" w:type="dxa"/>
            <w:tcBorders>
              <w:left w:val="nil"/>
            </w:tcBorders>
            <w:noWrap/>
            <w:vAlign w:val="center"/>
            <w:hideMark/>
          </w:tcPr>
          <w:p w14:paraId="3BBE27B5" w14:textId="77777777" w:rsidR="005B2959" w:rsidRPr="004D52B7" w:rsidRDefault="005B2959" w:rsidP="00CE4B72">
            <w:pPr>
              <w:jc w:val="center"/>
              <w:rPr>
                <w:rFonts w:ascii="Times" w:hAnsi="Times"/>
                <w:sz w:val="20"/>
                <w:szCs w:val="20"/>
              </w:rPr>
            </w:pPr>
            <w:r w:rsidRPr="004D52B7">
              <w:rPr>
                <w:rFonts w:ascii="Times" w:hAnsi="Times"/>
                <w:sz w:val="20"/>
                <w:szCs w:val="20"/>
              </w:rPr>
              <w:t>9</w:t>
            </w:r>
          </w:p>
        </w:tc>
      </w:tr>
      <w:tr w:rsidR="005B2959" w:rsidRPr="00706615" w14:paraId="13D8A390" w14:textId="77777777" w:rsidTr="00CC23E9">
        <w:trPr>
          <w:trHeight w:val="259"/>
        </w:trPr>
        <w:tc>
          <w:tcPr>
            <w:tcW w:w="2250" w:type="dxa"/>
            <w:noWrap/>
            <w:vAlign w:val="center"/>
            <w:hideMark/>
          </w:tcPr>
          <w:p w14:paraId="4804F770" w14:textId="77777777" w:rsidR="005B2959" w:rsidRPr="004D52B7" w:rsidRDefault="005B2959" w:rsidP="00CE4B72">
            <w:pPr>
              <w:rPr>
                <w:rFonts w:ascii="Times" w:hAnsi="Times"/>
                <w:sz w:val="20"/>
                <w:szCs w:val="20"/>
              </w:rPr>
            </w:pPr>
            <w:r w:rsidRPr="004D52B7">
              <w:rPr>
                <w:rFonts w:ascii="Times" w:hAnsi="Times"/>
                <w:sz w:val="20"/>
                <w:szCs w:val="20"/>
              </w:rPr>
              <w:t>Botswana</w:t>
            </w:r>
          </w:p>
        </w:tc>
        <w:tc>
          <w:tcPr>
            <w:tcW w:w="1800" w:type="dxa"/>
            <w:tcBorders>
              <w:left w:val="single" w:sz="4" w:space="0" w:color="auto"/>
              <w:right w:val="nil"/>
            </w:tcBorders>
            <w:noWrap/>
            <w:vAlign w:val="center"/>
            <w:hideMark/>
          </w:tcPr>
          <w:p w14:paraId="01956A32" w14:textId="77777777" w:rsidR="005B2959" w:rsidRPr="004D52B7" w:rsidRDefault="005B2959" w:rsidP="00CE4B72">
            <w:pPr>
              <w:jc w:val="center"/>
              <w:rPr>
                <w:rFonts w:ascii="Times" w:hAnsi="Times"/>
                <w:sz w:val="20"/>
                <w:szCs w:val="20"/>
              </w:rPr>
            </w:pPr>
            <w:r w:rsidRPr="004D52B7">
              <w:rPr>
                <w:rFonts w:ascii="Times" w:hAnsi="Times"/>
                <w:sz w:val="20"/>
                <w:szCs w:val="20"/>
              </w:rPr>
              <w:t>5.2</w:t>
            </w:r>
          </w:p>
        </w:tc>
        <w:tc>
          <w:tcPr>
            <w:tcW w:w="810" w:type="dxa"/>
            <w:tcBorders>
              <w:left w:val="nil"/>
            </w:tcBorders>
            <w:vAlign w:val="center"/>
          </w:tcPr>
          <w:p w14:paraId="5C179FDB" w14:textId="77777777" w:rsidR="005B2959" w:rsidRPr="004D52B7" w:rsidRDefault="005B2959" w:rsidP="00CE4B72">
            <w:pPr>
              <w:jc w:val="center"/>
              <w:rPr>
                <w:rFonts w:ascii="Times" w:hAnsi="Times"/>
                <w:sz w:val="20"/>
                <w:szCs w:val="20"/>
              </w:rPr>
            </w:pPr>
            <w:r w:rsidRPr="004D52B7">
              <w:rPr>
                <w:rFonts w:ascii="Times" w:hAnsi="Times"/>
                <w:sz w:val="20"/>
                <w:szCs w:val="20"/>
              </w:rPr>
              <w:t>5</w:t>
            </w:r>
          </w:p>
        </w:tc>
        <w:tc>
          <w:tcPr>
            <w:tcW w:w="1080" w:type="dxa"/>
            <w:tcBorders>
              <w:right w:val="nil"/>
            </w:tcBorders>
            <w:noWrap/>
            <w:vAlign w:val="center"/>
            <w:hideMark/>
          </w:tcPr>
          <w:p w14:paraId="115C8E65" w14:textId="77777777" w:rsidR="005B2959" w:rsidRPr="004D52B7" w:rsidRDefault="005B2959" w:rsidP="00CE4B72">
            <w:pPr>
              <w:jc w:val="center"/>
              <w:rPr>
                <w:rFonts w:ascii="Times" w:hAnsi="Times"/>
                <w:sz w:val="20"/>
                <w:szCs w:val="20"/>
              </w:rPr>
            </w:pPr>
            <w:r w:rsidRPr="004D52B7">
              <w:rPr>
                <w:rFonts w:ascii="Times" w:hAnsi="Times"/>
                <w:sz w:val="20"/>
                <w:szCs w:val="20"/>
              </w:rPr>
              <w:t>6.9</w:t>
            </w:r>
          </w:p>
        </w:tc>
        <w:tc>
          <w:tcPr>
            <w:tcW w:w="1170" w:type="dxa"/>
            <w:tcBorders>
              <w:left w:val="nil"/>
            </w:tcBorders>
            <w:vAlign w:val="center"/>
          </w:tcPr>
          <w:p w14:paraId="26CF84F8" w14:textId="77777777" w:rsidR="005B2959" w:rsidRPr="004D52B7" w:rsidRDefault="005B2959" w:rsidP="00CE4B72">
            <w:pPr>
              <w:jc w:val="center"/>
              <w:rPr>
                <w:rFonts w:ascii="Times" w:hAnsi="Times"/>
                <w:sz w:val="20"/>
                <w:szCs w:val="20"/>
              </w:rPr>
            </w:pPr>
            <w:r w:rsidRPr="004D52B7">
              <w:rPr>
                <w:rFonts w:ascii="Times" w:hAnsi="Times"/>
                <w:sz w:val="20"/>
                <w:szCs w:val="20"/>
              </w:rPr>
              <w:t>6</w:t>
            </w:r>
          </w:p>
        </w:tc>
        <w:tc>
          <w:tcPr>
            <w:tcW w:w="1170" w:type="dxa"/>
            <w:tcBorders>
              <w:right w:val="nil"/>
            </w:tcBorders>
            <w:noWrap/>
            <w:vAlign w:val="center"/>
            <w:hideMark/>
          </w:tcPr>
          <w:p w14:paraId="022CF47D" w14:textId="77777777" w:rsidR="005B2959" w:rsidRPr="004D52B7" w:rsidRDefault="005B2959" w:rsidP="00CE4B72">
            <w:pPr>
              <w:jc w:val="center"/>
              <w:rPr>
                <w:rFonts w:ascii="Times" w:hAnsi="Times"/>
                <w:sz w:val="20"/>
                <w:szCs w:val="20"/>
              </w:rPr>
            </w:pPr>
            <w:r w:rsidRPr="004D52B7">
              <w:rPr>
                <w:rFonts w:ascii="Times" w:hAnsi="Times"/>
                <w:sz w:val="20"/>
                <w:szCs w:val="20"/>
              </w:rPr>
              <w:t>7.6</w:t>
            </w:r>
          </w:p>
        </w:tc>
        <w:tc>
          <w:tcPr>
            <w:tcW w:w="1080" w:type="dxa"/>
            <w:tcBorders>
              <w:left w:val="nil"/>
            </w:tcBorders>
            <w:noWrap/>
            <w:vAlign w:val="center"/>
            <w:hideMark/>
          </w:tcPr>
          <w:p w14:paraId="11AC2373" w14:textId="77777777" w:rsidR="005B2959" w:rsidRPr="004D52B7" w:rsidRDefault="005B2959" w:rsidP="00CE4B72">
            <w:pPr>
              <w:jc w:val="center"/>
              <w:rPr>
                <w:rFonts w:ascii="Times" w:hAnsi="Times"/>
                <w:sz w:val="20"/>
                <w:szCs w:val="20"/>
              </w:rPr>
            </w:pPr>
            <w:r w:rsidRPr="004D52B7">
              <w:rPr>
                <w:rFonts w:ascii="Times" w:hAnsi="Times"/>
                <w:sz w:val="20"/>
                <w:szCs w:val="20"/>
              </w:rPr>
              <w:t>13</w:t>
            </w:r>
          </w:p>
        </w:tc>
      </w:tr>
      <w:tr w:rsidR="005B2959" w:rsidRPr="00706615" w14:paraId="77E739F9" w14:textId="77777777" w:rsidTr="00CC23E9">
        <w:trPr>
          <w:trHeight w:val="259"/>
        </w:trPr>
        <w:tc>
          <w:tcPr>
            <w:tcW w:w="2250" w:type="dxa"/>
            <w:noWrap/>
            <w:vAlign w:val="center"/>
            <w:hideMark/>
          </w:tcPr>
          <w:p w14:paraId="790778F1" w14:textId="77777777" w:rsidR="005B2959" w:rsidRPr="004D52B7" w:rsidRDefault="005B2959" w:rsidP="00CE4B72">
            <w:pPr>
              <w:rPr>
                <w:rFonts w:ascii="Times" w:hAnsi="Times"/>
                <w:sz w:val="20"/>
                <w:szCs w:val="20"/>
              </w:rPr>
            </w:pPr>
            <w:r w:rsidRPr="004D52B7">
              <w:rPr>
                <w:rFonts w:ascii="Times" w:hAnsi="Times"/>
                <w:sz w:val="20"/>
                <w:szCs w:val="20"/>
              </w:rPr>
              <w:t>South Africa</w:t>
            </w:r>
          </w:p>
        </w:tc>
        <w:tc>
          <w:tcPr>
            <w:tcW w:w="1800" w:type="dxa"/>
            <w:tcBorders>
              <w:left w:val="single" w:sz="4" w:space="0" w:color="auto"/>
              <w:right w:val="nil"/>
            </w:tcBorders>
            <w:noWrap/>
            <w:vAlign w:val="center"/>
            <w:hideMark/>
          </w:tcPr>
          <w:p w14:paraId="2EB7A725" w14:textId="77777777" w:rsidR="005B2959" w:rsidRPr="004D52B7" w:rsidRDefault="005B2959" w:rsidP="00CE4B72">
            <w:pPr>
              <w:jc w:val="center"/>
              <w:rPr>
                <w:rFonts w:ascii="Times" w:hAnsi="Times"/>
                <w:sz w:val="20"/>
                <w:szCs w:val="20"/>
              </w:rPr>
            </w:pPr>
            <w:r w:rsidRPr="004D52B7">
              <w:rPr>
                <w:rFonts w:ascii="Times" w:hAnsi="Times"/>
                <w:sz w:val="20"/>
                <w:szCs w:val="20"/>
              </w:rPr>
              <w:t>4.0</w:t>
            </w:r>
          </w:p>
        </w:tc>
        <w:tc>
          <w:tcPr>
            <w:tcW w:w="810" w:type="dxa"/>
            <w:tcBorders>
              <w:left w:val="nil"/>
            </w:tcBorders>
            <w:vAlign w:val="center"/>
          </w:tcPr>
          <w:p w14:paraId="5693F801" w14:textId="77777777" w:rsidR="005B2959" w:rsidRPr="004D52B7" w:rsidRDefault="005B2959" w:rsidP="00CE4B72">
            <w:pPr>
              <w:jc w:val="center"/>
              <w:rPr>
                <w:rFonts w:ascii="Times" w:hAnsi="Times"/>
                <w:sz w:val="20"/>
                <w:szCs w:val="20"/>
              </w:rPr>
            </w:pPr>
            <w:r w:rsidRPr="004D52B7">
              <w:rPr>
                <w:rFonts w:ascii="Times" w:hAnsi="Times"/>
                <w:sz w:val="20"/>
                <w:szCs w:val="20"/>
              </w:rPr>
              <w:t>15</w:t>
            </w:r>
          </w:p>
        </w:tc>
        <w:tc>
          <w:tcPr>
            <w:tcW w:w="1080" w:type="dxa"/>
            <w:tcBorders>
              <w:right w:val="nil"/>
            </w:tcBorders>
            <w:noWrap/>
            <w:vAlign w:val="center"/>
            <w:hideMark/>
          </w:tcPr>
          <w:p w14:paraId="059E15BC" w14:textId="77777777" w:rsidR="005B2959" w:rsidRPr="004D52B7" w:rsidRDefault="005B2959" w:rsidP="00CE4B72">
            <w:pPr>
              <w:jc w:val="center"/>
              <w:rPr>
                <w:rFonts w:ascii="Times" w:hAnsi="Times"/>
                <w:sz w:val="20"/>
                <w:szCs w:val="20"/>
              </w:rPr>
            </w:pPr>
            <w:r w:rsidRPr="004D52B7">
              <w:rPr>
                <w:rFonts w:ascii="Times" w:hAnsi="Times"/>
                <w:sz w:val="20"/>
                <w:szCs w:val="20"/>
              </w:rPr>
              <w:t>6.4</w:t>
            </w:r>
          </w:p>
        </w:tc>
        <w:tc>
          <w:tcPr>
            <w:tcW w:w="1170" w:type="dxa"/>
            <w:tcBorders>
              <w:left w:val="nil"/>
            </w:tcBorders>
            <w:vAlign w:val="center"/>
          </w:tcPr>
          <w:p w14:paraId="1CB478D5" w14:textId="77777777" w:rsidR="005B2959" w:rsidRPr="004D52B7" w:rsidRDefault="005B2959" w:rsidP="00CE4B72">
            <w:pPr>
              <w:jc w:val="center"/>
              <w:rPr>
                <w:rFonts w:ascii="Times" w:hAnsi="Times"/>
                <w:sz w:val="20"/>
                <w:szCs w:val="20"/>
              </w:rPr>
            </w:pPr>
            <w:r w:rsidRPr="004D52B7">
              <w:rPr>
                <w:rFonts w:ascii="Times" w:hAnsi="Times"/>
                <w:sz w:val="20"/>
                <w:szCs w:val="20"/>
              </w:rPr>
              <w:t>11</w:t>
            </w:r>
          </w:p>
        </w:tc>
        <w:tc>
          <w:tcPr>
            <w:tcW w:w="1170" w:type="dxa"/>
            <w:tcBorders>
              <w:right w:val="nil"/>
            </w:tcBorders>
            <w:noWrap/>
            <w:vAlign w:val="center"/>
            <w:hideMark/>
          </w:tcPr>
          <w:p w14:paraId="528C4B4F" w14:textId="77777777" w:rsidR="005B2959" w:rsidRPr="004D52B7" w:rsidRDefault="005B2959" w:rsidP="00CE4B72">
            <w:pPr>
              <w:jc w:val="center"/>
              <w:rPr>
                <w:rFonts w:ascii="Times" w:hAnsi="Times"/>
                <w:sz w:val="20"/>
                <w:szCs w:val="20"/>
              </w:rPr>
            </w:pPr>
            <w:r w:rsidRPr="004D52B7">
              <w:rPr>
                <w:rFonts w:ascii="Times" w:hAnsi="Times"/>
                <w:sz w:val="20"/>
                <w:szCs w:val="20"/>
              </w:rPr>
              <w:t>7.3</w:t>
            </w:r>
          </w:p>
        </w:tc>
        <w:tc>
          <w:tcPr>
            <w:tcW w:w="1080" w:type="dxa"/>
            <w:tcBorders>
              <w:left w:val="nil"/>
            </w:tcBorders>
            <w:noWrap/>
            <w:vAlign w:val="center"/>
            <w:hideMark/>
          </w:tcPr>
          <w:p w14:paraId="6B31FDEC" w14:textId="77777777" w:rsidR="005B2959" w:rsidRPr="004D52B7" w:rsidRDefault="005B2959" w:rsidP="00CE4B72">
            <w:pPr>
              <w:jc w:val="center"/>
              <w:rPr>
                <w:rFonts w:ascii="Times" w:hAnsi="Times"/>
                <w:sz w:val="20"/>
                <w:szCs w:val="20"/>
              </w:rPr>
            </w:pPr>
            <w:r w:rsidRPr="004D52B7">
              <w:rPr>
                <w:rFonts w:ascii="Times" w:hAnsi="Times"/>
                <w:sz w:val="20"/>
                <w:szCs w:val="20"/>
              </w:rPr>
              <w:t>15</w:t>
            </w:r>
          </w:p>
        </w:tc>
      </w:tr>
      <w:tr w:rsidR="005B2959" w:rsidRPr="00706615" w14:paraId="169BF33F" w14:textId="77777777" w:rsidTr="00CC23E9">
        <w:trPr>
          <w:trHeight w:val="259"/>
        </w:trPr>
        <w:tc>
          <w:tcPr>
            <w:tcW w:w="2250" w:type="dxa"/>
            <w:noWrap/>
            <w:vAlign w:val="center"/>
            <w:hideMark/>
          </w:tcPr>
          <w:p w14:paraId="7CA7ED61" w14:textId="77777777" w:rsidR="005B2959" w:rsidRPr="004D52B7" w:rsidRDefault="005B2959" w:rsidP="00CE4B72">
            <w:pPr>
              <w:rPr>
                <w:rFonts w:ascii="Times" w:hAnsi="Times"/>
                <w:sz w:val="20"/>
                <w:szCs w:val="20"/>
              </w:rPr>
            </w:pPr>
            <w:r w:rsidRPr="004D52B7">
              <w:rPr>
                <w:rFonts w:ascii="Times" w:hAnsi="Times"/>
                <w:sz w:val="20"/>
                <w:szCs w:val="20"/>
              </w:rPr>
              <w:t>Zambia</w:t>
            </w:r>
          </w:p>
        </w:tc>
        <w:tc>
          <w:tcPr>
            <w:tcW w:w="1800" w:type="dxa"/>
            <w:tcBorders>
              <w:left w:val="single" w:sz="4" w:space="0" w:color="auto"/>
              <w:right w:val="nil"/>
            </w:tcBorders>
            <w:noWrap/>
            <w:vAlign w:val="center"/>
            <w:hideMark/>
          </w:tcPr>
          <w:p w14:paraId="514AA00B" w14:textId="77777777" w:rsidR="005B2959" w:rsidRPr="004D52B7" w:rsidRDefault="005B2959" w:rsidP="00CE4B72">
            <w:pPr>
              <w:jc w:val="center"/>
              <w:rPr>
                <w:rFonts w:ascii="Times" w:hAnsi="Times"/>
                <w:sz w:val="20"/>
                <w:szCs w:val="20"/>
              </w:rPr>
            </w:pPr>
            <w:r w:rsidRPr="004D52B7">
              <w:rPr>
                <w:rFonts w:ascii="Times" w:hAnsi="Times"/>
                <w:sz w:val="20"/>
                <w:szCs w:val="20"/>
              </w:rPr>
              <w:t>4.8</w:t>
            </w:r>
          </w:p>
        </w:tc>
        <w:tc>
          <w:tcPr>
            <w:tcW w:w="810" w:type="dxa"/>
            <w:tcBorders>
              <w:left w:val="nil"/>
            </w:tcBorders>
            <w:vAlign w:val="center"/>
          </w:tcPr>
          <w:p w14:paraId="36EA9EF0" w14:textId="77777777" w:rsidR="005B2959" w:rsidRPr="004D52B7" w:rsidRDefault="005B2959" w:rsidP="00CE4B72">
            <w:pPr>
              <w:jc w:val="center"/>
              <w:rPr>
                <w:rFonts w:ascii="Times" w:hAnsi="Times"/>
                <w:sz w:val="20"/>
                <w:szCs w:val="20"/>
              </w:rPr>
            </w:pPr>
            <w:r w:rsidRPr="004D52B7">
              <w:rPr>
                <w:rFonts w:ascii="Times" w:hAnsi="Times"/>
                <w:sz w:val="20"/>
                <w:szCs w:val="20"/>
              </w:rPr>
              <w:t>9</w:t>
            </w:r>
          </w:p>
        </w:tc>
        <w:tc>
          <w:tcPr>
            <w:tcW w:w="1080" w:type="dxa"/>
            <w:tcBorders>
              <w:right w:val="nil"/>
            </w:tcBorders>
            <w:noWrap/>
            <w:vAlign w:val="center"/>
            <w:hideMark/>
          </w:tcPr>
          <w:p w14:paraId="61E027F7" w14:textId="77777777" w:rsidR="005B2959" w:rsidRPr="004D52B7" w:rsidRDefault="005B2959" w:rsidP="00CE4B72">
            <w:pPr>
              <w:jc w:val="center"/>
              <w:rPr>
                <w:rFonts w:ascii="Times" w:hAnsi="Times"/>
                <w:sz w:val="20"/>
                <w:szCs w:val="20"/>
              </w:rPr>
            </w:pPr>
            <w:r w:rsidRPr="004D52B7">
              <w:rPr>
                <w:rFonts w:ascii="Times" w:hAnsi="Times"/>
                <w:sz w:val="20"/>
                <w:szCs w:val="20"/>
              </w:rPr>
              <w:t>6.4</w:t>
            </w:r>
          </w:p>
        </w:tc>
        <w:tc>
          <w:tcPr>
            <w:tcW w:w="1170" w:type="dxa"/>
            <w:tcBorders>
              <w:left w:val="nil"/>
            </w:tcBorders>
            <w:vAlign w:val="center"/>
          </w:tcPr>
          <w:p w14:paraId="6F6A1335" w14:textId="77777777" w:rsidR="005B2959" w:rsidRPr="004D52B7" w:rsidRDefault="005B2959" w:rsidP="00CE4B72">
            <w:pPr>
              <w:jc w:val="center"/>
              <w:rPr>
                <w:rFonts w:ascii="Times" w:hAnsi="Times"/>
                <w:sz w:val="20"/>
                <w:szCs w:val="20"/>
              </w:rPr>
            </w:pPr>
            <w:r w:rsidRPr="004D52B7">
              <w:rPr>
                <w:rFonts w:ascii="Times" w:hAnsi="Times"/>
                <w:sz w:val="20"/>
                <w:szCs w:val="20"/>
              </w:rPr>
              <w:t>12</w:t>
            </w:r>
          </w:p>
        </w:tc>
        <w:tc>
          <w:tcPr>
            <w:tcW w:w="1170" w:type="dxa"/>
            <w:tcBorders>
              <w:right w:val="nil"/>
            </w:tcBorders>
            <w:noWrap/>
            <w:vAlign w:val="center"/>
            <w:hideMark/>
          </w:tcPr>
          <w:p w14:paraId="536FC859" w14:textId="77777777" w:rsidR="005B2959" w:rsidRPr="004D52B7" w:rsidRDefault="005B2959" w:rsidP="00CE4B72">
            <w:pPr>
              <w:jc w:val="center"/>
              <w:rPr>
                <w:rFonts w:ascii="Times" w:hAnsi="Times"/>
                <w:sz w:val="20"/>
                <w:szCs w:val="20"/>
              </w:rPr>
            </w:pPr>
            <w:r w:rsidRPr="004D52B7">
              <w:rPr>
                <w:rFonts w:ascii="Times" w:hAnsi="Times"/>
                <w:sz w:val="20"/>
                <w:szCs w:val="20"/>
              </w:rPr>
              <w:t>7.0</w:t>
            </w:r>
          </w:p>
        </w:tc>
        <w:tc>
          <w:tcPr>
            <w:tcW w:w="1080" w:type="dxa"/>
            <w:tcBorders>
              <w:left w:val="nil"/>
            </w:tcBorders>
            <w:noWrap/>
            <w:vAlign w:val="center"/>
            <w:hideMark/>
          </w:tcPr>
          <w:p w14:paraId="0265CDFC" w14:textId="77777777" w:rsidR="005B2959" w:rsidRPr="004D52B7" w:rsidRDefault="005B2959" w:rsidP="00CE4B72">
            <w:pPr>
              <w:jc w:val="center"/>
              <w:rPr>
                <w:rFonts w:ascii="Times" w:hAnsi="Times"/>
                <w:sz w:val="20"/>
                <w:szCs w:val="20"/>
              </w:rPr>
            </w:pPr>
            <w:r w:rsidRPr="004D52B7">
              <w:rPr>
                <w:rFonts w:ascii="Times" w:hAnsi="Times"/>
                <w:sz w:val="20"/>
                <w:szCs w:val="20"/>
              </w:rPr>
              <w:t>17</w:t>
            </w:r>
          </w:p>
        </w:tc>
      </w:tr>
      <w:tr w:rsidR="005B2959" w:rsidRPr="00706615" w14:paraId="653BEB32" w14:textId="77777777" w:rsidTr="00CC23E9">
        <w:trPr>
          <w:trHeight w:val="259"/>
        </w:trPr>
        <w:tc>
          <w:tcPr>
            <w:tcW w:w="2250" w:type="dxa"/>
            <w:noWrap/>
            <w:vAlign w:val="center"/>
            <w:hideMark/>
          </w:tcPr>
          <w:p w14:paraId="77CF824A" w14:textId="77777777" w:rsidR="005B2959" w:rsidRPr="004D52B7" w:rsidRDefault="005B2959" w:rsidP="00CE4B72">
            <w:pPr>
              <w:rPr>
                <w:rFonts w:ascii="Times" w:hAnsi="Times"/>
                <w:sz w:val="20"/>
                <w:szCs w:val="20"/>
              </w:rPr>
            </w:pPr>
            <w:r w:rsidRPr="004D52B7">
              <w:rPr>
                <w:rFonts w:ascii="Times" w:hAnsi="Times"/>
                <w:sz w:val="20"/>
                <w:szCs w:val="20"/>
              </w:rPr>
              <w:t>Kenya</w:t>
            </w:r>
          </w:p>
        </w:tc>
        <w:tc>
          <w:tcPr>
            <w:tcW w:w="1800" w:type="dxa"/>
            <w:tcBorders>
              <w:left w:val="single" w:sz="4" w:space="0" w:color="auto"/>
              <w:right w:val="nil"/>
            </w:tcBorders>
            <w:noWrap/>
            <w:vAlign w:val="center"/>
            <w:hideMark/>
          </w:tcPr>
          <w:p w14:paraId="6EC64FE2" w14:textId="77777777" w:rsidR="005B2959" w:rsidRPr="004D52B7" w:rsidRDefault="005B2959" w:rsidP="00CE4B72">
            <w:pPr>
              <w:jc w:val="center"/>
              <w:rPr>
                <w:rFonts w:ascii="Times" w:hAnsi="Times"/>
                <w:sz w:val="20"/>
                <w:szCs w:val="20"/>
              </w:rPr>
            </w:pPr>
            <w:r w:rsidRPr="004D52B7">
              <w:rPr>
                <w:rFonts w:ascii="Times" w:hAnsi="Times"/>
                <w:sz w:val="20"/>
                <w:szCs w:val="20"/>
              </w:rPr>
              <w:t>4.9</w:t>
            </w:r>
          </w:p>
        </w:tc>
        <w:tc>
          <w:tcPr>
            <w:tcW w:w="810" w:type="dxa"/>
            <w:tcBorders>
              <w:left w:val="nil"/>
            </w:tcBorders>
            <w:vAlign w:val="center"/>
          </w:tcPr>
          <w:p w14:paraId="48F38CCF" w14:textId="77777777" w:rsidR="005B2959" w:rsidRPr="004D52B7" w:rsidRDefault="005B2959" w:rsidP="00CE4B72">
            <w:pPr>
              <w:jc w:val="center"/>
              <w:rPr>
                <w:rFonts w:ascii="Times" w:hAnsi="Times"/>
                <w:sz w:val="20"/>
                <w:szCs w:val="20"/>
              </w:rPr>
            </w:pPr>
            <w:r w:rsidRPr="004D52B7">
              <w:rPr>
                <w:rFonts w:ascii="Times" w:hAnsi="Times"/>
                <w:sz w:val="20"/>
                <w:szCs w:val="20"/>
              </w:rPr>
              <w:t>8</w:t>
            </w:r>
          </w:p>
        </w:tc>
        <w:tc>
          <w:tcPr>
            <w:tcW w:w="1080" w:type="dxa"/>
            <w:tcBorders>
              <w:right w:val="nil"/>
            </w:tcBorders>
            <w:noWrap/>
            <w:vAlign w:val="center"/>
            <w:hideMark/>
          </w:tcPr>
          <w:p w14:paraId="426DB6D8" w14:textId="77777777" w:rsidR="005B2959" w:rsidRPr="004D52B7" w:rsidRDefault="005B2959" w:rsidP="00CE4B72">
            <w:pPr>
              <w:jc w:val="center"/>
              <w:rPr>
                <w:rFonts w:ascii="Times" w:hAnsi="Times"/>
                <w:sz w:val="20"/>
                <w:szCs w:val="20"/>
              </w:rPr>
            </w:pPr>
            <w:r w:rsidRPr="004D52B7">
              <w:rPr>
                <w:rFonts w:ascii="Times" w:hAnsi="Times"/>
                <w:sz w:val="20"/>
                <w:szCs w:val="20"/>
              </w:rPr>
              <w:t>6.2</w:t>
            </w:r>
          </w:p>
        </w:tc>
        <w:tc>
          <w:tcPr>
            <w:tcW w:w="1170" w:type="dxa"/>
            <w:tcBorders>
              <w:left w:val="nil"/>
            </w:tcBorders>
            <w:vAlign w:val="center"/>
          </w:tcPr>
          <w:p w14:paraId="060C478D" w14:textId="77777777" w:rsidR="005B2959" w:rsidRPr="004D52B7" w:rsidRDefault="005B2959" w:rsidP="00CE4B72">
            <w:pPr>
              <w:jc w:val="center"/>
              <w:rPr>
                <w:rFonts w:ascii="Times" w:hAnsi="Times"/>
                <w:sz w:val="20"/>
                <w:szCs w:val="20"/>
              </w:rPr>
            </w:pPr>
            <w:r w:rsidRPr="004D52B7">
              <w:rPr>
                <w:rFonts w:ascii="Times" w:hAnsi="Times"/>
                <w:sz w:val="20"/>
                <w:szCs w:val="20"/>
              </w:rPr>
              <w:t>13</w:t>
            </w:r>
          </w:p>
        </w:tc>
        <w:tc>
          <w:tcPr>
            <w:tcW w:w="1170" w:type="dxa"/>
            <w:tcBorders>
              <w:right w:val="nil"/>
            </w:tcBorders>
            <w:noWrap/>
            <w:vAlign w:val="center"/>
            <w:hideMark/>
          </w:tcPr>
          <w:p w14:paraId="20219FDA" w14:textId="77777777" w:rsidR="005B2959" w:rsidRPr="004D52B7" w:rsidRDefault="005B2959" w:rsidP="00CE4B72">
            <w:pPr>
              <w:jc w:val="center"/>
              <w:rPr>
                <w:rFonts w:ascii="Times" w:hAnsi="Times"/>
                <w:sz w:val="20"/>
                <w:szCs w:val="20"/>
              </w:rPr>
            </w:pPr>
            <w:r w:rsidRPr="004D52B7">
              <w:rPr>
                <w:rFonts w:ascii="Times" w:hAnsi="Times"/>
                <w:sz w:val="20"/>
                <w:szCs w:val="20"/>
              </w:rPr>
              <w:t>6.9</w:t>
            </w:r>
          </w:p>
        </w:tc>
        <w:tc>
          <w:tcPr>
            <w:tcW w:w="1080" w:type="dxa"/>
            <w:tcBorders>
              <w:left w:val="nil"/>
            </w:tcBorders>
            <w:noWrap/>
            <w:vAlign w:val="center"/>
            <w:hideMark/>
          </w:tcPr>
          <w:p w14:paraId="44FE2771" w14:textId="77777777" w:rsidR="005B2959" w:rsidRPr="004D52B7" w:rsidRDefault="005B2959" w:rsidP="00CE4B72">
            <w:pPr>
              <w:jc w:val="center"/>
              <w:rPr>
                <w:rFonts w:ascii="Times" w:hAnsi="Times"/>
                <w:sz w:val="20"/>
                <w:szCs w:val="20"/>
              </w:rPr>
            </w:pPr>
            <w:r w:rsidRPr="004D52B7">
              <w:rPr>
                <w:rFonts w:ascii="Times" w:hAnsi="Times"/>
                <w:sz w:val="20"/>
                <w:szCs w:val="20"/>
              </w:rPr>
              <w:t>18</w:t>
            </w:r>
          </w:p>
        </w:tc>
      </w:tr>
      <w:tr w:rsidR="005B2959" w:rsidRPr="00706615" w14:paraId="0AB64624" w14:textId="77777777" w:rsidTr="00CC23E9">
        <w:trPr>
          <w:trHeight w:val="259"/>
        </w:trPr>
        <w:tc>
          <w:tcPr>
            <w:tcW w:w="2250" w:type="dxa"/>
            <w:noWrap/>
            <w:vAlign w:val="center"/>
            <w:hideMark/>
          </w:tcPr>
          <w:p w14:paraId="46BAD280" w14:textId="77777777" w:rsidR="005B2959" w:rsidRPr="004D52B7" w:rsidRDefault="005B2959" w:rsidP="00CE4B72">
            <w:pPr>
              <w:rPr>
                <w:rFonts w:ascii="Times" w:hAnsi="Times"/>
                <w:sz w:val="20"/>
                <w:szCs w:val="20"/>
              </w:rPr>
            </w:pPr>
            <w:r w:rsidRPr="004D52B7">
              <w:rPr>
                <w:rFonts w:ascii="Times" w:hAnsi="Times"/>
                <w:sz w:val="20"/>
                <w:szCs w:val="20"/>
              </w:rPr>
              <w:t>Burundi</w:t>
            </w:r>
          </w:p>
        </w:tc>
        <w:tc>
          <w:tcPr>
            <w:tcW w:w="1800" w:type="dxa"/>
            <w:tcBorders>
              <w:left w:val="single" w:sz="4" w:space="0" w:color="auto"/>
              <w:right w:val="nil"/>
            </w:tcBorders>
            <w:noWrap/>
            <w:vAlign w:val="center"/>
            <w:hideMark/>
          </w:tcPr>
          <w:p w14:paraId="082A6394" w14:textId="77777777" w:rsidR="005B2959" w:rsidRPr="004D52B7" w:rsidRDefault="005B2959" w:rsidP="00CE4B72">
            <w:pPr>
              <w:jc w:val="center"/>
              <w:rPr>
                <w:rFonts w:ascii="Times" w:hAnsi="Times"/>
                <w:sz w:val="20"/>
                <w:szCs w:val="20"/>
              </w:rPr>
            </w:pPr>
            <w:r w:rsidRPr="004D52B7">
              <w:rPr>
                <w:rFonts w:ascii="Times" w:hAnsi="Times"/>
                <w:sz w:val="20"/>
                <w:szCs w:val="20"/>
              </w:rPr>
              <w:t>3.6</w:t>
            </w:r>
          </w:p>
        </w:tc>
        <w:tc>
          <w:tcPr>
            <w:tcW w:w="810" w:type="dxa"/>
            <w:tcBorders>
              <w:left w:val="nil"/>
            </w:tcBorders>
            <w:vAlign w:val="center"/>
          </w:tcPr>
          <w:p w14:paraId="5D3AC788" w14:textId="77777777" w:rsidR="005B2959" w:rsidRPr="004D52B7" w:rsidRDefault="005B2959" w:rsidP="00CE4B72">
            <w:pPr>
              <w:jc w:val="center"/>
              <w:rPr>
                <w:rFonts w:ascii="Times" w:hAnsi="Times"/>
                <w:sz w:val="20"/>
                <w:szCs w:val="20"/>
              </w:rPr>
            </w:pPr>
            <w:r w:rsidRPr="004D52B7">
              <w:rPr>
                <w:rFonts w:ascii="Times" w:hAnsi="Times"/>
                <w:sz w:val="20"/>
                <w:szCs w:val="20"/>
              </w:rPr>
              <w:t>17</w:t>
            </w:r>
          </w:p>
        </w:tc>
        <w:tc>
          <w:tcPr>
            <w:tcW w:w="1080" w:type="dxa"/>
            <w:tcBorders>
              <w:right w:val="nil"/>
            </w:tcBorders>
            <w:noWrap/>
            <w:vAlign w:val="center"/>
            <w:hideMark/>
          </w:tcPr>
          <w:p w14:paraId="33059109" w14:textId="77777777" w:rsidR="005B2959" w:rsidRPr="004D52B7" w:rsidRDefault="005B2959" w:rsidP="00CE4B72">
            <w:pPr>
              <w:jc w:val="center"/>
              <w:rPr>
                <w:rFonts w:ascii="Times" w:hAnsi="Times"/>
                <w:sz w:val="20"/>
                <w:szCs w:val="20"/>
              </w:rPr>
            </w:pPr>
            <w:r w:rsidRPr="004D52B7">
              <w:rPr>
                <w:rFonts w:ascii="Times" w:hAnsi="Times"/>
                <w:sz w:val="20"/>
                <w:szCs w:val="20"/>
              </w:rPr>
              <w:t>5.7</w:t>
            </w:r>
          </w:p>
        </w:tc>
        <w:tc>
          <w:tcPr>
            <w:tcW w:w="1170" w:type="dxa"/>
            <w:tcBorders>
              <w:left w:val="nil"/>
            </w:tcBorders>
            <w:vAlign w:val="center"/>
          </w:tcPr>
          <w:p w14:paraId="7799DDEF" w14:textId="77777777" w:rsidR="005B2959" w:rsidRPr="004D52B7" w:rsidRDefault="005B2959" w:rsidP="00CE4B72">
            <w:pPr>
              <w:jc w:val="center"/>
              <w:rPr>
                <w:rFonts w:ascii="Times" w:hAnsi="Times"/>
                <w:sz w:val="20"/>
                <w:szCs w:val="20"/>
              </w:rPr>
            </w:pPr>
            <w:r w:rsidRPr="004D52B7">
              <w:rPr>
                <w:rFonts w:ascii="Times" w:hAnsi="Times"/>
                <w:sz w:val="20"/>
                <w:szCs w:val="20"/>
              </w:rPr>
              <w:t>15</w:t>
            </w:r>
          </w:p>
        </w:tc>
        <w:tc>
          <w:tcPr>
            <w:tcW w:w="1170" w:type="dxa"/>
            <w:tcBorders>
              <w:right w:val="nil"/>
            </w:tcBorders>
            <w:noWrap/>
            <w:vAlign w:val="center"/>
            <w:hideMark/>
          </w:tcPr>
          <w:p w14:paraId="64E40798" w14:textId="77777777" w:rsidR="005B2959" w:rsidRPr="004D52B7" w:rsidRDefault="005B2959" w:rsidP="00CE4B72">
            <w:pPr>
              <w:jc w:val="center"/>
              <w:rPr>
                <w:rFonts w:ascii="Times" w:hAnsi="Times"/>
                <w:sz w:val="20"/>
                <w:szCs w:val="20"/>
              </w:rPr>
            </w:pPr>
            <w:r w:rsidRPr="004D52B7">
              <w:rPr>
                <w:rFonts w:ascii="Times" w:hAnsi="Times"/>
                <w:sz w:val="20"/>
                <w:szCs w:val="20"/>
              </w:rPr>
              <w:t>6.3</w:t>
            </w:r>
          </w:p>
        </w:tc>
        <w:tc>
          <w:tcPr>
            <w:tcW w:w="1080" w:type="dxa"/>
            <w:tcBorders>
              <w:left w:val="nil"/>
            </w:tcBorders>
            <w:noWrap/>
            <w:vAlign w:val="center"/>
            <w:hideMark/>
          </w:tcPr>
          <w:p w14:paraId="1B04301B" w14:textId="77777777" w:rsidR="005B2959" w:rsidRPr="004D52B7" w:rsidRDefault="005B2959" w:rsidP="00CE4B72">
            <w:pPr>
              <w:jc w:val="center"/>
              <w:rPr>
                <w:rFonts w:ascii="Times" w:hAnsi="Times"/>
                <w:sz w:val="20"/>
                <w:szCs w:val="20"/>
              </w:rPr>
            </w:pPr>
            <w:r w:rsidRPr="004D52B7">
              <w:rPr>
                <w:rFonts w:ascii="Times" w:hAnsi="Times"/>
                <w:sz w:val="20"/>
                <w:szCs w:val="20"/>
              </w:rPr>
              <w:t>19</w:t>
            </w:r>
          </w:p>
        </w:tc>
      </w:tr>
      <w:tr w:rsidR="005B2959" w:rsidRPr="00706615" w14:paraId="1ED95711" w14:textId="77777777" w:rsidTr="00CC23E9">
        <w:trPr>
          <w:trHeight w:val="259"/>
        </w:trPr>
        <w:tc>
          <w:tcPr>
            <w:tcW w:w="2250" w:type="dxa"/>
            <w:noWrap/>
            <w:vAlign w:val="center"/>
            <w:hideMark/>
          </w:tcPr>
          <w:p w14:paraId="0DAD8DC0" w14:textId="77777777" w:rsidR="005B2959" w:rsidRPr="004D52B7" w:rsidRDefault="005B2959" w:rsidP="00CE4B72">
            <w:pPr>
              <w:rPr>
                <w:rFonts w:ascii="Times" w:hAnsi="Times"/>
                <w:sz w:val="20"/>
                <w:szCs w:val="20"/>
              </w:rPr>
            </w:pPr>
            <w:r w:rsidRPr="004D52B7">
              <w:rPr>
                <w:rFonts w:ascii="Times" w:hAnsi="Times"/>
                <w:sz w:val="20"/>
                <w:szCs w:val="20"/>
              </w:rPr>
              <w:t>Togo</w:t>
            </w:r>
          </w:p>
        </w:tc>
        <w:tc>
          <w:tcPr>
            <w:tcW w:w="1800" w:type="dxa"/>
            <w:tcBorders>
              <w:left w:val="single" w:sz="4" w:space="0" w:color="auto"/>
              <w:right w:val="nil"/>
            </w:tcBorders>
            <w:noWrap/>
            <w:vAlign w:val="center"/>
            <w:hideMark/>
          </w:tcPr>
          <w:p w14:paraId="5623BAD7" w14:textId="77777777" w:rsidR="005B2959" w:rsidRPr="004D52B7" w:rsidRDefault="005B2959" w:rsidP="00CE4B72">
            <w:pPr>
              <w:jc w:val="center"/>
              <w:rPr>
                <w:rFonts w:ascii="Times" w:hAnsi="Times"/>
                <w:sz w:val="20"/>
                <w:szCs w:val="20"/>
              </w:rPr>
            </w:pPr>
            <w:r w:rsidRPr="004D52B7">
              <w:rPr>
                <w:rFonts w:ascii="Times" w:hAnsi="Times"/>
                <w:sz w:val="20"/>
                <w:szCs w:val="20"/>
              </w:rPr>
              <w:t>3.2</w:t>
            </w:r>
          </w:p>
        </w:tc>
        <w:tc>
          <w:tcPr>
            <w:tcW w:w="810" w:type="dxa"/>
            <w:tcBorders>
              <w:left w:val="nil"/>
            </w:tcBorders>
            <w:vAlign w:val="center"/>
          </w:tcPr>
          <w:p w14:paraId="33C3BDDF" w14:textId="77777777" w:rsidR="005B2959" w:rsidRPr="004D52B7" w:rsidRDefault="005B2959" w:rsidP="00CE4B72">
            <w:pPr>
              <w:jc w:val="center"/>
              <w:rPr>
                <w:rFonts w:ascii="Times" w:hAnsi="Times"/>
                <w:sz w:val="20"/>
                <w:szCs w:val="20"/>
              </w:rPr>
            </w:pPr>
            <w:r w:rsidRPr="004D52B7">
              <w:rPr>
                <w:rFonts w:ascii="Times" w:hAnsi="Times"/>
                <w:sz w:val="20"/>
                <w:szCs w:val="20"/>
              </w:rPr>
              <w:t>19</w:t>
            </w:r>
          </w:p>
        </w:tc>
        <w:tc>
          <w:tcPr>
            <w:tcW w:w="1080" w:type="dxa"/>
            <w:tcBorders>
              <w:right w:val="nil"/>
            </w:tcBorders>
            <w:noWrap/>
            <w:vAlign w:val="center"/>
            <w:hideMark/>
          </w:tcPr>
          <w:p w14:paraId="7757DFD6" w14:textId="77777777" w:rsidR="005B2959" w:rsidRPr="004D52B7" w:rsidRDefault="005B2959" w:rsidP="00CE4B72">
            <w:pPr>
              <w:jc w:val="center"/>
              <w:rPr>
                <w:rFonts w:ascii="Times" w:hAnsi="Times"/>
                <w:sz w:val="20"/>
                <w:szCs w:val="20"/>
              </w:rPr>
            </w:pPr>
            <w:r w:rsidRPr="004D52B7">
              <w:rPr>
                <w:rFonts w:ascii="Times" w:hAnsi="Times"/>
                <w:sz w:val="20"/>
                <w:szCs w:val="20"/>
              </w:rPr>
              <w:t>4.6</w:t>
            </w:r>
          </w:p>
        </w:tc>
        <w:tc>
          <w:tcPr>
            <w:tcW w:w="1170" w:type="dxa"/>
            <w:tcBorders>
              <w:left w:val="nil"/>
            </w:tcBorders>
            <w:vAlign w:val="center"/>
          </w:tcPr>
          <w:p w14:paraId="01330E0E" w14:textId="77777777" w:rsidR="005B2959" w:rsidRPr="004D52B7" w:rsidRDefault="005B2959" w:rsidP="00CE4B72">
            <w:pPr>
              <w:jc w:val="center"/>
              <w:rPr>
                <w:rFonts w:ascii="Times" w:hAnsi="Times"/>
                <w:sz w:val="20"/>
                <w:szCs w:val="20"/>
              </w:rPr>
            </w:pPr>
            <w:r w:rsidRPr="004D52B7">
              <w:rPr>
                <w:rFonts w:ascii="Times" w:hAnsi="Times"/>
                <w:sz w:val="20"/>
                <w:szCs w:val="20"/>
              </w:rPr>
              <w:t>23</w:t>
            </w:r>
          </w:p>
        </w:tc>
        <w:tc>
          <w:tcPr>
            <w:tcW w:w="1170" w:type="dxa"/>
            <w:tcBorders>
              <w:right w:val="nil"/>
            </w:tcBorders>
            <w:noWrap/>
            <w:vAlign w:val="center"/>
            <w:hideMark/>
          </w:tcPr>
          <w:p w14:paraId="1EAEE590" w14:textId="77777777" w:rsidR="005B2959" w:rsidRPr="004D52B7" w:rsidRDefault="005B2959" w:rsidP="00CE4B72">
            <w:pPr>
              <w:jc w:val="center"/>
              <w:rPr>
                <w:rFonts w:ascii="Times" w:hAnsi="Times"/>
                <w:sz w:val="20"/>
                <w:szCs w:val="20"/>
              </w:rPr>
            </w:pPr>
            <w:r w:rsidRPr="004D52B7">
              <w:rPr>
                <w:rFonts w:ascii="Times" w:hAnsi="Times"/>
                <w:sz w:val="20"/>
                <w:szCs w:val="20"/>
              </w:rPr>
              <w:t>5.2</w:t>
            </w:r>
          </w:p>
        </w:tc>
        <w:tc>
          <w:tcPr>
            <w:tcW w:w="1080" w:type="dxa"/>
            <w:tcBorders>
              <w:left w:val="nil"/>
            </w:tcBorders>
            <w:noWrap/>
            <w:vAlign w:val="center"/>
            <w:hideMark/>
          </w:tcPr>
          <w:p w14:paraId="36A97AD0"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r>
      <w:tr w:rsidR="005B2959" w:rsidRPr="00706615" w14:paraId="489F6D02" w14:textId="77777777" w:rsidTr="00CC23E9">
        <w:trPr>
          <w:trHeight w:val="259"/>
        </w:trPr>
        <w:tc>
          <w:tcPr>
            <w:tcW w:w="2250" w:type="dxa"/>
            <w:noWrap/>
            <w:vAlign w:val="center"/>
            <w:hideMark/>
          </w:tcPr>
          <w:p w14:paraId="12EDECB6" w14:textId="77777777" w:rsidR="005B2959" w:rsidRPr="004D52B7" w:rsidRDefault="005B2959" w:rsidP="00CE4B72">
            <w:pPr>
              <w:rPr>
                <w:rFonts w:ascii="Times" w:hAnsi="Times"/>
                <w:sz w:val="20"/>
                <w:szCs w:val="20"/>
              </w:rPr>
            </w:pPr>
            <w:r w:rsidRPr="004D52B7">
              <w:rPr>
                <w:rFonts w:ascii="Times" w:hAnsi="Times"/>
                <w:sz w:val="20"/>
                <w:szCs w:val="20"/>
              </w:rPr>
              <w:t>Mauritius</w:t>
            </w:r>
          </w:p>
        </w:tc>
        <w:tc>
          <w:tcPr>
            <w:tcW w:w="1800" w:type="dxa"/>
            <w:tcBorders>
              <w:left w:val="single" w:sz="4" w:space="0" w:color="auto"/>
              <w:right w:val="nil"/>
            </w:tcBorders>
            <w:noWrap/>
            <w:vAlign w:val="center"/>
            <w:hideMark/>
          </w:tcPr>
          <w:p w14:paraId="4C9ECB2C" w14:textId="77777777" w:rsidR="005B2959" w:rsidRPr="004D52B7" w:rsidRDefault="005B2959" w:rsidP="00CE4B72">
            <w:pPr>
              <w:jc w:val="center"/>
              <w:rPr>
                <w:rFonts w:ascii="Times" w:hAnsi="Times"/>
                <w:sz w:val="20"/>
                <w:szCs w:val="20"/>
              </w:rPr>
            </w:pPr>
            <w:r w:rsidRPr="004D52B7">
              <w:rPr>
                <w:rFonts w:ascii="Times" w:hAnsi="Times"/>
                <w:sz w:val="20"/>
                <w:szCs w:val="20"/>
              </w:rPr>
              <w:t>2.4</w:t>
            </w:r>
          </w:p>
        </w:tc>
        <w:tc>
          <w:tcPr>
            <w:tcW w:w="810" w:type="dxa"/>
            <w:tcBorders>
              <w:left w:val="nil"/>
            </w:tcBorders>
            <w:vAlign w:val="center"/>
          </w:tcPr>
          <w:p w14:paraId="02E534A6" w14:textId="77777777" w:rsidR="005B2959" w:rsidRPr="004D52B7" w:rsidRDefault="005B2959" w:rsidP="00CE4B72">
            <w:pPr>
              <w:jc w:val="center"/>
              <w:rPr>
                <w:rFonts w:ascii="Times" w:hAnsi="Times"/>
                <w:sz w:val="20"/>
                <w:szCs w:val="20"/>
              </w:rPr>
            </w:pPr>
            <w:r w:rsidRPr="004D52B7">
              <w:rPr>
                <w:rFonts w:ascii="Times" w:hAnsi="Times"/>
                <w:sz w:val="20"/>
                <w:szCs w:val="20"/>
              </w:rPr>
              <w:t>28</w:t>
            </w:r>
          </w:p>
        </w:tc>
        <w:tc>
          <w:tcPr>
            <w:tcW w:w="1080" w:type="dxa"/>
            <w:tcBorders>
              <w:right w:val="nil"/>
            </w:tcBorders>
            <w:noWrap/>
            <w:vAlign w:val="center"/>
            <w:hideMark/>
          </w:tcPr>
          <w:p w14:paraId="2E2179BB" w14:textId="77777777" w:rsidR="005B2959" w:rsidRPr="004D52B7" w:rsidRDefault="005B2959" w:rsidP="00CE4B72">
            <w:pPr>
              <w:jc w:val="center"/>
              <w:rPr>
                <w:rFonts w:ascii="Times" w:hAnsi="Times"/>
                <w:sz w:val="20"/>
                <w:szCs w:val="20"/>
              </w:rPr>
            </w:pPr>
            <w:r w:rsidRPr="004D52B7">
              <w:rPr>
                <w:rFonts w:ascii="Times" w:hAnsi="Times"/>
                <w:sz w:val="20"/>
                <w:szCs w:val="20"/>
              </w:rPr>
              <w:t>5.1</w:t>
            </w:r>
          </w:p>
        </w:tc>
        <w:tc>
          <w:tcPr>
            <w:tcW w:w="1170" w:type="dxa"/>
            <w:tcBorders>
              <w:left w:val="nil"/>
            </w:tcBorders>
            <w:vAlign w:val="center"/>
          </w:tcPr>
          <w:p w14:paraId="5547C1F8" w14:textId="77777777" w:rsidR="005B2959" w:rsidRPr="004D52B7" w:rsidRDefault="005B2959" w:rsidP="00CE4B72">
            <w:pPr>
              <w:jc w:val="center"/>
              <w:rPr>
                <w:rFonts w:ascii="Times" w:hAnsi="Times"/>
                <w:sz w:val="20"/>
                <w:szCs w:val="20"/>
              </w:rPr>
            </w:pPr>
            <w:r w:rsidRPr="004D52B7">
              <w:rPr>
                <w:rFonts w:ascii="Times" w:hAnsi="Times"/>
                <w:sz w:val="20"/>
                <w:szCs w:val="20"/>
              </w:rPr>
              <w:t>20</w:t>
            </w:r>
          </w:p>
        </w:tc>
        <w:tc>
          <w:tcPr>
            <w:tcW w:w="1170" w:type="dxa"/>
            <w:tcBorders>
              <w:right w:val="nil"/>
            </w:tcBorders>
            <w:noWrap/>
            <w:vAlign w:val="center"/>
            <w:hideMark/>
          </w:tcPr>
          <w:p w14:paraId="3CE91911" w14:textId="77777777" w:rsidR="005B2959" w:rsidRPr="004D52B7" w:rsidRDefault="005B2959" w:rsidP="00CE4B72">
            <w:pPr>
              <w:jc w:val="center"/>
              <w:rPr>
                <w:rFonts w:ascii="Times" w:hAnsi="Times"/>
                <w:sz w:val="20"/>
                <w:szCs w:val="20"/>
              </w:rPr>
            </w:pPr>
            <w:r w:rsidRPr="004D52B7">
              <w:rPr>
                <w:rFonts w:ascii="Times" w:hAnsi="Times"/>
                <w:sz w:val="20"/>
                <w:szCs w:val="20"/>
              </w:rPr>
              <w:t>5.0</w:t>
            </w:r>
          </w:p>
        </w:tc>
        <w:tc>
          <w:tcPr>
            <w:tcW w:w="1080" w:type="dxa"/>
            <w:tcBorders>
              <w:left w:val="nil"/>
            </w:tcBorders>
            <w:noWrap/>
            <w:vAlign w:val="center"/>
            <w:hideMark/>
          </w:tcPr>
          <w:p w14:paraId="55737013" w14:textId="77777777" w:rsidR="005B2959" w:rsidRPr="004D52B7" w:rsidRDefault="005B2959" w:rsidP="00CE4B72">
            <w:pPr>
              <w:jc w:val="center"/>
              <w:rPr>
                <w:rFonts w:ascii="Times" w:hAnsi="Times"/>
                <w:sz w:val="20"/>
                <w:szCs w:val="20"/>
              </w:rPr>
            </w:pPr>
            <w:r w:rsidRPr="004D52B7">
              <w:rPr>
                <w:rFonts w:ascii="Times" w:hAnsi="Times"/>
                <w:sz w:val="20"/>
                <w:szCs w:val="20"/>
              </w:rPr>
              <w:t>25</w:t>
            </w:r>
          </w:p>
        </w:tc>
      </w:tr>
      <w:tr w:rsidR="005B2959" w:rsidRPr="00706615" w14:paraId="7BFDFF96" w14:textId="77777777" w:rsidTr="00CC23E9">
        <w:trPr>
          <w:trHeight w:val="259"/>
        </w:trPr>
        <w:tc>
          <w:tcPr>
            <w:tcW w:w="2250" w:type="dxa"/>
            <w:noWrap/>
            <w:vAlign w:val="center"/>
            <w:hideMark/>
          </w:tcPr>
          <w:p w14:paraId="2725B2FB" w14:textId="77777777" w:rsidR="005B2959" w:rsidRPr="004D52B7" w:rsidRDefault="005B2959" w:rsidP="00CE4B72">
            <w:pPr>
              <w:rPr>
                <w:rFonts w:ascii="Times" w:hAnsi="Times"/>
                <w:sz w:val="20"/>
                <w:szCs w:val="20"/>
              </w:rPr>
            </w:pPr>
            <w:r w:rsidRPr="004D52B7">
              <w:rPr>
                <w:rFonts w:ascii="Times" w:hAnsi="Times"/>
                <w:sz w:val="20"/>
                <w:szCs w:val="20"/>
              </w:rPr>
              <w:t>Cote d'Ivoire</w:t>
            </w:r>
          </w:p>
        </w:tc>
        <w:tc>
          <w:tcPr>
            <w:tcW w:w="1800" w:type="dxa"/>
            <w:tcBorders>
              <w:left w:val="single" w:sz="4" w:space="0" w:color="auto"/>
              <w:right w:val="nil"/>
            </w:tcBorders>
            <w:noWrap/>
            <w:vAlign w:val="center"/>
            <w:hideMark/>
          </w:tcPr>
          <w:p w14:paraId="6C500512" w14:textId="77777777" w:rsidR="005B2959" w:rsidRPr="004D52B7" w:rsidRDefault="005B2959" w:rsidP="00CE4B72">
            <w:pPr>
              <w:jc w:val="center"/>
              <w:rPr>
                <w:rFonts w:ascii="Times" w:hAnsi="Times"/>
                <w:sz w:val="20"/>
                <w:szCs w:val="20"/>
              </w:rPr>
            </w:pPr>
            <w:r w:rsidRPr="004D52B7">
              <w:rPr>
                <w:rFonts w:ascii="Times" w:hAnsi="Times"/>
                <w:sz w:val="20"/>
                <w:szCs w:val="20"/>
              </w:rPr>
              <w:t>2.7</w:t>
            </w:r>
          </w:p>
        </w:tc>
        <w:tc>
          <w:tcPr>
            <w:tcW w:w="810" w:type="dxa"/>
            <w:tcBorders>
              <w:left w:val="nil"/>
            </w:tcBorders>
            <w:vAlign w:val="center"/>
          </w:tcPr>
          <w:p w14:paraId="54DF8517" w14:textId="77777777" w:rsidR="005B2959" w:rsidRPr="004D52B7" w:rsidRDefault="005B2959" w:rsidP="00CE4B72">
            <w:pPr>
              <w:jc w:val="center"/>
              <w:rPr>
                <w:rFonts w:ascii="Times" w:hAnsi="Times"/>
                <w:sz w:val="20"/>
                <w:szCs w:val="20"/>
              </w:rPr>
            </w:pPr>
            <w:r w:rsidRPr="004D52B7">
              <w:rPr>
                <w:rFonts w:ascii="Times" w:hAnsi="Times"/>
                <w:sz w:val="20"/>
                <w:szCs w:val="20"/>
              </w:rPr>
              <w:t>24</w:t>
            </w:r>
          </w:p>
        </w:tc>
        <w:tc>
          <w:tcPr>
            <w:tcW w:w="1080" w:type="dxa"/>
            <w:tcBorders>
              <w:right w:val="nil"/>
            </w:tcBorders>
            <w:noWrap/>
            <w:vAlign w:val="center"/>
            <w:hideMark/>
          </w:tcPr>
          <w:p w14:paraId="1E019F72" w14:textId="77777777" w:rsidR="005B2959" w:rsidRPr="004D52B7" w:rsidRDefault="005B2959" w:rsidP="00CE4B72">
            <w:pPr>
              <w:jc w:val="center"/>
              <w:rPr>
                <w:rFonts w:ascii="Times" w:hAnsi="Times"/>
                <w:sz w:val="20"/>
                <w:szCs w:val="20"/>
              </w:rPr>
            </w:pPr>
            <w:r w:rsidRPr="004D52B7">
              <w:rPr>
                <w:rFonts w:ascii="Times" w:hAnsi="Times"/>
                <w:sz w:val="20"/>
                <w:szCs w:val="20"/>
              </w:rPr>
              <w:t>3.5</w:t>
            </w:r>
          </w:p>
        </w:tc>
        <w:tc>
          <w:tcPr>
            <w:tcW w:w="1170" w:type="dxa"/>
            <w:tcBorders>
              <w:left w:val="nil"/>
            </w:tcBorders>
            <w:vAlign w:val="center"/>
          </w:tcPr>
          <w:p w14:paraId="3F4E94F5" w14:textId="77777777" w:rsidR="005B2959" w:rsidRPr="004D52B7" w:rsidRDefault="005B2959" w:rsidP="00CE4B72">
            <w:pPr>
              <w:jc w:val="center"/>
              <w:rPr>
                <w:rFonts w:ascii="Times" w:hAnsi="Times"/>
                <w:sz w:val="20"/>
                <w:szCs w:val="20"/>
              </w:rPr>
            </w:pPr>
            <w:r w:rsidRPr="004D52B7">
              <w:rPr>
                <w:rFonts w:ascii="Times" w:hAnsi="Times"/>
                <w:sz w:val="20"/>
                <w:szCs w:val="20"/>
              </w:rPr>
              <w:t>30</w:t>
            </w:r>
          </w:p>
        </w:tc>
        <w:tc>
          <w:tcPr>
            <w:tcW w:w="1170" w:type="dxa"/>
            <w:tcBorders>
              <w:right w:val="nil"/>
            </w:tcBorders>
            <w:noWrap/>
            <w:vAlign w:val="center"/>
            <w:hideMark/>
          </w:tcPr>
          <w:p w14:paraId="44B54BDA" w14:textId="77777777" w:rsidR="005B2959" w:rsidRPr="004D52B7" w:rsidRDefault="005B2959" w:rsidP="00CE4B72">
            <w:pPr>
              <w:jc w:val="center"/>
              <w:rPr>
                <w:rFonts w:ascii="Times" w:hAnsi="Times"/>
                <w:sz w:val="20"/>
                <w:szCs w:val="20"/>
              </w:rPr>
            </w:pPr>
            <w:r w:rsidRPr="004D52B7">
              <w:rPr>
                <w:rFonts w:ascii="Times" w:hAnsi="Times"/>
                <w:sz w:val="20"/>
                <w:szCs w:val="20"/>
              </w:rPr>
              <w:t>3.8</w:t>
            </w:r>
          </w:p>
        </w:tc>
        <w:tc>
          <w:tcPr>
            <w:tcW w:w="1080" w:type="dxa"/>
            <w:tcBorders>
              <w:left w:val="nil"/>
            </w:tcBorders>
            <w:noWrap/>
            <w:vAlign w:val="center"/>
            <w:hideMark/>
          </w:tcPr>
          <w:p w14:paraId="7A2BC3A8" w14:textId="77777777" w:rsidR="005B2959" w:rsidRPr="004D52B7" w:rsidRDefault="005B2959" w:rsidP="00CE4B72">
            <w:pPr>
              <w:jc w:val="center"/>
              <w:rPr>
                <w:rFonts w:ascii="Times" w:hAnsi="Times"/>
                <w:sz w:val="20"/>
                <w:szCs w:val="20"/>
              </w:rPr>
            </w:pPr>
            <w:r w:rsidRPr="004D52B7">
              <w:rPr>
                <w:rFonts w:ascii="Times" w:hAnsi="Times"/>
                <w:sz w:val="20"/>
                <w:szCs w:val="20"/>
              </w:rPr>
              <w:t>31</w:t>
            </w:r>
          </w:p>
        </w:tc>
      </w:tr>
      <w:tr w:rsidR="005B2959" w:rsidRPr="00706615" w14:paraId="58DED3C5" w14:textId="77777777" w:rsidTr="00CC23E9">
        <w:trPr>
          <w:trHeight w:val="259"/>
        </w:trPr>
        <w:tc>
          <w:tcPr>
            <w:tcW w:w="2250" w:type="dxa"/>
            <w:noWrap/>
            <w:vAlign w:val="center"/>
            <w:hideMark/>
          </w:tcPr>
          <w:p w14:paraId="5A430B90" w14:textId="77777777" w:rsidR="005B2959" w:rsidRPr="004D52B7" w:rsidRDefault="005B2959" w:rsidP="00CE4B72">
            <w:pPr>
              <w:rPr>
                <w:rFonts w:ascii="Times" w:hAnsi="Times"/>
                <w:sz w:val="20"/>
                <w:szCs w:val="20"/>
              </w:rPr>
            </w:pPr>
            <w:r w:rsidRPr="004D52B7">
              <w:rPr>
                <w:rFonts w:ascii="Times" w:hAnsi="Times"/>
                <w:sz w:val="20"/>
                <w:szCs w:val="20"/>
              </w:rPr>
              <w:t>Congo, Dem. Rep.</w:t>
            </w:r>
          </w:p>
        </w:tc>
        <w:tc>
          <w:tcPr>
            <w:tcW w:w="1800" w:type="dxa"/>
            <w:tcBorders>
              <w:left w:val="single" w:sz="4" w:space="0" w:color="auto"/>
              <w:right w:val="nil"/>
            </w:tcBorders>
            <w:noWrap/>
            <w:vAlign w:val="center"/>
            <w:hideMark/>
          </w:tcPr>
          <w:p w14:paraId="591F66B5" w14:textId="77777777" w:rsidR="005B2959" w:rsidRPr="004D52B7" w:rsidRDefault="005B2959" w:rsidP="00CE4B72">
            <w:pPr>
              <w:jc w:val="center"/>
              <w:rPr>
                <w:rFonts w:ascii="Times" w:hAnsi="Times"/>
                <w:sz w:val="20"/>
                <w:szCs w:val="20"/>
              </w:rPr>
            </w:pPr>
            <w:r w:rsidRPr="004D52B7">
              <w:rPr>
                <w:rFonts w:ascii="Times" w:hAnsi="Times"/>
                <w:sz w:val="20"/>
                <w:szCs w:val="20"/>
              </w:rPr>
              <w:t>2.8</w:t>
            </w:r>
          </w:p>
        </w:tc>
        <w:tc>
          <w:tcPr>
            <w:tcW w:w="810" w:type="dxa"/>
            <w:tcBorders>
              <w:left w:val="nil"/>
            </w:tcBorders>
            <w:vAlign w:val="center"/>
          </w:tcPr>
          <w:p w14:paraId="24B40DF7" w14:textId="77777777" w:rsidR="005B2959" w:rsidRPr="004D52B7" w:rsidRDefault="005B2959" w:rsidP="00CE4B72">
            <w:pPr>
              <w:jc w:val="center"/>
              <w:rPr>
                <w:rFonts w:ascii="Times" w:hAnsi="Times"/>
                <w:sz w:val="20"/>
                <w:szCs w:val="20"/>
              </w:rPr>
            </w:pPr>
            <w:r w:rsidRPr="004D52B7">
              <w:rPr>
                <w:rFonts w:ascii="Times" w:hAnsi="Times"/>
                <w:sz w:val="20"/>
                <w:szCs w:val="20"/>
              </w:rPr>
              <w:t>23</w:t>
            </w:r>
          </w:p>
        </w:tc>
        <w:tc>
          <w:tcPr>
            <w:tcW w:w="1080" w:type="dxa"/>
            <w:tcBorders>
              <w:right w:val="nil"/>
            </w:tcBorders>
            <w:noWrap/>
            <w:vAlign w:val="center"/>
            <w:hideMark/>
          </w:tcPr>
          <w:p w14:paraId="2A8878E6" w14:textId="77777777" w:rsidR="005B2959" w:rsidRPr="004D52B7" w:rsidRDefault="005B2959" w:rsidP="00CE4B72">
            <w:pPr>
              <w:jc w:val="center"/>
              <w:rPr>
                <w:rFonts w:ascii="Times" w:hAnsi="Times"/>
                <w:sz w:val="20"/>
                <w:szCs w:val="20"/>
              </w:rPr>
            </w:pPr>
            <w:r w:rsidRPr="004D52B7">
              <w:rPr>
                <w:rFonts w:ascii="Times" w:hAnsi="Times"/>
                <w:sz w:val="20"/>
                <w:szCs w:val="20"/>
              </w:rPr>
              <w:t>4.9</w:t>
            </w:r>
          </w:p>
        </w:tc>
        <w:tc>
          <w:tcPr>
            <w:tcW w:w="1170" w:type="dxa"/>
            <w:tcBorders>
              <w:left w:val="nil"/>
            </w:tcBorders>
            <w:vAlign w:val="center"/>
          </w:tcPr>
          <w:p w14:paraId="5092E3EC"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c>
          <w:tcPr>
            <w:tcW w:w="1170" w:type="dxa"/>
            <w:tcBorders>
              <w:right w:val="nil"/>
            </w:tcBorders>
            <w:noWrap/>
            <w:vAlign w:val="center"/>
            <w:hideMark/>
          </w:tcPr>
          <w:p w14:paraId="2E3EC2CE" w14:textId="77777777" w:rsidR="005B2959" w:rsidRPr="004D52B7" w:rsidRDefault="005B2959" w:rsidP="00CE4B72">
            <w:pPr>
              <w:jc w:val="center"/>
              <w:rPr>
                <w:rFonts w:ascii="Times" w:hAnsi="Times"/>
                <w:sz w:val="20"/>
                <w:szCs w:val="20"/>
              </w:rPr>
            </w:pPr>
            <w:r w:rsidRPr="004D52B7">
              <w:rPr>
                <w:rFonts w:ascii="Times" w:hAnsi="Times"/>
                <w:sz w:val="20"/>
                <w:szCs w:val="20"/>
              </w:rPr>
              <w:t>7.7</w:t>
            </w:r>
          </w:p>
        </w:tc>
        <w:tc>
          <w:tcPr>
            <w:tcW w:w="1080" w:type="dxa"/>
            <w:tcBorders>
              <w:left w:val="nil"/>
            </w:tcBorders>
            <w:noWrap/>
            <w:vAlign w:val="center"/>
            <w:hideMark/>
          </w:tcPr>
          <w:p w14:paraId="38C42C28" w14:textId="77777777" w:rsidR="005B2959" w:rsidRPr="004D52B7" w:rsidRDefault="005B2959" w:rsidP="00CE4B72">
            <w:pPr>
              <w:jc w:val="center"/>
              <w:rPr>
                <w:rFonts w:ascii="Times" w:hAnsi="Times"/>
                <w:sz w:val="20"/>
                <w:szCs w:val="20"/>
              </w:rPr>
            </w:pPr>
            <w:r w:rsidRPr="004D52B7">
              <w:rPr>
                <w:rFonts w:ascii="Times" w:hAnsi="Times"/>
                <w:sz w:val="20"/>
                <w:szCs w:val="20"/>
              </w:rPr>
              <w:t>10</w:t>
            </w:r>
          </w:p>
        </w:tc>
      </w:tr>
      <w:tr w:rsidR="005B2959" w:rsidRPr="00706615" w14:paraId="37856810" w14:textId="77777777" w:rsidTr="00CC23E9">
        <w:trPr>
          <w:trHeight w:val="259"/>
        </w:trPr>
        <w:tc>
          <w:tcPr>
            <w:tcW w:w="2250" w:type="dxa"/>
            <w:noWrap/>
            <w:vAlign w:val="center"/>
            <w:hideMark/>
          </w:tcPr>
          <w:p w14:paraId="776F1337" w14:textId="77777777" w:rsidR="005B2959" w:rsidRPr="004D52B7" w:rsidRDefault="005B2959" w:rsidP="00CE4B72">
            <w:pPr>
              <w:rPr>
                <w:rFonts w:ascii="Times" w:hAnsi="Times"/>
                <w:sz w:val="20"/>
                <w:szCs w:val="20"/>
              </w:rPr>
            </w:pPr>
            <w:r w:rsidRPr="004D52B7">
              <w:rPr>
                <w:rFonts w:ascii="Times" w:hAnsi="Times"/>
                <w:sz w:val="20"/>
                <w:szCs w:val="20"/>
              </w:rPr>
              <w:t>Eritrea</w:t>
            </w:r>
          </w:p>
        </w:tc>
        <w:tc>
          <w:tcPr>
            <w:tcW w:w="1800" w:type="dxa"/>
            <w:tcBorders>
              <w:left w:val="single" w:sz="4" w:space="0" w:color="auto"/>
              <w:right w:val="nil"/>
            </w:tcBorders>
            <w:noWrap/>
            <w:vAlign w:val="center"/>
            <w:hideMark/>
          </w:tcPr>
          <w:p w14:paraId="7B411F56" w14:textId="77777777" w:rsidR="005B2959" w:rsidRPr="004D52B7" w:rsidRDefault="005B2959" w:rsidP="00CE4B72">
            <w:pPr>
              <w:jc w:val="center"/>
              <w:rPr>
                <w:rFonts w:ascii="Times" w:hAnsi="Times"/>
                <w:sz w:val="20"/>
                <w:szCs w:val="20"/>
              </w:rPr>
            </w:pPr>
            <w:r w:rsidRPr="004D52B7">
              <w:rPr>
                <w:rFonts w:ascii="Times" w:hAnsi="Times"/>
                <w:sz w:val="20"/>
                <w:szCs w:val="20"/>
              </w:rPr>
              <w:t>5.5</w:t>
            </w:r>
          </w:p>
        </w:tc>
        <w:tc>
          <w:tcPr>
            <w:tcW w:w="810" w:type="dxa"/>
            <w:tcBorders>
              <w:left w:val="nil"/>
            </w:tcBorders>
            <w:vAlign w:val="center"/>
          </w:tcPr>
          <w:p w14:paraId="0C5C17E9" w14:textId="77777777" w:rsidR="005B2959" w:rsidRPr="004D52B7" w:rsidRDefault="005B2959" w:rsidP="00CE4B72">
            <w:pPr>
              <w:jc w:val="center"/>
              <w:rPr>
                <w:rFonts w:ascii="Times" w:hAnsi="Times"/>
                <w:sz w:val="20"/>
                <w:szCs w:val="20"/>
              </w:rPr>
            </w:pPr>
            <w:r w:rsidRPr="004D52B7">
              <w:rPr>
                <w:rFonts w:ascii="Times" w:hAnsi="Times"/>
                <w:sz w:val="20"/>
                <w:szCs w:val="20"/>
              </w:rPr>
              <w:t>4</w:t>
            </w:r>
          </w:p>
        </w:tc>
        <w:tc>
          <w:tcPr>
            <w:tcW w:w="1080" w:type="dxa"/>
            <w:tcBorders>
              <w:right w:val="nil"/>
            </w:tcBorders>
            <w:noWrap/>
            <w:vAlign w:val="center"/>
            <w:hideMark/>
          </w:tcPr>
          <w:p w14:paraId="440E0E40" w14:textId="77777777" w:rsidR="005B2959" w:rsidRPr="004D52B7" w:rsidRDefault="005B2959" w:rsidP="00CE4B72">
            <w:pPr>
              <w:jc w:val="center"/>
              <w:rPr>
                <w:rFonts w:ascii="Times" w:hAnsi="Times"/>
                <w:sz w:val="20"/>
                <w:szCs w:val="20"/>
              </w:rPr>
            </w:pPr>
            <w:r w:rsidRPr="004D52B7">
              <w:rPr>
                <w:rFonts w:ascii="Times" w:hAnsi="Times"/>
                <w:sz w:val="20"/>
                <w:szCs w:val="20"/>
              </w:rPr>
              <w:t>6.9</w:t>
            </w:r>
          </w:p>
        </w:tc>
        <w:tc>
          <w:tcPr>
            <w:tcW w:w="1170" w:type="dxa"/>
            <w:tcBorders>
              <w:left w:val="nil"/>
            </w:tcBorders>
            <w:vAlign w:val="center"/>
          </w:tcPr>
          <w:p w14:paraId="6A458776" w14:textId="77777777" w:rsidR="005B2959" w:rsidRPr="004D52B7" w:rsidRDefault="005B2959" w:rsidP="00CE4B72">
            <w:pPr>
              <w:jc w:val="center"/>
              <w:rPr>
                <w:rFonts w:ascii="Times" w:hAnsi="Times"/>
                <w:sz w:val="20"/>
                <w:szCs w:val="20"/>
              </w:rPr>
            </w:pPr>
            <w:r w:rsidRPr="004D52B7">
              <w:rPr>
                <w:rFonts w:ascii="Times" w:hAnsi="Times"/>
                <w:sz w:val="20"/>
                <w:szCs w:val="20"/>
              </w:rPr>
              <w:t>7</w:t>
            </w:r>
          </w:p>
        </w:tc>
        <w:tc>
          <w:tcPr>
            <w:tcW w:w="1170" w:type="dxa"/>
            <w:tcBorders>
              <w:right w:val="nil"/>
            </w:tcBorders>
            <w:noWrap/>
            <w:vAlign w:val="center"/>
            <w:hideMark/>
          </w:tcPr>
          <w:p w14:paraId="086AAE62" w14:textId="77777777" w:rsidR="005B2959" w:rsidRPr="004D52B7" w:rsidRDefault="005B2959" w:rsidP="00CE4B72">
            <w:pPr>
              <w:jc w:val="center"/>
              <w:rPr>
                <w:rFonts w:ascii="Times" w:hAnsi="Times"/>
                <w:sz w:val="20"/>
                <w:szCs w:val="20"/>
              </w:rPr>
            </w:pPr>
            <w:r w:rsidRPr="004D52B7">
              <w:rPr>
                <w:rFonts w:ascii="Times" w:hAnsi="Times"/>
                <w:sz w:val="20"/>
                <w:szCs w:val="20"/>
              </w:rPr>
              <w:t>7.7</w:t>
            </w:r>
          </w:p>
        </w:tc>
        <w:tc>
          <w:tcPr>
            <w:tcW w:w="1080" w:type="dxa"/>
            <w:tcBorders>
              <w:left w:val="nil"/>
            </w:tcBorders>
            <w:noWrap/>
            <w:vAlign w:val="center"/>
            <w:hideMark/>
          </w:tcPr>
          <w:p w14:paraId="7FB0AA62" w14:textId="77777777" w:rsidR="005B2959" w:rsidRPr="004D52B7" w:rsidRDefault="005B2959" w:rsidP="00CE4B72">
            <w:pPr>
              <w:jc w:val="center"/>
              <w:rPr>
                <w:rFonts w:ascii="Times" w:hAnsi="Times"/>
                <w:sz w:val="20"/>
                <w:szCs w:val="20"/>
              </w:rPr>
            </w:pPr>
            <w:r w:rsidRPr="004D52B7">
              <w:rPr>
                <w:rFonts w:ascii="Times" w:hAnsi="Times"/>
                <w:sz w:val="20"/>
                <w:szCs w:val="20"/>
              </w:rPr>
              <w:t>11</w:t>
            </w:r>
          </w:p>
        </w:tc>
      </w:tr>
      <w:tr w:rsidR="005B2959" w:rsidRPr="00706615" w14:paraId="5F7E222F" w14:textId="77777777" w:rsidTr="00CC23E9">
        <w:trPr>
          <w:trHeight w:val="259"/>
        </w:trPr>
        <w:tc>
          <w:tcPr>
            <w:tcW w:w="2250" w:type="dxa"/>
            <w:noWrap/>
            <w:vAlign w:val="center"/>
            <w:hideMark/>
          </w:tcPr>
          <w:p w14:paraId="13F60E66" w14:textId="77777777" w:rsidR="005B2959" w:rsidRPr="004D52B7" w:rsidRDefault="005B2959" w:rsidP="00CE4B72">
            <w:pPr>
              <w:rPr>
                <w:rFonts w:ascii="Times" w:hAnsi="Times"/>
                <w:sz w:val="20"/>
                <w:szCs w:val="20"/>
              </w:rPr>
            </w:pPr>
            <w:r w:rsidRPr="004D52B7">
              <w:rPr>
                <w:rFonts w:ascii="Times" w:hAnsi="Times"/>
                <w:sz w:val="20"/>
                <w:szCs w:val="20"/>
              </w:rPr>
              <w:t>Lesotho</w:t>
            </w:r>
          </w:p>
        </w:tc>
        <w:tc>
          <w:tcPr>
            <w:tcW w:w="1800" w:type="dxa"/>
            <w:tcBorders>
              <w:left w:val="single" w:sz="4" w:space="0" w:color="auto"/>
              <w:right w:val="nil"/>
            </w:tcBorders>
            <w:noWrap/>
            <w:vAlign w:val="center"/>
            <w:hideMark/>
          </w:tcPr>
          <w:p w14:paraId="619317B3" w14:textId="77777777" w:rsidR="005B2959" w:rsidRPr="004D52B7" w:rsidRDefault="005B2959" w:rsidP="00CE4B72">
            <w:pPr>
              <w:jc w:val="center"/>
              <w:rPr>
                <w:rFonts w:ascii="Times" w:hAnsi="Times"/>
                <w:sz w:val="20"/>
                <w:szCs w:val="20"/>
              </w:rPr>
            </w:pPr>
            <w:r w:rsidRPr="004D52B7">
              <w:rPr>
                <w:rFonts w:ascii="Times" w:hAnsi="Times"/>
                <w:sz w:val="20"/>
                <w:szCs w:val="20"/>
              </w:rPr>
              <w:t>3.5</w:t>
            </w:r>
          </w:p>
        </w:tc>
        <w:tc>
          <w:tcPr>
            <w:tcW w:w="810" w:type="dxa"/>
            <w:tcBorders>
              <w:left w:val="nil"/>
            </w:tcBorders>
            <w:vAlign w:val="center"/>
          </w:tcPr>
          <w:p w14:paraId="63011427" w14:textId="77777777" w:rsidR="005B2959" w:rsidRPr="004D52B7" w:rsidRDefault="005B2959" w:rsidP="00CE4B72">
            <w:pPr>
              <w:jc w:val="center"/>
              <w:rPr>
                <w:rFonts w:ascii="Times" w:hAnsi="Times"/>
                <w:sz w:val="20"/>
                <w:szCs w:val="20"/>
              </w:rPr>
            </w:pPr>
            <w:r w:rsidRPr="004D52B7">
              <w:rPr>
                <w:rFonts w:ascii="Times" w:hAnsi="Times"/>
                <w:sz w:val="20"/>
                <w:szCs w:val="20"/>
              </w:rPr>
              <w:t>18</w:t>
            </w:r>
          </w:p>
        </w:tc>
        <w:tc>
          <w:tcPr>
            <w:tcW w:w="1080" w:type="dxa"/>
            <w:tcBorders>
              <w:right w:val="nil"/>
            </w:tcBorders>
            <w:noWrap/>
            <w:vAlign w:val="center"/>
            <w:hideMark/>
          </w:tcPr>
          <w:p w14:paraId="3B6F0C1D" w14:textId="77777777" w:rsidR="005B2959" w:rsidRPr="004D52B7" w:rsidRDefault="005B2959" w:rsidP="00CE4B72">
            <w:pPr>
              <w:jc w:val="center"/>
              <w:rPr>
                <w:rFonts w:ascii="Times" w:hAnsi="Times"/>
                <w:sz w:val="20"/>
                <w:szCs w:val="20"/>
              </w:rPr>
            </w:pPr>
            <w:r w:rsidRPr="004D52B7">
              <w:rPr>
                <w:rFonts w:ascii="Times" w:hAnsi="Times"/>
                <w:sz w:val="20"/>
                <w:szCs w:val="20"/>
              </w:rPr>
              <w:t>5.4</w:t>
            </w:r>
          </w:p>
        </w:tc>
        <w:tc>
          <w:tcPr>
            <w:tcW w:w="1170" w:type="dxa"/>
            <w:tcBorders>
              <w:left w:val="nil"/>
            </w:tcBorders>
            <w:vAlign w:val="center"/>
          </w:tcPr>
          <w:p w14:paraId="2E307640" w14:textId="77777777" w:rsidR="005B2959" w:rsidRPr="004D52B7" w:rsidRDefault="005B2959" w:rsidP="00CE4B72">
            <w:pPr>
              <w:jc w:val="center"/>
              <w:rPr>
                <w:rFonts w:ascii="Times" w:hAnsi="Times"/>
                <w:sz w:val="20"/>
                <w:szCs w:val="20"/>
              </w:rPr>
            </w:pPr>
            <w:r w:rsidRPr="004D52B7">
              <w:rPr>
                <w:rFonts w:ascii="Times" w:hAnsi="Times"/>
                <w:sz w:val="20"/>
                <w:szCs w:val="20"/>
              </w:rPr>
              <w:t>19</w:t>
            </w:r>
          </w:p>
        </w:tc>
        <w:tc>
          <w:tcPr>
            <w:tcW w:w="1170" w:type="dxa"/>
            <w:tcBorders>
              <w:right w:val="nil"/>
            </w:tcBorders>
            <w:noWrap/>
            <w:vAlign w:val="center"/>
            <w:hideMark/>
          </w:tcPr>
          <w:p w14:paraId="14353431" w14:textId="77777777" w:rsidR="005B2959" w:rsidRPr="004D52B7" w:rsidRDefault="005B2959" w:rsidP="00CE4B72">
            <w:pPr>
              <w:jc w:val="center"/>
              <w:rPr>
                <w:rFonts w:ascii="Times" w:hAnsi="Times"/>
                <w:sz w:val="20"/>
                <w:szCs w:val="20"/>
              </w:rPr>
            </w:pPr>
            <w:r w:rsidRPr="004D52B7">
              <w:rPr>
                <w:rFonts w:ascii="Times" w:hAnsi="Times"/>
                <w:sz w:val="20"/>
                <w:szCs w:val="20"/>
              </w:rPr>
              <w:t>5.8</w:t>
            </w:r>
          </w:p>
        </w:tc>
        <w:tc>
          <w:tcPr>
            <w:tcW w:w="1080" w:type="dxa"/>
            <w:tcBorders>
              <w:left w:val="nil"/>
            </w:tcBorders>
            <w:noWrap/>
            <w:vAlign w:val="center"/>
            <w:hideMark/>
          </w:tcPr>
          <w:p w14:paraId="58200574" w14:textId="77777777" w:rsidR="005B2959" w:rsidRPr="004D52B7" w:rsidRDefault="005B2959" w:rsidP="00CE4B72">
            <w:pPr>
              <w:jc w:val="center"/>
              <w:rPr>
                <w:rFonts w:ascii="Times" w:hAnsi="Times"/>
                <w:sz w:val="20"/>
                <w:szCs w:val="20"/>
              </w:rPr>
            </w:pPr>
            <w:r w:rsidRPr="004D52B7">
              <w:rPr>
                <w:rFonts w:ascii="Times" w:hAnsi="Times"/>
                <w:sz w:val="20"/>
                <w:szCs w:val="20"/>
              </w:rPr>
              <w:t>21</w:t>
            </w:r>
          </w:p>
        </w:tc>
      </w:tr>
      <w:tr w:rsidR="005B2959" w:rsidRPr="00706615" w14:paraId="2E39BF11" w14:textId="77777777" w:rsidTr="00CC23E9">
        <w:trPr>
          <w:trHeight w:val="259"/>
        </w:trPr>
        <w:tc>
          <w:tcPr>
            <w:tcW w:w="2250" w:type="dxa"/>
            <w:noWrap/>
            <w:vAlign w:val="center"/>
            <w:hideMark/>
          </w:tcPr>
          <w:p w14:paraId="04F24643" w14:textId="77777777" w:rsidR="005B2959" w:rsidRPr="004D52B7" w:rsidRDefault="005B2959" w:rsidP="00CE4B72">
            <w:pPr>
              <w:rPr>
                <w:rFonts w:ascii="Times" w:hAnsi="Times"/>
                <w:sz w:val="20"/>
                <w:szCs w:val="20"/>
              </w:rPr>
            </w:pPr>
            <w:r w:rsidRPr="004D52B7">
              <w:rPr>
                <w:rFonts w:ascii="Times" w:hAnsi="Times"/>
                <w:sz w:val="20"/>
                <w:szCs w:val="20"/>
              </w:rPr>
              <w:t>Ghana</w:t>
            </w:r>
          </w:p>
        </w:tc>
        <w:tc>
          <w:tcPr>
            <w:tcW w:w="1800" w:type="dxa"/>
            <w:tcBorders>
              <w:left w:val="single" w:sz="4" w:space="0" w:color="auto"/>
              <w:right w:val="nil"/>
            </w:tcBorders>
            <w:noWrap/>
            <w:vAlign w:val="center"/>
            <w:hideMark/>
          </w:tcPr>
          <w:p w14:paraId="5D7E1C01" w14:textId="77777777" w:rsidR="005B2959" w:rsidRPr="004D52B7" w:rsidRDefault="005B2959" w:rsidP="00CE4B72">
            <w:pPr>
              <w:jc w:val="center"/>
              <w:rPr>
                <w:rFonts w:ascii="Times" w:hAnsi="Times"/>
                <w:sz w:val="20"/>
                <w:szCs w:val="20"/>
              </w:rPr>
            </w:pPr>
            <w:r w:rsidRPr="004D52B7">
              <w:rPr>
                <w:rFonts w:ascii="Times" w:hAnsi="Times"/>
                <w:sz w:val="20"/>
                <w:szCs w:val="20"/>
              </w:rPr>
              <w:t>2.8</w:t>
            </w:r>
          </w:p>
        </w:tc>
        <w:tc>
          <w:tcPr>
            <w:tcW w:w="810" w:type="dxa"/>
            <w:tcBorders>
              <w:left w:val="nil"/>
            </w:tcBorders>
            <w:vAlign w:val="center"/>
          </w:tcPr>
          <w:p w14:paraId="4A053DE3"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c>
          <w:tcPr>
            <w:tcW w:w="1080" w:type="dxa"/>
            <w:tcBorders>
              <w:right w:val="nil"/>
            </w:tcBorders>
            <w:noWrap/>
            <w:vAlign w:val="center"/>
            <w:hideMark/>
          </w:tcPr>
          <w:p w14:paraId="4623FA0B" w14:textId="77777777" w:rsidR="005B2959" w:rsidRPr="004D52B7" w:rsidRDefault="005B2959" w:rsidP="00CE4B72">
            <w:pPr>
              <w:jc w:val="center"/>
              <w:rPr>
                <w:rFonts w:ascii="Times" w:hAnsi="Times"/>
                <w:sz w:val="20"/>
                <w:szCs w:val="20"/>
              </w:rPr>
            </w:pPr>
            <w:r w:rsidRPr="004D52B7">
              <w:rPr>
                <w:rFonts w:ascii="Times" w:hAnsi="Times"/>
                <w:sz w:val="20"/>
                <w:szCs w:val="20"/>
              </w:rPr>
              <w:t>4.5</w:t>
            </w:r>
          </w:p>
        </w:tc>
        <w:tc>
          <w:tcPr>
            <w:tcW w:w="1170" w:type="dxa"/>
            <w:tcBorders>
              <w:left w:val="nil"/>
            </w:tcBorders>
            <w:vAlign w:val="center"/>
          </w:tcPr>
          <w:p w14:paraId="6D3C43E5" w14:textId="77777777" w:rsidR="005B2959" w:rsidRPr="004D52B7" w:rsidRDefault="005B2959" w:rsidP="00CE4B72">
            <w:pPr>
              <w:jc w:val="center"/>
              <w:rPr>
                <w:rFonts w:ascii="Times" w:hAnsi="Times"/>
                <w:sz w:val="20"/>
                <w:szCs w:val="20"/>
              </w:rPr>
            </w:pPr>
            <w:r w:rsidRPr="004D52B7">
              <w:rPr>
                <w:rFonts w:ascii="Times" w:hAnsi="Times"/>
                <w:sz w:val="20"/>
                <w:szCs w:val="20"/>
              </w:rPr>
              <w:t>24</w:t>
            </w:r>
          </w:p>
        </w:tc>
        <w:tc>
          <w:tcPr>
            <w:tcW w:w="1170" w:type="dxa"/>
            <w:tcBorders>
              <w:right w:val="nil"/>
            </w:tcBorders>
            <w:noWrap/>
            <w:vAlign w:val="center"/>
            <w:hideMark/>
          </w:tcPr>
          <w:p w14:paraId="3C05A878" w14:textId="77777777" w:rsidR="005B2959" w:rsidRPr="004D52B7" w:rsidRDefault="005B2959" w:rsidP="00CE4B72">
            <w:pPr>
              <w:jc w:val="center"/>
              <w:rPr>
                <w:rFonts w:ascii="Times" w:hAnsi="Times"/>
                <w:sz w:val="20"/>
                <w:szCs w:val="20"/>
              </w:rPr>
            </w:pPr>
            <w:r w:rsidRPr="004D52B7">
              <w:rPr>
                <w:rFonts w:ascii="Times" w:hAnsi="Times"/>
                <w:sz w:val="20"/>
                <w:szCs w:val="20"/>
              </w:rPr>
              <w:t>5.1</w:t>
            </w:r>
          </w:p>
        </w:tc>
        <w:tc>
          <w:tcPr>
            <w:tcW w:w="1080" w:type="dxa"/>
            <w:tcBorders>
              <w:left w:val="nil"/>
            </w:tcBorders>
            <w:noWrap/>
            <w:vAlign w:val="center"/>
            <w:hideMark/>
          </w:tcPr>
          <w:p w14:paraId="401CDC3C" w14:textId="77777777" w:rsidR="005B2959" w:rsidRPr="004D52B7" w:rsidRDefault="005B2959" w:rsidP="00CE4B72">
            <w:pPr>
              <w:jc w:val="center"/>
              <w:rPr>
                <w:rFonts w:ascii="Times" w:hAnsi="Times"/>
                <w:sz w:val="20"/>
                <w:szCs w:val="20"/>
              </w:rPr>
            </w:pPr>
            <w:r w:rsidRPr="004D52B7">
              <w:rPr>
                <w:rFonts w:ascii="Times" w:hAnsi="Times"/>
                <w:sz w:val="20"/>
                <w:szCs w:val="20"/>
              </w:rPr>
              <w:t>24</w:t>
            </w:r>
          </w:p>
        </w:tc>
      </w:tr>
      <w:tr w:rsidR="005B2959" w:rsidRPr="00706615" w14:paraId="369134AD" w14:textId="77777777" w:rsidTr="00CC23E9">
        <w:trPr>
          <w:trHeight w:val="259"/>
        </w:trPr>
        <w:tc>
          <w:tcPr>
            <w:tcW w:w="2250" w:type="dxa"/>
            <w:noWrap/>
            <w:vAlign w:val="center"/>
            <w:hideMark/>
          </w:tcPr>
          <w:p w14:paraId="7863BDC6" w14:textId="77777777" w:rsidR="005B2959" w:rsidRPr="004D52B7" w:rsidRDefault="005B2959" w:rsidP="00CE4B72">
            <w:pPr>
              <w:rPr>
                <w:rFonts w:ascii="Times" w:hAnsi="Times"/>
                <w:sz w:val="20"/>
                <w:szCs w:val="20"/>
              </w:rPr>
            </w:pPr>
            <w:r w:rsidRPr="004D52B7">
              <w:rPr>
                <w:rFonts w:ascii="Times" w:hAnsi="Times"/>
                <w:sz w:val="20"/>
                <w:szCs w:val="20"/>
              </w:rPr>
              <w:t>Niger</w:t>
            </w:r>
          </w:p>
        </w:tc>
        <w:tc>
          <w:tcPr>
            <w:tcW w:w="1800" w:type="dxa"/>
            <w:tcBorders>
              <w:left w:val="single" w:sz="4" w:space="0" w:color="auto"/>
              <w:right w:val="nil"/>
            </w:tcBorders>
            <w:noWrap/>
            <w:vAlign w:val="center"/>
            <w:hideMark/>
          </w:tcPr>
          <w:p w14:paraId="25744387" w14:textId="77777777" w:rsidR="005B2959" w:rsidRPr="004D52B7" w:rsidRDefault="005B2959" w:rsidP="00CE4B72">
            <w:pPr>
              <w:jc w:val="center"/>
              <w:rPr>
                <w:rFonts w:ascii="Times" w:hAnsi="Times"/>
                <w:sz w:val="20"/>
                <w:szCs w:val="20"/>
              </w:rPr>
            </w:pPr>
            <w:r w:rsidRPr="004D52B7">
              <w:rPr>
                <w:rFonts w:ascii="Times" w:hAnsi="Times"/>
                <w:sz w:val="20"/>
                <w:szCs w:val="20"/>
              </w:rPr>
              <w:t>2.4</w:t>
            </w:r>
          </w:p>
        </w:tc>
        <w:tc>
          <w:tcPr>
            <w:tcW w:w="810" w:type="dxa"/>
            <w:tcBorders>
              <w:left w:val="nil"/>
            </w:tcBorders>
            <w:vAlign w:val="center"/>
          </w:tcPr>
          <w:p w14:paraId="784F4969" w14:textId="77777777" w:rsidR="005B2959" w:rsidRPr="004D52B7" w:rsidRDefault="005B2959" w:rsidP="00CE4B72">
            <w:pPr>
              <w:jc w:val="center"/>
              <w:rPr>
                <w:rFonts w:ascii="Times" w:hAnsi="Times"/>
                <w:sz w:val="20"/>
                <w:szCs w:val="20"/>
              </w:rPr>
            </w:pPr>
            <w:r w:rsidRPr="004D52B7">
              <w:rPr>
                <w:rFonts w:ascii="Times" w:hAnsi="Times"/>
                <w:sz w:val="20"/>
                <w:szCs w:val="20"/>
              </w:rPr>
              <w:t>29</w:t>
            </w:r>
          </w:p>
        </w:tc>
        <w:tc>
          <w:tcPr>
            <w:tcW w:w="1080" w:type="dxa"/>
            <w:tcBorders>
              <w:right w:val="nil"/>
            </w:tcBorders>
            <w:noWrap/>
            <w:vAlign w:val="center"/>
            <w:hideMark/>
          </w:tcPr>
          <w:p w14:paraId="14C04A44"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c>
          <w:tcPr>
            <w:tcW w:w="1170" w:type="dxa"/>
            <w:tcBorders>
              <w:left w:val="nil"/>
            </w:tcBorders>
            <w:vAlign w:val="center"/>
          </w:tcPr>
          <w:p w14:paraId="2FEDD5C4" w14:textId="77777777" w:rsidR="005B2959" w:rsidRPr="004D52B7" w:rsidRDefault="005B2959" w:rsidP="00CE4B72">
            <w:pPr>
              <w:jc w:val="center"/>
              <w:rPr>
                <w:rFonts w:ascii="Times" w:hAnsi="Times"/>
                <w:sz w:val="20"/>
                <w:szCs w:val="20"/>
              </w:rPr>
            </w:pPr>
            <w:r w:rsidRPr="004D52B7">
              <w:rPr>
                <w:rFonts w:ascii="Times" w:hAnsi="Times"/>
                <w:sz w:val="20"/>
                <w:szCs w:val="20"/>
              </w:rPr>
              <w:t>28</w:t>
            </w:r>
          </w:p>
        </w:tc>
        <w:tc>
          <w:tcPr>
            <w:tcW w:w="1170" w:type="dxa"/>
            <w:tcBorders>
              <w:right w:val="nil"/>
            </w:tcBorders>
            <w:noWrap/>
            <w:vAlign w:val="center"/>
            <w:hideMark/>
          </w:tcPr>
          <w:p w14:paraId="522E897B" w14:textId="77777777" w:rsidR="005B2959" w:rsidRPr="004D52B7" w:rsidRDefault="005B2959" w:rsidP="00CE4B72">
            <w:pPr>
              <w:jc w:val="center"/>
              <w:rPr>
                <w:rFonts w:ascii="Times" w:hAnsi="Times"/>
                <w:sz w:val="20"/>
                <w:szCs w:val="20"/>
              </w:rPr>
            </w:pPr>
            <w:r w:rsidRPr="004D52B7">
              <w:rPr>
                <w:rFonts w:ascii="Times" w:hAnsi="Times"/>
                <w:sz w:val="20"/>
                <w:szCs w:val="20"/>
              </w:rPr>
              <w:t>4.2</w:t>
            </w:r>
          </w:p>
        </w:tc>
        <w:tc>
          <w:tcPr>
            <w:tcW w:w="1080" w:type="dxa"/>
            <w:tcBorders>
              <w:left w:val="nil"/>
            </w:tcBorders>
            <w:noWrap/>
            <w:vAlign w:val="center"/>
            <w:hideMark/>
          </w:tcPr>
          <w:p w14:paraId="5E5D263F" w14:textId="77777777" w:rsidR="005B2959" w:rsidRPr="004D52B7" w:rsidRDefault="005B2959" w:rsidP="00CE4B72">
            <w:pPr>
              <w:jc w:val="center"/>
              <w:rPr>
                <w:rFonts w:ascii="Times" w:hAnsi="Times"/>
                <w:sz w:val="20"/>
                <w:szCs w:val="20"/>
              </w:rPr>
            </w:pPr>
            <w:r w:rsidRPr="004D52B7">
              <w:rPr>
                <w:rFonts w:ascii="Times" w:hAnsi="Times"/>
                <w:sz w:val="20"/>
                <w:szCs w:val="20"/>
              </w:rPr>
              <w:t>28</w:t>
            </w:r>
          </w:p>
        </w:tc>
      </w:tr>
      <w:tr w:rsidR="005B2959" w:rsidRPr="00706615" w14:paraId="5AF999CD" w14:textId="77777777" w:rsidTr="00CC23E9">
        <w:trPr>
          <w:trHeight w:val="259"/>
        </w:trPr>
        <w:tc>
          <w:tcPr>
            <w:tcW w:w="2250" w:type="dxa"/>
            <w:noWrap/>
            <w:vAlign w:val="center"/>
            <w:hideMark/>
          </w:tcPr>
          <w:p w14:paraId="7B9E9900" w14:textId="77777777" w:rsidR="005B2959" w:rsidRPr="004D52B7" w:rsidRDefault="005B2959" w:rsidP="00CE4B72">
            <w:pPr>
              <w:rPr>
                <w:rFonts w:ascii="Times" w:hAnsi="Times"/>
                <w:sz w:val="20"/>
                <w:szCs w:val="20"/>
              </w:rPr>
            </w:pPr>
            <w:r w:rsidRPr="004D52B7">
              <w:rPr>
                <w:rFonts w:ascii="Times" w:hAnsi="Times"/>
                <w:sz w:val="20"/>
                <w:szCs w:val="20"/>
              </w:rPr>
              <w:t>Chad</w:t>
            </w:r>
          </w:p>
        </w:tc>
        <w:tc>
          <w:tcPr>
            <w:tcW w:w="1800" w:type="dxa"/>
            <w:tcBorders>
              <w:left w:val="single" w:sz="4" w:space="0" w:color="auto"/>
              <w:right w:val="nil"/>
            </w:tcBorders>
            <w:noWrap/>
            <w:vAlign w:val="center"/>
            <w:hideMark/>
          </w:tcPr>
          <w:p w14:paraId="0E609222" w14:textId="77777777" w:rsidR="005B2959" w:rsidRPr="004D52B7" w:rsidRDefault="005B2959" w:rsidP="00CE4B72">
            <w:pPr>
              <w:jc w:val="center"/>
              <w:rPr>
                <w:rFonts w:ascii="Times" w:hAnsi="Times"/>
                <w:sz w:val="20"/>
                <w:szCs w:val="20"/>
              </w:rPr>
            </w:pPr>
            <w:r w:rsidRPr="004D52B7">
              <w:rPr>
                <w:rFonts w:ascii="Times" w:hAnsi="Times"/>
                <w:sz w:val="20"/>
                <w:szCs w:val="20"/>
              </w:rPr>
              <w:t>3.0</w:t>
            </w:r>
          </w:p>
        </w:tc>
        <w:tc>
          <w:tcPr>
            <w:tcW w:w="810" w:type="dxa"/>
            <w:tcBorders>
              <w:left w:val="nil"/>
            </w:tcBorders>
            <w:vAlign w:val="center"/>
          </w:tcPr>
          <w:p w14:paraId="29D2E304" w14:textId="77777777" w:rsidR="005B2959" w:rsidRPr="004D52B7" w:rsidRDefault="005B2959" w:rsidP="00CE4B72">
            <w:pPr>
              <w:jc w:val="center"/>
              <w:rPr>
                <w:rFonts w:ascii="Times" w:hAnsi="Times"/>
                <w:sz w:val="20"/>
                <w:szCs w:val="20"/>
              </w:rPr>
            </w:pPr>
            <w:r w:rsidRPr="004D52B7">
              <w:rPr>
                <w:rFonts w:ascii="Times" w:hAnsi="Times"/>
                <w:sz w:val="20"/>
                <w:szCs w:val="20"/>
              </w:rPr>
              <w:t>20</w:t>
            </w:r>
          </w:p>
        </w:tc>
        <w:tc>
          <w:tcPr>
            <w:tcW w:w="1080" w:type="dxa"/>
            <w:tcBorders>
              <w:right w:val="nil"/>
            </w:tcBorders>
            <w:noWrap/>
            <w:vAlign w:val="center"/>
            <w:hideMark/>
          </w:tcPr>
          <w:p w14:paraId="1A5BE0EE"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c>
          <w:tcPr>
            <w:tcW w:w="1170" w:type="dxa"/>
            <w:tcBorders>
              <w:left w:val="nil"/>
            </w:tcBorders>
            <w:vAlign w:val="center"/>
          </w:tcPr>
          <w:p w14:paraId="51D0C115" w14:textId="77777777" w:rsidR="005B2959" w:rsidRPr="004D52B7" w:rsidRDefault="005B2959" w:rsidP="00CE4B72">
            <w:pPr>
              <w:jc w:val="center"/>
              <w:rPr>
                <w:rFonts w:ascii="Times" w:hAnsi="Times"/>
                <w:sz w:val="20"/>
                <w:szCs w:val="20"/>
              </w:rPr>
            </w:pPr>
            <w:r w:rsidRPr="004D52B7">
              <w:rPr>
                <w:rFonts w:ascii="Times" w:hAnsi="Times"/>
                <w:sz w:val="20"/>
                <w:szCs w:val="20"/>
              </w:rPr>
              <w:t>27</w:t>
            </w:r>
          </w:p>
        </w:tc>
        <w:tc>
          <w:tcPr>
            <w:tcW w:w="1170" w:type="dxa"/>
            <w:tcBorders>
              <w:right w:val="nil"/>
            </w:tcBorders>
            <w:noWrap/>
            <w:vAlign w:val="center"/>
            <w:hideMark/>
          </w:tcPr>
          <w:p w14:paraId="508C2C6D" w14:textId="77777777" w:rsidR="005B2959" w:rsidRPr="004D52B7" w:rsidRDefault="005B2959" w:rsidP="00CE4B72">
            <w:pPr>
              <w:jc w:val="center"/>
              <w:rPr>
                <w:rFonts w:ascii="Times" w:hAnsi="Times"/>
                <w:sz w:val="20"/>
                <w:szCs w:val="20"/>
              </w:rPr>
            </w:pPr>
            <w:r w:rsidRPr="004D52B7">
              <w:rPr>
                <w:rFonts w:ascii="Times" w:hAnsi="Times"/>
                <w:sz w:val="20"/>
                <w:szCs w:val="20"/>
              </w:rPr>
              <w:t>4.1</w:t>
            </w:r>
          </w:p>
        </w:tc>
        <w:tc>
          <w:tcPr>
            <w:tcW w:w="1080" w:type="dxa"/>
            <w:tcBorders>
              <w:left w:val="nil"/>
            </w:tcBorders>
            <w:noWrap/>
            <w:vAlign w:val="center"/>
            <w:hideMark/>
          </w:tcPr>
          <w:p w14:paraId="2C913DB8" w14:textId="77777777" w:rsidR="005B2959" w:rsidRPr="004D52B7" w:rsidRDefault="005B2959" w:rsidP="00CE4B72">
            <w:pPr>
              <w:jc w:val="center"/>
              <w:rPr>
                <w:rFonts w:ascii="Times" w:hAnsi="Times"/>
                <w:sz w:val="20"/>
                <w:szCs w:val="20"/>
              </w:rPr>
            </w:pPr>
            <w:r w:rsidRPr="004D52B7">
              <w:rPr>
                <w:rFonts w:ascii="Times" w:hAnsi="Times"/>
                <w:sz w:val="20"/>
                <w:szCs w:val="20"/>
              </w:rPr>
              <w:t>29</w:t>
            </w:r>
          </w:p>
        </w:tc>
      </w:tr>
      <w:tr w:rsidR="005B2959" w:rsidRPr="00706615" w14:paraId="3219EE5E" w14:textId="77777777" w:rsidTr="00CC23E9">
        <w:trPr>
          <w:trHeight w:val="259"/>
        </w:trPr>
        <w:tc>
          <w:tcPr>
            <w:tcW w:w="2250" w:type="dxa"/>
            <w:noWrap/>
            <w:vAlign w:val="center"/>
            <w:hideMark/>
          </w:tcPr>
          <w:p w14:paraId="348E4522" w14:textId="77777777" w:rsidR="005B2959" w:rsidRPr="004D52B7" w:rsidRDefault="005B2959" w:rsidP="00CE4B72">
            <w:pPr>
              <w:rPr>
                <w:rFonts w:ascii="Times" w:hAnsi="Times"/>
                <w:sz w:val="20"/>
                <w:szCs w:val="20"/>
              </w:rPr>
            </w:pPr>
            <w:r w:rsidRPr="004D52B7">
              <w:rPr>
                <w:rFonts w:ascii="Times" w:hAnsi="Times"/>
                <w:sz w:val="20"/>
                <w:szCs w:val="20"/>
              </w:rPr>
              <w:t>Central African Republic</w:t>
            </w:r>
          </w:p>
        </w:tc>
        <w:tc>
          <w:tcPr>
            <w:tcW w:w="1800" w:type="dxa"/>
            <w:tcBorders>
              <w:left w:val="single" w:sz="4" w:space="0" w:color="auto"/>
              <w:right w:val="nil"/>
            </w:tcBorders>
            <w:noWrap/>
            <w:vAlign w:val="center"/>
            <w:hideMark/>
          </w:tcPr>
          <w:p w14:paraId="50FF0643"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c>
          <w:tcPr>
            <w:tcW w:w="810" w:type="dxa"/>
            <w:tcBorders>
              <w:left w:val="nil"/>
            </w:tcBorders>
            <w:vAlign w:val="center"/>
          </w:tcPr>
          <w:p w14:paraId="62A01B2B" w14:textId="77777777" w:rsidR="005B2959" w:rsidRPr="004D52B7" w:rsidRDefault="005B2959" w:rsidP="00CE4B72">
            <w:pPr>
              <w:jc w:val="center"/>
              <w:rPr>
                <w:rFonts w:ascii="Times" w:hAnsi="Times"/>
                <w:sz w:val="20"/>
                <w:szCs w:val="20"/>
              </w:rPr>
            </w:pPr>
            <w:r w:rsidRPr="004D52B7">
              <w:rPr>
                <w:rFonts w:ascii="Times" w:hAnsi="Times"/>
                <w:sz w:val="20"/>
                <w:szCs w:val="20"/>
              </w:rPr>
              <w:t>32</w:t>
            </w:r>
          </w:p>
        </w:tc>
        <w:tc>
          <w:tcPr>
            <w:tcW w:w="1080" w:type="dxa"/>
            <w:tcBorders>
              <w:right w:val="nil"/>
            </w:tcBorders>
            <w:noWrap/>
            <w:vAlign w:val="center"/>
            <w:hideMark/>
          </w:tcPr>
          <w:p w14:paraId="333F30DD" w14:textId="77777777" w:rsidR="005B2959" w:rsidRPr="004D52B7" w:rsidRDefault="005B2959" w:rsidP="00CE4B72">
            <w:pPr>
              <w:jc w:val="center"/>
              <w:rPr>
                <w:rFonts w:ascii="Times" w:hAnsi="Times"/>
                <w:sz w:val="20"/>
                <w:szCs w:val="20"/>
              </w:rPr>
            </w:pPr>
            <w:r w:rsidRPr="004D52B7">
              <w:rPr>
                <w:rFonts w:ascii="Times" w:hAnsi="Times"/>
                <w:sz w:val="20"/>
                <w:szCs w:val="20"/>
              </w:rPr>
              <w:t>2.8</w:t>
            </w:r>
          </w:p>
        </w:tc>
        <w:tc>
          <w:tcPr>
            <w:tcW w:w="1170" w:type="dxa"/>
            <w:tcBorders>
              <w:left w:val="nil"/>
            </w:tcBorders>
            <w:vAlign w:val="center"/>
          </w:tcPr>
          <w:p w14:paraId="1A426BE0" w14:textId="77777777" w:rsidR="005B2959" w:rsidRPr="004D52B7" w:rsidRDefault="005B2959" w:rsidP="00CE4B72">
            <w:pPr>
              <w:jc w:val="center"/>
              <w:rPr>
                <w:rFonts w:ascii="Times" w:hAnsi="Times"/>
                <w:sz w:val="20"/>
                <w:szCs w:val="20"/>
              </w:rPr>
            </w:pPr>
            <w:r w:rsidRPr="004D52B7">
              <w:rPr>
                <w:rFonts w:ascii="Times" w:hAnsi="Times"/>
                <w:sz w:val="20"/>
                <w:szCs w:val="20"/>
              </w:rPr>
              <w:t>34</w:t>
            </w:r>
          </w:p>
        </w:tc>
        <w:tc>
          <w:tcPr>
            <w:tcW w:w="1170" w:type="dxa"/>
            <w:tcBorders>
              <w:right w:val="nil"/>
            </w:tcBorders>
            <w:noWrap/>
            <w:vAlign w:val="center"/>
            <w:hideMark/>
          </w:tcPr>
          <w:p w14:paraId="01311ED6" w14:textId="77777777" w:rsidR="005B2959" w:rsidRPr="004D52B7" w:rsidRDefault="005B2959" w:rsidP="00CE4B72">
            <w:pPr>
              <w:jc w:val="center"/>
              <w:rPr>
                <w:rFonts w:ascii="Times" w:hAnsi="Times"/>
                <w:sz w:val="20"/>
                <w:szCs w:val="20"/>
              </w:rPr>
            </w:pPr>
            <w:r w:rsidRPr="004D52B7">
              <w:rPr>
                <w:rFonts w:ascii="Times" w:hAnsi="Times"/>
                <w:sz w:val="20"/>
                <w:szCs w:val="20"/>
              </w:rPr>
              <w:t>2.9</w:t>
            </w:r>
          </w:p>
        </w:tc>
        <w:tc>
          <w:tcPr>
            <w:tcW w:w="1080" w:type="dxa"/>
            <w:tcBorders>
              <w:left w:val="nil"/>
            </w:tcBorders>
            <w:noWrap/>
            <w:vAlign w:val="center"/>
            <w:hideMark/>
          </w:tcPr>
          <w:p w14:paraId="54789C88" w14:textId="77777777" w:rsidR="005B2959" w:rsidRPr="004D52B7" w:rsidRDefault="005B2959" w:rsidP="00CE4B72">
            <w:pPr>
              <w:jc w:val="center"/>
              <w:rPr>
                <w:rFonts w:ascii="Times" w:hAnsi="Times"/>
                <w:sz w:val="20"/>
                <w:szCs w:val="20"/>
              </w:rPr>
            </w:pPr>
            <w:r w:rsidRPr="004D52B7">
              <w:rPr>
                <w:rFonts w:ascii="Times" w:hAnsi="Times"/>
                <w:sz w:val="20"/>
                <w:szCs w:val="20"/>
              </w:rPr>
              <w:t>35</w:t>
            </w:r>
          </w:p>
        </w:tc>
      </w:tr>
      <w:tr w:rsidR="005B2959" w:rsidRPr="00706615" w14:paraId="3830FB13" w14:textId="77777777" w:rsidTr="00CC23E9">
        <w:trPr>
          <w:trHeight w:val="259"/>
        </w:trPr>
        <w:tc>
          <w:tcPr>
            <w:tcW w:w="2250" w:type="dxa"/>
            <w:noWrap/>
            <w:vAlign w:val="center"/>
            <w:hideMark/>
          </w:tcPr>
          <w:p w14:paraId="27DA4CBD" w14:textId="77777777" w:rsidR="005B2959" w:rsidRPr="004D52B7" w:rsidRDefault="005B2959" w:rsidP="00CE4B72">
            <w:pPr>
              <w:rPr>
                <w:rFonts w:ascii="Times" w:hAnsi="Times"/>
                <w:sz w:val="20"/>
                <w:szCs w:val="20"/>
              </w:rPr>
            </w:pPr>
            <w:r w:rsidRPr="004D52B7">
              <w:rPr>
                <w:rFonts w:ascii="Times" w:hAnsi="Times"/>
                <w:sz w:val="20"/>
                <w:szCs w:val="20"/>
              </w:rPr>
              <w:t>Burkina Faso</w:t>
            </w:r>
          </w:p>
        </w:tc>
        <w:tc>
          <w:tcPr>
            <w:tcW w:w="1800" w:type="dxa"/>
            <w:tcBorders>
              <w:left w:val="single" w:sz="4" w:space="0" w:color="auto"/>
              <w:right w:val="nil"/>
            </w:tcBorders>
            <w:noWrap/>
            <w:vAlign w:val="center"/>
            <w:hideMark/>
          </w:tcPr>
          <w:p w14:paraId="7CBEB829" w14:textId="77777777" w:rsidR="005B2959" w:rsidRPr="004D52B7" w:rsidRDefault="005B2959" w:rsidP="00CE4B72">
            <w:pPr>
              <w:jc w:val="center"/>
              <w:rPr>
                <w:rFonts w:ascii="Times" w:hAnsi="Times"/>
                <w:sz w:val="20"/>
                <w:szCs w:val="20"/>
              </w:rPr>
            </w:pPr>
            <w:r w:rsidRPr="004D52B7">
              <w:rPr>
                <w:rFonts w:ascii="Times" w:hAnsi="Times"/>
                <w:sz w:val="20"/>
                <w:szCs w:val="20"/>
              </w:rPr>
              <w:t>4.2</w:t>
            </w:r>
          </w:p>
        </w:tc>
        <w:tc>
          <w:tcPr>
            <w:tcW w:w="810" w:type="dxa"/>
            <w:tcBorders>
              <w:left w:val="nil"/>
            </w:tcBorders>
            <w:vAlign w:val="center"/>
          </w:tcPr>
          <w:p w14:paraId="3BAC045E" w14:textId="77777777" w:rsidR="005B2959" w:rsidRPr="004D52B7" w:rsidRDefault="005B2959" w:rsidP="00CE4B72">
            <w:pPr>
              <w:jc w:val="center"/>
              <w:rPr>
                <w:rFonts w:ascii="Times" w:hAnsi="Times"/>
                <w:sz w:val="20"/>
                <w:szCs w:val="20"/>
              </w:rPr>
            </w:pPr>
            <w:r w:rsidRPr="004D52B7">
              <w:rPr>
                <w:rFonts w:ascii="Times" w:hAnsi="Times"/>
                <w:sz w:val="20"/>
                <w:szCs w:val="20"/>
              </w:rPr>
              <w:t>13</w:t>
            </w:r>
          </w:p>
        </w:tc>
        <w:tc>
          <w:tcPr>
            <w:tcW w:w="1080" w:type="dxa"/>
            <w:tcBorders>
              <w:right w:val="nil"/>
            </w:tcBorders>
            <w:noWrap/>
            <w:vAlign w:val="center"/>
            <w:hideMark/>
          </w:tcPr>
          <w:p w14:paraId="51304D35" w14:textId="77777777" w:rsidR="005B2959" w:rsidRPr="004D52B7" w:rsidRDefault="005B2959" w:rsidP="00CE4B72">
            <w:pPr>
              <w:jc w:val="center"/>
              <w:rPr>
                <w:rFonts w:ascii="Times" w:hAnsi="Times"/>
                <w:sz w:val="20"/>
                <w:szCs w:val="20"/>
              </w:rPr>
            </w:pPr>
            <w:r w:rsidRPr="004D52B7">
              <w:rPr>
                <w:rFonts w:ascii="Times" w:hAnsi="Times"/>
                <w:sz w:val="20"/>
                <w:szCs w:val="20"/>
              </w:rPr>
              <w:t>5.5</w:t>
            </w:r>
          </w:p>
        </w:tc>
        <w:tc>
          <w:tcPr>
            <w:tcW w:w="1170" w:type="dxa"/>
            <w:tcBorders>
              <w:left w:val="nil"/>
            </w:tcBorders>
            <w:vAlign w:val="center"/>
          </w:tcPr>
          <w:p w14:paraId="450ED9E6" w14:textId="77777777" w:rsidR="005B2959" w:rsidRPr="004D52B7" w:rsidRDefault="005B2959" w:rsidP="00CE4B72">
            <w:pPr>
              <w:jc w:val="center"/>
              <w:rPr>
                <w:rFonts w:ascii="Times" w:hAnsi="Times"/>
                <w:sz w:val="20"/>
                <w:szCs w:val="20"/>
              </w:rPr>
            </w:pPr>
            <w:r w:rsidRPr="004D52B7">
              <w:rPr>
                <w:rFonts w:ascii="Times" w:hAnsi="Times"/>
                <w:sz w:val="20"/>
                <w:szCs w:val="20"/>
              </w:rPr>
              <w:t>18</w:t>
            </w:r>
          </w:p>
        </w:tc>
        <w:tc>
          <w:tcPr>
            <w:tcW w:w="1170" w:type="dxa"/>
            <w:tcBorders>
              <w:right w:val="nil"/>
            </w:tcBorders>
            <w:noWrap/>
            <w:vAlign w:val="center"/>
            <w:hideMark/>
          </w:tcPr>
          <w:p w14:paraId="65CA18C1" w14:textId="77777777" w:rsidR="005B2959" w:rsidRPr="004D52B7" w:rsidRDefault="005B2959" w:rsidP="00CE4B72">
            <w:pPr>
              <w:jc w:val="center"/>
              <w:rPr>
                <w:rFonts w:ascii="Times" w:hAnsi="Times"/>
                <w:sz w:val="20"/>
                <w:szCs w:val="20"/>
              </w:rPr>
            </w:pPr>
            <w:r w:rsidRPr="004D52B7">
              <w:rPr>
                <w:rFonts w:ascii="Times" w:hAnsi="Times"/>
                <w:sz w:val="20"/>
                <w:szCs w:val="20"/>
              </w:rPr>
              <w:t>6.1</w:t>
            </w:r>
          </w:p>
        </w:tc>
        <w:tc>
          <w:tcPr>
            <w:tcW w:w="1080" w:type="dxa"/>
            <w:tcBorders>
              <w:left w:val="nil"/>
            </w:tcBorders>
            <w:noWrap/>
            <w:vAlign w:val="center"/>
            <w:hideMark/>
          </w:tcPr>
          <w:p w14:paraId="152499E7" w14:textId="77777777" w:rsidR="005B2959" w:rsidRPr="004D52B7" w:rsidRDefault="005B2959" w:rsidP="00CE4B72">
            <w:pPr>
              <w:jc w:val="center"/>
              <w:rPr>
                <w:rFonts w:ascii="Times" w:hAnsi="Times"/>
                <w:sz w:val="20"/>
                <w:szCs w:val="20"/>
              </w:rPr>
            </w:pPr>
            <w:r w:rsidRPr="004D52B7">
              <w:rPr>
                <w:rFonts w:ascii="Times" w:hAnsi="Times"/>
                <w:sz w:val="20"/>
                <w:szCs w:val="20"/>
              </w:rPr>
              <w:t>20</w:t>
            </w:r>
          </w:p>
        </w:tc>
      </w:tr>
      <w:tr w:rsidR="005B2959" w:rsidRPr="00706615" w14:paraId="1F75A226" w14:textId="77777777" w:rsidTr="00CC23E9">
        <w:trPr>
          <w:trHeight w:val="259"/>
        </w:trPr>
        <w:tc>
          <w:tcPr>
            <w:tcW w:w="2250" w:type="dxa"/>
            <w:noWrap/>
            <w:vAlign w:val="center"/>
            <w:hideMark/>
          </w:tcPr>
          <w:p w14:paraId="4A1CDEAB" w14:textId="77777777" w:rsidR="005B2959" w:rsidRPr="004D52B7" w:rsidRDefault="005B2959" w:rsidP="00CE4B72">
            <w:pPr>
              <w:rPr>
                <w:rFonts w:ascii="Times" w:hAnsi="Times"/>
                <w:sz w:val="20"/>
                <w:szCs w:val="20"/>
              </w:rPr>
            </w:pPr>
            <w:r w:rsidRPr="004D52B7">
              <w:rPr>
                <w:rFonts w:ascii="Times" w:hAnsi="Times"/>
                <w:sz w:val="20"/>
                <w:szCs w:val="20"/>
              </w:rPr>
              <w:t>Guinea</w:t>
            </w:r>
          </w:p>
        </w:tc>
        <w:tc>
          <w:tcPr>
            <w:tcW w:w="1800" w:type="dxa"/>
            <w:tcBorders>
              <w:left w:val="single" w:sz="4" w:space="0" w:color="auto"/>
              <w:right w:val="nil"/>
            </w:tcBorders>
            <w:noWrap/>
            <w:vAlign w:val="center"/>
            <w:hideMark/>
          </w:tcPr>
          <w:p w14:paraId="50972CFF"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c>
          <w:tcPr>
            <w:tcW w:w="810" w:type="dxa"/>
            <w:tcBorders>
              <w:left w:val="nil"/>
            </w:tcBorders>
            <w:vAlign w:val="center"/>
          </w:tcPr>
          <w:p w14:paraId="52A61B89" w14:textId="77777777" w:rsidR="005B2959" w:rsidRPr="004D52B7" w:rsidRDefault="005B2959" w:rsidP="00CE4B72">
            <w:pPr>
              <w:jc w:val="center"/>
              <w:rPr>
                <w:rFonts w:ascii="Times" w:hAnsi="Times"/>
                <w:sz w:val="20"/>
                <w:szCs w:val="20"/>
              </w:rPr>
            </w:pPr>
            <w:r w:rsidRPr="004D52B7">
              <w:rPr>
                <w:rFonts w:ascii="Times" w:hAnsi="Times"/>
                <w:sz w:val="20"/>
                <w:szCs w:val="20"/>
              </w:rPr>
              <w:t>31</w:t>
            </w:r>
          </w:p>
        </w:tc>
        <w:tc>
          <w:tcPr>
            <w:tcW w:w="1080" w:type="dxa"/>
            <w:tcBorders>
              <w:right w:val="nil"/>
            </w:tcBorders>
            <w:noWrap/>
            <w:vAlign w:val="center"/>
            <w:hideMark/>
          </w:tcPr>
          <w:p w14:paraId="497B3BFF" w14:textId="77777777" w:rsidR="005B2959" w:rsidRPr="004D52B7" w:rsidRDefault="005B2959" w:rsidP="00CE4B72">
            <w:pPr>
              <w:jc w:val="center"/>
              <w:rPr>
                <w:rFonts w:ascii="Times" w:hAnsi="Times"/>
                <w:sz w:val="20"/>
                <w:szCs w:val="20"/>
              </w:rPr>
            </w:pPr>
            <w:r w:rsidRPr="004D52B7">
              <w:rPr>
                <w:rFonts w:ascii="Times" w:hAnsi="Times"/>
                <w:sz w:val="20"/>
                <w:szCs w:val="20"/>
              </w:rPr>
              <w:t>4.0</w:t>
            </w:r>
          </w:p>
        </w:tc>
        <w:tc>
          <w:tcPr>
            <w:tcW w:w="1170" w:type="dxa"/>
            <w:tcBorders>
              <w:left w:val="nil"/>
            </w:tcBorders>
            <w:vAlign w:val="center"/>
          </w:tcPr>
          <w:p w14:paraId="17B98EB0" w14:textId="77777777" w:rsidR="005B2959" w:rsidRPr="004D52B7" w:rsidRDefault="005B2959" w:rsidP="00CE4B72">
            <w:pPr>
              <w:jc w:val="center"/>
              <w:rPr>
                <w:rFonts w:ascii="Times" w:hAnsi="Times"/>
                <w:sz w:val="20"/>
                <w:szCs w:val="20"/>
              </w:rPr>
            </w:pPr>
            <w:r w:rsidRPr="004D52B7">
              <w:rPr>
                <w:rFonts w:ascii="Times" w:hAnsi="Times"/>
                <w:sz w:val="20"/>
                <w:szCs w:val="20"/>
              </w:rPr>
              <w:t>26</w:t>
            </w:r>
          </w:p>
        </w:tc>
        <w:tc>
          <w:tcPr>
            <w:tcW w:w="1170" w:type="dxa"/>
            <w:tcBorders>
              <w:right w:val="nil"/>
            </w:tcBorders>
            <w:noWrap/>
            <w:vAlign w:val="center"/>
            <w:hideMark/>
          </w:tcPr>
          <w:p w14:paraId="44A3C2BD" w14:textId="77777777" w:rsidR="005B2959" w:rsidRPr="004D52B7" w:rsidRDefault="005B2959" w:rsidP="00CE4B72">
            <w:pPr>
              <w:jc w:val="center"/>
              <w:rPr>
                <w:rFonts w:ascii="Times" w:hAnsi="Times"/>
                <w:sz w:val="20"/>
                <w:szCs w:val="20"/>
              </w:rPr>
            </w:pPr>
            <w:r w:rsidRPr="004D52B7">
              <w:rPr>
                <w:rFonts w:ascii="Times" w:hAnsi="Times"/>
                <w:sz w:val="20"/>
                <w:szCs w:val="20"/>
              </w:rPr>
              <w:t>4.4</w:t>
            </w:r>
          </w:p>
        </w:tc>
        <w:tc>
          <w:tcPr>
            <w:tcW w:w="1080" w:type="dxa"/>
            <w:tcBorders>
              <w:left w:val="nil"/>
            </w:tcBorders>
            <w:noWrap/>
            <w:vAlign w:val="center"/>
            <w:hideMark/>
          </w:tcPr>
          <w:p w14:paraId="5972AD77" w14:textId="77777777" w:rsidR="005B2959" w:rsidRPr="004D52B7" w:rsidRDefault="005B2959" w:rsidP="00CE4B72">
            <w:pPr>
              <w:jc w:val="center"/>
              <w:rPr>
                <w:rFonts w:ascii="Times" w:hAnsi="Times"/>
                <w:sz w:val="20"/>
                <w:szCs w:val="20"/>
              </w:rPr>
            </w:pPr>
            <w:r w:rsidRPr="004D52B7">
              <w:rPr>
                <w:rFonts w:ascii="Times" w:hAnsi="Times"/>
                <w:sz w:val="20"/>
                <w:szCs w:val="20"/>
              </w:rPr>
              <w:t>27</w:t>
            </w:r>
          </w:p>
        </w:tc>
      </w:tr>
      <w:tr w:rsidR="005B2959" w:rsidRPr="00706615" w14:paraId="44B52C4C" w14:textId="77777777" w:rsidTr="00CC23E9">
        <w:trPr>
          <w:trHeight w:val="259"/>
        </w:trPr>
        <w:tc>
          <w:tcPr>
            <w:tcW w:w="2250" w:type="dxa"/>
            <w:noWrap/>
            <w:vAlign w:val="center"/>
            <w:hideMark/>
          </w:tcPr>
          <w:p w14:paraId="7EDA3F34" w14:textId="77777777" w:rsidR="005B2959" w:rsidRPr="004D52B7" w:rsidRDefault="005B2959" w:rsidP="00CE4B72">
            <w:pPr>
              <w:rPr>
                <w:rFonts w:ascii="Times" w:hAnsi="Times"/>
                <w:sz w:val="20"/>
                <w:szCs w:val="20"/>
              </w:rPr>
            </w:pPr>
            <w:r w:rsidRPr="004D52B7">
              <w:rPr>
                <w:rFonts w:ascii="Times" w:hAnsi="Times"/>
                <w:sz w:val="20"/>
                <w:szCs w:val="20"/>
              </w:rPr>
              <w:t>Gambia, The</w:t>
            </w:r>
          </w:p>
        </w:tc>
        <w:tc>
          <w:tcPr>
            <w:tcW w:w="1800" w:type="dxa"/>
            <w:tcBorders>
              <w:left w:val="single" w:sz="4" w:space="0" w:color="auto"/>
              <w:right w:val="nil"/>
            </w:tcBorders>
            <w:noWrap/>
            <w:vAlign w:val="center"/>
            <w:hideMark/>
          </w:tcPr>
          <w:p w14:paraId="15B79EF6"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c>
          <w:tcPr>
            <w:tcW w:w="810" w:type="dxa"/>
            <w:tcBorders>
              <w:left w:val="nil"/>
            </w:tcBorders>
            <w:vAlign w:val="center"/>
          </w:tcPr>
          <w:p w14:paraId="4059FA97" w14:textId="77777777" w:rsidR="005B2959" w:rsidRPr="004D52B7" w:rsidRDefault="005B2959" w:rsidP="00CE4B72">
            <w:pPr>
              <w:jc w:val="center"/>
              <w:rPr>
                <w:rFonts w:ascii="Times" w:hAnsi="Times"/>
                <w:sz w:val="20"/>
                <w:szCs w:val="20"/>
              </w:rPr>
            </w:pPr>
            <w:r w:rsidRPr="004D52B7">
              <w:rPr>
                <w:rFonts w:ascii="Times" w:hAnsi="Times"/>
                <w:sz w:val="20"/>
                <w:szCs w:val="20"/>
              </w:rPr>
              <w:t>32</w:t>
            </w:r>
          </w:p>
        </w:tc>
        <w:tc>
          <w:tcPr>
            <w:tcW w:w="1080" w:type="dxa"/>
            <w:tcBorders>
              <w:right w:val="nil"/>
            </w:tcBorders>
            <w:noWrap/>
            <w:vAlign w:val="center"/>
            <w:hideMark/>
          </w:tcPr>
          <w:p w14:paraId="56EF47AC" w14:textId="77777777" w:rsidR="005B2959" w:rsidRPr="004D52B7" w:rsidRDefault="005B2959" w:rsidP="00CE4B72">
            <w:pPr>
              <w:jc w:val="center"/>
              <w:rPr>
                <w:rFonts w:ascii="Times" w:hAnsi="Times"/>
                <w:sz w:val="20"/>
                <w:szCs w:val="20"/>
              </w:rPr>
            </w:pPr>
            <w:r w:rsidRPr="004D52B7">
              <w:rPr>
                <w:rFonts w:ascii="Times" w:hAnsi="Times"/>
                <w:sz w:val="20"/>
                <w:szCs w:val="20"/>
              </w:rPr>
              <w:t>3.4</w:t>
            </w:r>
          </w:p>
        </w:tc>
        <w:tc>
          <w:tcPr>
            <w:tcW w:w="1170" w:type="dxa"/>
            <w:tcBorders>
              <w:left w:val="nil"/>
            </w:tcBorders>
            <w:vAlign w:val="center"/>
          </w:tcPr>
          <w:p w14:paraId="349D8300" w14:textId="77777777" w:rsidR="005B2959" w:rsidRPr="004D52B7" w:rsidRDefault="005B2959" w:rsidP="00CE4B72">
            <w:pPr>
              <w:jc w:val="center"/>
              <w:rPr>
                <w:rFonts w:ascii="Times" w:hAnsi="Times"/>
                <w:sz w:val="20"/>
                <w:szCs w:val="20"/>
              </w:rPr>
            </w:pPr>
            <w:r w:rsidRPr="004D52B7">
              <w:rPr>
                <w:rFonts w:ascii="Times" w:hAnsi="Times"/>
                <w:sz w:val="20"/>
                <w:szCs w:val="20"/>
              </w:rPr>
              <w:t>31</w:t>
            </w:r>
          </w:p>
        </w:tc>
        <w:tc>
          <w:tcPr>
            <w:tcW w:w="1170" w:type="dxa"/>
            <w:tcBorders>
              <w:right w:val="nil"/>
            </w:tcBorders>
            <w:noWrap/>
            <w:vAlign w:val="center"/>
            <w:hideMark/>
          </w:tcPr>
          <w:p w14:paraId="19B777F6" w14:textId="77777777" w:rsidR="005B2959" w:rsidRPr="004D52B7" w:rsidRDefault="005B2959" w:rsidP="00CE4B72">
            <w:pPr>
              <w:jc w:val="center"/>
              <w:rPr>
                <w:rFonts w:ascii="Times" w:hAnsi="Times"/>
                <w:sz w:val="20"/>
                <w:szCs w:val="20"/>
              </w:rPr>
            </w:pPr>
            <w:r w:rsidRPr="004D52B7">
              <w:rPr>
                <w:rFonts w:ascii="Times" w:hAnsi="Times"/>
                <w:sz w:val="20"/>
                <w:szCs w:val="20"/>
              </w:rPr>
              <w:t>3.9</w:t>
            </w:r>
          </w:p>
        </w:tc>
        <w:tc>
          <w:tcPr>
            <w:tcW w:w="1080" w:type="dxa"/>
            <w:tcBorders>
              <w:left w:val="nil"/>
            </w:tcBorders>
            <w:noWrap/>
            <w:vAlign w:val="center"/>
            <w:hideMark/>
          </w:tcPr>
          <w:p w14:paraId="2E81CD7E" w14:textId="77777777" w:rsidR="005B2959" w:rsidRPr="004D52B7" w:rsidRDefault="005B2959" w:rsidP="00CE4B72">
            <w:pPr>
              <w:jc w:val="center"/>
              <w:rPr>
                <w:rFonts w:ascii="Times" w:hAnsi="Times"/>
                <w:sz w:val="20"/>
                <w:szCs w:val="20"/>
              </w:rPr>
            </w:pPr>
            <w:r w:rsidRPr="004D52B7">
              <w:rPr>
                <w:rFonts w:ascii="Times" w:hAnsi="Times"/>
                <w:sz w:val="20"/>
                <w:szCs w:val="20"/>
              </w:rPr>
              <w:t>30</w:t>
            </w:r>
          </w:p>
        </w:tc>
      </w:tr>
      <w:tr w:rsidR="005B2959" w:rsidRPr="00706615" w14:paraId="567F356A" w14:textId="77777777" w:rsidTr="00CC23E9">
        <w:trPr>
          <w:trHeight w:val="259"/>
        </w:trPr>
        <w:tc>
          <w:tcPr>
            <w:tcW w:w="2250" w:type="dxa"/>
            <w:noWrap/>
            <w:vAlign w:val="center"/>
            <w:hideMark/>
          </w:tcPr>
          <w:p w14:paraId="75712B0F" w14:textId="77777777" w:rsidR="005B2959" w:rsidRPr="004D52B7" w:rsidRDefault="005B2959" w:rsidP="00CE4B72">
            <w:pPr>
              <w:rPr>
                <w:rFonts w:ascii="Times" w:hAnsi="Times"/>
                <w:sz w:val="20"/>
                <w:szCs w:val="20"/>
              </w:rPr>
            </w:pPr>
            <w:r w:rsidRPr="004D52B7">
              <w:rPr>
                <w:rFonts w:ascii="Times" w:hAnsi="Times"/>
                <w:sz w:val="20"/>
                <w:szCs w:val="20"/>
              </w:rPr>
              <w:t>Sierra Leone</w:t>
            </w:r>
          </w:p>
        </w:tc>
        <w:tc>
          <w:tcPr>
            <w:tcW w:w="1800" w:type="dxa"/>
            <w:tcBorders>
              <w:left w:val="single" w:sz="4" w:space="0" w:color="auto"/>
              <w:right w:val="nil"/>
            </w:tcBorders>
            <w:noWrap/>
            <w:vAlign w:val="center"/>
            <w:hideMark/>
          </w:tcPr>
          <w:p w14:paraId="118DDB48" w14:textId="77777777" w:rsidR="005B2959" w:rsidRPr="004D52B7" w:rsidRDefault="005B2959" w:rsidP="00CE4B72">
            <w:pPr>
              <w:jc w:val="center"/>
              <w:rPr>
                <w:rFonts w:ascii="Times" w:hAnsi="Times"/>
                <w:sz w:val="20"/>
                <w:szCs w:val="20"/>
              </w:rPr>
            </w:pPr>
            <w:r w:rsidRPr="004D52B7">
              <w:rPr>
                <w:rFonts w:ascii="Times" w:hAnsi="Times"/>
                <w:sz w:val="20"/>
                <w:szCs w:val="20"/>
              </w:rPr>
              <w:t>2.5</w:t>
            </w:r>
          </w:p>
        </w:tc>
        <w:tc>
          <w:tcPr>
            <w:tcW w:w="810" w:type="dxa"/>
            <w:tcBorders>
              <w:left w:val="nil"/>
            </w:tcBorders>
            <w:vAlign w:val="center"/>
          </w:tcPr>
          <w:p w14:paraId="0A222450" w14:textId="77777777" w:rsidR="005B2959" w:rsidRPr="004D52B7" w:rsidRDefault="005B2959" w:rsidP="00CE4B72">
            <w:pPr>
              <w:jc w:val="center"/>
              <w:rPr>
                <w:rFonts w:ascii="Times" w:hAnsi="Times"/>
                <w:sz w:val="20"/>
                <w:szCs w:val="20"/>
              </w:rPr>
            </w:pPr>
            <w:r w:rsidRPr="004D52B7">
              <w:rPr>
                <w:rFonts w:ascii="Times" w:hAnsi="Times"/>
                <w:sz w:val="20"/>
                <w:szCs w:val="20"/>
              </w:rPr>
              <w:t>26</w:t>
            </w:r>
          </w:p>
        </w:tc>
        <w:tc>
          <w:tcPr>
            <w:tcW w:w="1080" w:type="dxa"/>
            <w:tcBorders>
              <w:right w:val="nil"/>
            </w:tcBorders>
            <w:noWrap/>
            <w:vAlign w:val="center"/>
            <w:hideMark/>
          </w:tcPr>
          <w:p w14:paraId="5AD7CBA8" w14:textId="77777777" w:rsidR="005B2959" w:rsidRPr="004D52B7" w:rsidRDefault="005B2959" w:rsidP="00CE4B72">
            <w:pPr>
              <w:jc w:val="center"/>
              <w:rPr>
                <w:rFonts w:ascii="Times" w:hAnsi="Times"/>
                <w:sz w:val="20"/>
                <w:szCs w:val="20"/>
              </w:rPr>
            </w:pPr>
            <w:r w:rsidRPr="004D52B7">
              <w:rPr>
                <w:rFonts w:ascii="Times" w:hAnsi="Times"/>
                <w:sz w:val="20"/>
                <w:szCs w:val="20"/>
              </w:rPr>
              <w:t>3.2</w:t>
            </w:r>
          </w:p>
        </w:tc>
        <w:tc>
          <w:tcPr>
            <w:tcW w:w="1170" w:type="dxa"/>
            <w:tcBorders>
              <w:left w:val="nil"/>
            </w:tcBorders>
            <w:vAlign w:val="center"/>
          </w:tcPr>
          <w:p w14:paraId="23ACC785" w14:textId="77777777" w:rsidR="005B2959" w:rsidRPr="004D52B7" w:rsidRDefault="005B2959" w:rsidP="00CE4B72">
            <w:pPr>
              <w:jc w:val="center"/>
              <w:rPr>
                <w:rFonts w:ascii="Times" w:hAnsi="Times"/>
                <w:sz w:val="20"/>
                <w:szCs w:val="20"/>
              </w:rPr>
            </w:pPr>
            <w:r w:rsidRPr="004D52B7">
              <w:rPr>
                <w:rFonts w:ascii="Times" w:hAnsi="Times"/>
                <w:sz w:val="20"/>
                <w:szCs w:val="20"/>
              </w:rPr>
              <w:t>33</w:t>
            </w:r>
          </w:p>
        </w:tc>
        <w:tc>
          <w:tcPr>
            <w:tcW w:w="1170" w:type="dxa"/>
            <w:tcBorders>
              <w:right w:val="nil"/>
            </w:tcBorders>
            <w:noWrap/>
            <w:vAlign w:val="center"/>
            <w:hideMark/>
          </w:tcPr>
          <w:p w14:paraId="366F0AD7" w14:textId="77777777" w:rsidR="005B2959" w:rsidRPr="004D52B7" w:rsidRDefault="005B2959" w:rsidP="00CE4B72">
            <w:pPr>
              <w:jc w:val="center"/>
              <w:rPr>
                <w:rFonts w:ascii="Times" w:hAnsi="Times"/>
                <w:sz w:val="20"/>
                <w:szCs w:val="20"/>
              </w:rPr>
            </w:pPr>
            <w:r w:rsidRPr="004D52B7">
              <w:rPr>
                <w:rFonts w:ascii="Times" w:hAnsi="Times"/>
                <w:sz w:val="20"/>
                <w:szCs w:val="20"/>
              </w:rPr>
              <w:t>3.5</w:t>
            </w:r>
          </w:p>
        </w:tc>
        <w:tc>
          <w:tcPr>
            <w:tcW w:w="1080" w:type="dxa"/>
            <w:tcBorders>
              <w:left w:val="nil"/>
            </w:tcBorders>
            <w:noWrap/>
            <w:vAlign w:val="center"/>
            <w:hideMark/>
          </w:tcPr>
          <w:p w14:paraId="5CFFA58F" w14:textId="77777777" w:rsidR="005B2959" w:rsidRPr="004D52B7" w:rsidRDefault="005B2959" w:rsidP="00CE4B72">
            <w:pPr>
              <w:jc w:val="center"/>
              <w:rPr>
                <w:rFonts w:ascii="Times" w:hAnsi="Times"/>
                <w:sz w:val="20"/>
                <w:szCs w:val="20"/>
              </w:rPr>
            </w:pPr>
            <w:r w:rsidRPr="004D52B7">
              <w:rPr>
                <w:rFonts w:ascii="Times" w:hAnsi="Times"/>
                <w:sz w:val="20"/>
                <w:szCs w:val="20"/>
              </w:rPr>
              <w:t>34</w:t>
            </w:r>
          </w:p>
        </w:tc>
      </w:tr>
      <w:tr w:rsidR="005B2959" w:rsidRPr="00706615" w14:paraId="17DD8690" w14:textId="77777777" w:rsidTr="00CC23E9">
        <w:trPr>
          <w:trHeight w:val="259"/>
        </w:trPr>
        <w:tc>
          <w:tcPr>
            <w:tcW w:w="2250" w:type="dxa"/>
            <w:noWrap/>
            <w:vAlign w:val="center"/>
            <w:hideMark/>
          </w:tcPr>
          <w:p w14:paraId="693114DF" w14:textId="77777777" w:rsidR="005B2959" w:rsidRPr="004D52B7" w:rsidRDefault="005B2959" w:rsidP="00CE4B72">
            <w:pPr>
              <w:rPr>
                <w:rFonts w:ascii="Times" w:hAnsi="Times"/>
                <w:sz w:val="20"/>
                <w:szCs w:val="20"/>
              </w:rPr>
            </w:pPr>
            <w:r w:rsidRPr="004D52B7">
              <w:rPr>
                <w:rFonts w:ascii="Times" w:hAnsi="Times"/>
                <w:sz w:val="20"/>
                <w:szCs w:val="20"/>
              </w:rPr>
              <w:t>South Sudan</w:t>
            </w:r>
          </w:p>
        </w:tc>
        <w:tc>
          <w:tcPr>
            <w:tcW w:w="1800" w:type="dxa"/>
            <w:tcBorders>
              <w:left w:val="single" w:sz="4" w:space="0" w:color="auto"/>
              <w:right w:val="nil"/>
            </w:tcBorders>
            <w:noWrap/>
            <w:vAlign w:val="center"/>
            <w:hideMark/>
          </w:tcPr>
          <w:p w14:paraId="1AFAA866" w14:textId="77777777" w:rsidR="005B2959" w:rsidRPr="004D52B7" w:rsidRDefault="005B2959" w:rsidP="00CE4B72">
            <w:pPr>
              <w:jc w:val="center"/>
              <w:rPr>
                <w:rFonts w:ascii="Times" w:hAnsi="Times"/>
                <w:sz w:val="20"/>
                <w:szCs w:val="20"/>
              </w:rPr>
            </w:pPr>
            <w:r w:rsidRPr="004D52B7">
              <w:rPr>
                <w:rFonts w:ascii="Times" w:hAnsi="Times"/>
                <w:sz w:val="20"/>
                <w:szCs w:val="20"/>
              </w:rPr>
              <w:t>1.6</w:t>
            </w:r>
          </w:p>
        </w:tc>
        <w:tc>
          <w:tcPr>
            <w:tcW w:w="810" w:type="dxa"/>
            <w:tcBorders>
              <w:left w:val="nil"/>
            </w:tcBorders>
            <w:vAlign w:val="center"/>
          </w:tcPr>
          <w:p w14:paraId="1D1B0E6C" w14:textId="77777777" w:rsidR="005B2959" w:rsidRPr="004D52B7" w:rsidRDefault="005B2959" w:rsidP="00CE4B72">
            <w:pPr>
              <w:jc w:val="center"/>
              <w:rPr>
                <w:rFonts w:ascii="Times" w:hAnsi="Times"/>
                <w:sz w:val="20"/>
                <w:szCs w:val="20"/>
              </w:rPr>
            </w:pPr>
            <w:r w:rsidRPr="004D52B7">
              <w:rPr>
                <w:rFonts w:ascii="Times" w:hAnsi="Times"/>
                <w:sz w:val="20"/>
                <w:szCs w:val="20"/>
              </w:rPr>
              <w:t>36</w:t>
            </w:r>
          </w:p>
        </w:tc>
        <w:tc>
          <w:tcPr>
            <w:tcW w:w="1080" w:type="dxa"/>
            <w:tcBorders>
              <w:right w:val="nil"/>
            </w:tcBorders>
            <w:noWrap/>
            <w:vAlign w:val="center"/>
            <w:hideMark/>
          </w:tcPr>
          <w:p w14:paraId="32051602" w14:textId="77777777" w:rsidR="005B2959" w:rsidRPr="004D52B7" w:rsidRDefault="005B2959" w:rsidP="00CE4B72">
            <w:pPr>
              <w:jc w:val="center"/>
              <w:rPr>
                <w:rFonts w:ascii="Times" w:hAnsi="Times"/>
                <w:sz w:val="20"/>
                <w:szCs w:val="20"/>
              </w:rPr>
            </w:pPr>
            <w:r w:rsidRPr="004D52B7">
              <w:rPr>
                <w:rFonts w:ascii="Times" w:hAnsi="Times"/>
                <w:sz w:val="20"/>
                <w:szCs w:val="20"/>
              </w:rPr>
              <w:t>5.6</w:t>
            </w:r>
          </w:p>
        </w:tc>
        <w:tc>
          <w:tcPr>
            <w:tcW w:w="1170" w:type="dxa"/>
            <w:tcBorders>
              <w:left w:val="nil"/>
            </w:tcBorders>
            <w:vAlign w:val="center"/>
          </w:tcPr>
          <w:p w14:paraId="082A1D3A" w14:textId="77777777" w:rsidR="005B2959" w:rsidRPr="004D52B7" w:rsidRDefault="005B2959" w:rsidP="00CE4B72">
            <w:pPr>
              <w:jc w:val="center"/>
              <w:rPr>
                <w:rFonts w:ascii="Times" w:hAnsi="Times"/>
                <w:sz w:val="20"/>
                <w:szCs w:val="20"/>
              </w:rPr>
            </w:pPr>
            <w:r w:rsidRPr="004D52B7">
              <w:rPr>
                <w:rFonts w:ascii="Times" w:hAnsi="Times"/>
                <w:sz w:val="20"/>
                <w:szCs w:val="20"/>
              </w:rPr>
              <w:t>16</w:t>
            </w:r>
          </w:p>
        </w:tc>
        <w:tc>
          <w:tcPr>
            <w:tcW w:w="1170" w:type="dxa"/>
            <w:tcBorders>
              <w:right w:val="nil"/>
            </w:tcBorders>
            <w:noWrap/>
            <w:vAlign w:val="center"/>
            <w:hideMark/>
          </w:tcPr>
          <w:p w14:paraId="52AFED05" w14:textId="77777777" w:rsidR="005B2959" w:rsidRPr="004D52B7" w:rsidRDefault="005B2959" w:rsidP="00CE4B72">
            <w:pPr>
              <w:jc w:val="center"/>
              <w:rPr>
                <w:rFonts w:ascii="Times" w:hAnsi="Times"/>
                <w:sz w:val="20"/>
                <w:szCs w:val="20"/>
              </w:rPr>
            </w:pPr>
            <w:r w:rsidRPr="004D52B7">
              <w:rPr>
                <w:rFonts w:ascii="Times" w:hAnsi="Times"/>
                <w:sz w:val="20"/>
                <w:szCs w:val="20"/>
              </w:rPr>
              <w:t>12.5</w:t>
            </w:r>
          </w:p>
        </w:tc>
        <w:tc>
          <w:tcPr>
            <w:tcW w:w="1080" w:type="dxa"/>
            <w:tcBorders>
              <w:left w:val="nil"/>
            </w:tcBorders>
            <w:noWrap/>
            <w:vAlign w:val="center"/>
            <w:hideMark/>
          </w:tcPr>
          <w:p w14:paraId="4224C670" w14:textId="77777777" w:rsidR="005B2959" w:rsidRPr="004D52B7" w:rsidRDefault="005B2959" w:rsidP="00CE4B72">
            <w:pPr>
              <w:jc w:val="center"/>
              <w:rPr>
                <w:rFonts w:ascii="Times" w:hAnsi="Times"/>
                <w:sz w:val="20"/>
                <w:szCs w:val="20"/>
              </w:rPr>
            </w:pPr>
            <w:r w:rsidRPr="004D52B7">
              <w:rPr>
                <w:rFonts w:ascii="Times" w:hAnsi="Times"/>
                <w:sz w:val="20"/>
                <w:szCs w:val="20"/>
              </w:rPr>
              <w:t>1</w:t>
            </w:r>
          </w:p>
        </w:tc>
      </w:tr>
      <w:tr w:rsidR="005B2959" w:rsidRPr="00706615" w14:paraId="52002E37" w14:textId="77777777" w:rsidTr="00CC23E9">
        <w:trPr>
          <w:trHeight w:val="259"/>
        </w:trPr>
        <w:tc>
          <w:tcPr>
            <w:tcW w:w="2250" w:type="dxa"/>
            <w:noWrap/>
            <w:vAlign w:val="center"/>
            <w:hideMark/>
          </w:tcPr>
          <w:p w14:paraId="28800DEB" w14:textId="77777777" w:rsidR="005B2959" w:rsidRPr="004D52B7" w:rsidRDefault="005B2959" w:rsidP="00CE4B72">
            <w:pPr>
              <w:rPr>
                <w:rFonts w:ascii="Times" w:hAnsi="Times"/>
                <w:sz w:val="20"/>
                <w:szCs w:val="20"/>
              </w:rPr>
            </w:pPr>
            <w:r w:rsidRPr="004D52B7">
              <w:rPr>
                <w:rFonts w:ascii="Times" w:hAnsi="Times"/>
                <w:sz w:val="20"/>
                <w:szCs w:val="20"/>
              </w:rPr>
              <w:t>Mali</w:t>
            </w:r>
          </w:p>
        </w:tc>
        <w:tc>
          <w:tcPr>
            <w:tcW w:w="1800" w:type="dxa"/>
            <w:tcBorders>
              <w:left w:val="single" w:sz="4" w:space="0" w:color="auto"/>
              <w:right w:val="nil"/>
            </w:tcBorders>
            <w:noWrap/>
            <w:vAlign w:val="center"/>
            <w:hideMark/>
          </w:tcPr>
          <w:p w14:paraId="53A2AE69" w14:textId="77777777" w:rsidR="005B2959" w:rsidRPr="004D52B7" w:rsidRDefault="005B2959" w:rsidP="00CE4B72">
            <w:pPr>
              <w:jc w:val="center"/>
              <w:rPr>
                <w:rFonts w:ascii="Times" w:hAnsi="Times"/>
                <w:sz w:val="20"/>
                <w:szCs w:val="20"/>
              </w:rPr>
            </w:pPr>
            <w:r w:rsidRPr="004D52B7">
              <w:rPr>
                <w:rFonts w:ascii="Times" w:hAnsi="Times"/>
                <w:sz w:val="20"/>
                <w:szCs w:val="20"/>
              </w:rPr>
              <w:t>2.2</w:t>
            </w:r>
          </w:p>
        </w:tc>
        <w:tc>
          <w:tcPr>
            <w:tcW w:w="810" w:type="dxa"/>
            <w:tcBorders>
              <w:left w:val="nil"/>
            </w:tcBorders>
            <w:vAlign w:val="center"/>
          </w:tcPr>
          <w:p w14:paraId="2309DB45" w14:textId="77777777" w:rsidR="005B2959" w:rsidRPr="004D52B7" w:rsidRDefault="005B2959" w:rsidP="00CE4B72">
            <w:pPr>
              <w:jc w:val="center"/>
              <w:rPr>
                <w:rFonts w:ascii="Times" w:hAnsi="Times"/>
                <w:sz w:val="20"/>
                <w:szCs w:val="20"/>
              </w:rPr>
            </w:pPr>
            <w:r w:rsidRPr="004D52B7">
              <w:rPr>
                <w:rFonts w:ascii="Times" w:hAnsi="Times"/>
                <w:sz w:val="20"/>
                <w:szCs w:val="20"/>
              </w:rPr>
              <w:t>34</w:t>
            </w:r>
          </w:p>
        </w:tc>
        <w:tc>
          <w:tcPr>
            <w:tcW w:w="1080" w:type="dxa"/>
            <w:tcBorders>
              <w:right w:val="nil"/>
            </w:tcBorders>
            <w:noWrap/>
            <w:vAlign w:val="center"/>
            <w:hideMark/>
          </w:tcPr>
          <w:p w14:paraId="4C2DB9D6" w14:textId="77777777" w:rsidR="005B2959" w:rsidRPr="004D52B7" w:rsidRDefault="005B2959" w:rsidP="00CE4B72">
            <w:pPr>
              <w:jc w:val="center"/>
              <w:rPr>
                <w:rFonts w:ascii="Times" w:hAnsi="Times"/>
                <w:sz w:val="20"/>
                <w:szCs w:val="20"/>
              </w:rPr>
            </w:pPr>
            <w:r w:rsidRPr="004D52B7">
              <w:rPr>
                <w:rFonts w:ascii="Times" w:hAnsi="Times"/>
                <w:sz w:val="20"/>
                <w:szCs w:val="20"/>
              </w:rPr>
              <w:t>4.3</w:t>
            </w:r>
          </w:p>
        </w:tc>
        <w:tc>
          <w:tcPr>
            <w:tcW w:w="1170" w:type="dxa"/>
            <w:tcBorders>
              <w:left w:val="nil"/>
            </w:tcBorders>
            <w:vAlign w:val="center"/>
          </w:tcPr>
          <w:p w14:paraId="113F236F" w14:textId="77777777" w:rsidR="005B2959" w:rsidRPr="004D52B7" w:rsidRDefault="005B2959" w:rsidP="00CE4B72">
            <w:pPr>
              <w:jc w:val="center"/>
              <w:rPr>
                <w:rFonts w:ascii="Times" w:hAnsi="Times"/>
                <w:sz w:val="20"/>
                <w:szCs w:val="20"/>
              </w:rPr>
            </w:pPr>
            <w:r w:rsidRPr="004D52B7">
              <w:rPr>
                <w:rFonts w:ascii="Times" w:hAnsi="Times"/>
                <w:sz w:val="20"/>
                <w:szCs w:val="20"/>
              </w:rPr>
              <w:t>25</w:t>
            </w:r>
          </w:p>
        </w:tc>
        <w:tc>
          <w:tcPr>
            <w:tcW w:w="1170" w:type="dxa"/>
            <w:tcBorders>
              <w:right w:val="nil"/>
            </w:tcBorders>
            <w:noWrap/>
            <w:vAlign w:val="center"/>
            <w:hideMark/>
          </w:tcPr>
          <w:p w14:paraId="3E3F00E3" w14:textId="77777777" w:rsidR="005B2959" w:rsidRPr="004D52B7" w:rsidRDefault="005B2959" w:rsidP="00CE4B72">
            <w:pPr>
              <w:jc w:val="center"/>
              <w:rPr>
                <w:rFonts w:ascii="Times" w:hAnsi="Times"/>
                <w:sz w:val="20"/>
                <w:szCs w:val="20"/>
              </w:rPr>
            </w:pPr>
            <w:r w:rsidRPr="004D52B7">
              <w:rPr>
                <w:rFonts w:ascii="Times" w:hAnsi="Times"/>
                <w:sz w:val="20"/>
                <w:szCs w:val="20"/>
              </w:rPr>
              <w:t>4.5</w:t>
            </w:r>
          </w:p>
        </w:tc>
        <w:tc>
          <w:tcPr>
            <w:tcW w:w="1080" w:type="dxa"/>
            <w:tcBorders>
              <w:left w:val="nil"/>
            </w:tcBorders>
            <w:noWrap/>
            <w:vAlign w:val="center"/>
            <w:hideMark/>
          </w:tcPr>
          <w:p w14:paraId="1211DAB6" w14:textId="77777777" w:rsidR="005B2959" w:rsidRPr="004D52B7" w:rsidRDefault="005B2959" w:rsidP="00CE4B72">
            <w:pPr>
              <w:jc w:val="center"/>
              <w:rPr>
                <w:rFonts w:ascii="Times" w:hAnsi="Times"/>
                <w:sz w:val="20"/>
                <w:szCs w:val="20"/>
              </w:rPr>
            </w:pPr>
            <w:r w:rsidRPr="004D52B7">
              <w:rPr>
                <w:rFonts w:ascii="Times" w:hAnsi="Times"/>
                <w:sz w:val="20"/>
                <w:szCs w:val="20"/>
              </w:rPr>
              <w:t>26</w:t>
            </w:r>
          </w:p>
        </w:tc>
      </w:tr>
      <w:tr w:rsidR="005B2959" w:rsidRPr="00706615" w14:paraId="0979DA05" w14:textId="77777777" w:rsidTr="00CC23E9">
        <w:trPr>
          <w:trHeight w:val="259"/>
        </w:trPr>
        <w:tc>
          <w:tcPr>
            <w:tcW w:w="2250" w:type="dxa"/>
            <w:noWrap/>
            <w:vAlign w:val="center"/>
            <w:hideMark/>
          </w:tcPr>
          <w:p w14:paraId="6BF9D35D" w14:textId="77777777" w:rsidR="005B2959" w:rsidRPr="004D52B7" w:rsidRDefault="005B2959" w:rsidP="00CE4B72">
            <w:pPr>
              <w:rPr>
                <w:rFonts w:ascii="Times" w:hAnsi="Times"/>
                <w:sz w:val="20"/>
                <w:szCs w:val="20"/>
              </w:rPr>
            </w:pPr>
            <w:r w:rsidRPr="004D52B7">
              <w:rPr>
                <w:rFonts w:ascii="Times" w:hAnsi="Times"/>
                <w:sz w:val="20"/>
                <w:szCs w:val="20"/>
              </w:rPr>
              <w:t>Angola</w:t>
            </w:r>
          </w:p>
        </w:tc>
        <w:tc>
          <w:tcPr>
            <w:tcW w:w="1800" w:type="dxa"/>
            <w:tcBorders>
              <w:left w:val="single" w:sz="4" w:space="0" w:color="auto"/>
              <w:right w:val="nil"/>
            </w:tcBorders>
            <w:noWrap/>
            <w:vAlign w:val="center"/>
            <w:hideMark/>
          </w:tcPr>
          <w:p w14:paraId="6A2E7963" w14:textId="77777777" w:rsidR="005B2959" w:rsidRPr="004D52B7" w:rsidRDefault="005B2959" w:rsidP="00CE4B72">
            <w:pPr>
              <w:jc w:val="center"/>
              <w:rPr>
                <w:rFonts w:ascii="Times" w:hAnsi="Times"/>
                <w:sz w:val="20"/>
                <w:szCs w:val="20"/>
              </w:rPr>
            </w:pPr>
            <w:r w:rsidRPr="004D52B7">
              <w:rPr>
                <w:rFonts w:ascii="Times" w:hAnsi="Times"/>
                <w:sz w:val="20"/>
                <w:szCs w:val="20"/>
              </w:rPr>
              <w:t>2.9</w:t>
            </w:r>
          </w:p>
        </w:tc>
        <w:tc>
          <w:tcPr>
            <w:tcW w:w="810" w:type="dxa"/>
            <w:tcBorders>
              <w:left w:val="nil"/>
            </w:tcBorders>
            <w:vAlign w:val="center"/>
          </w:tcPr>
          <w:p w14:paraId="13F3CCAB" w14:textId="77777777" w:rsidR="005B2959" w:rsidRPr="004D52B7" w:rsidRDefault="005B2959" w:rsidP="00CE4B72">
            <w:pPr>
              <w:jc w:val="center"/>
              <w:rPr>
                <w:rFonts w:ascii="Times" w:hAnsi="Times"/>
                <w:sz w:val="20"/>
                <w:szCs w:val="20"/>
              </w:rPr>
            </w:pPr>
            <w:r w:rsidRPr="004D52B7">
              <w:rPr>
                <w:rFonts w:ascii="Times" w:hAnsi="Times"/>
                <w:sz w:val="20"/>
                <w:szCs w:val="20"/>
              </w:rPr>
              <w:t>21</w:t>
            </w:r>
          </w:p>
        </w:tc>
        <w:tc>
          <w:tcPr>
            <w:tcW w:w="1080" w:type="dxa"/>
            <w:tcBorders>
              <w:right w:val="nil"/>
            </w:tcBorders>
            <w:noWrap/>
            <w:vAlign w:val="center"/>
            <w:hideMark/>
          </w:tcPr>
          <w:p w14:paraId="0AFF7FB6" w14:textId="77777777" w:rsidR="005B2959" w:rsidRPr="004D52B7" w:rsidRDefault="005B2959" w:rsidP="00CE4B72">
            <w:pPr>
              <w:jc w:val="center"/>
              <w:rPr>
                <w:rFonts w:ascii="Times" w:hAnsi="Times"/>
                <w:sz w:val="20"/>
                <w:szCs w:val="20"/>
              </w:rPr>
            </w:pPr>
            <w:r w:rsidRPr="004D52B7">
              <w:rPr>
                <w:rFonts w:ascii="Times" w:hAnsi="Times"/>
                <w:sz w:val="20"/>
                <w:szCs w:val="20"/>
              </w:rPr>
              <w:t>3.6</w:t>
            </w:r>
          </w:p>
        </w:tc>
        <w:tc>
          <w:tcPr>
            <w:tcW w:w="1170" w:type="dxa"/>
            <w:tcBorders>
              <w:left w:val="nil"/>
            </w:tcBorders>
            <w:vAlign w:val="center"/>
          </w:tcPr>
          <w:p w14:paraId="06D31674" w14:textId="77777777" w:rsidR="005B2959" w:rsidRPr="004D52B7" w:rsidRDefault="005B2959" w:rsidP="00CE4B72">
            <w:pPr>
              <w:jc w:val="center"/>
              <w:rPr>
                <w:rFonts w:ascii="Times" w:hAnsi="Times"/>
                <w:sz w:val="20"/>
                <w:szCs w:val="20"/>
              </w:rPr>
            </w:pPr>
            <w:r w:rsidRPr="004D52B7">
              <w:rPr>
                <w:rFonts w:ascii="Times" w:hAnsi="Times"/>
                <w:sz w:val="20"/>
                <w:szCs w:val="20"/>
              </w:rPr>
              <w:t>29</w:t>
            </w:r>
          </w:p>
        </w:tc>
        <w:tc>
          <w:tcPr>
            <w:tcW w:w="1170" w:type="dxa"/>
            <w:tcBorders>
              <w:right w:val="nil"/>
            </w:tcBorders>
            <w:noWrap/>
            <w:vAlign w:val="center"/>
            <w:hideMark/>
          </w:tcPr>
          <w:p w14:paraId="6B110F7E"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c>
          <w:tcPr>
            <w:tcW w:w="1080" w:type="dxa"/>
            <w:tcBorders>
              <w:left w:val="nil"/>
            </w:tcBorders>
            <w:noWrap/>
            <w:vAlign w:val="center"/>
            <w:hideMark/>
          </w:tcPr>
          <w:p w14:paraId="088C4D30" w14:textId="77777777" w:rsidR="005B2959" w:rsidRPr="004D52B7" w:rsidRDefault="005B2959" w:rsidP="00CE4B72">
            <w:pPr>
              <w:jc w:val="center"/>
              <w:rPr>
                <w:rFonts w:ascii="Times" w:hAnsi="Times"/>
                <w:sz w:val="20"/>
                <w:szCs w:val="20"/>
              </w:rPr>
            </w:pPr>
            <w:r w:rsidRPr="004D52B7">
              <w:rPr>
                <w:rFonts w:ascii="Times" w:hAnsi="Times"/>
                <w:sz w:val="20"/>
                <w:szCs w:val="20"/>
              </w:rPr>
              <w:t>32</w:t>
            </w:r>
          </w:p>
        </w:tc>
      </w:tr>
      <w:tr w:rsidR="005B2959" w:rsidRPr="00706615" w14:paraId="43B4674E" w14:textId="77777777" w:rsidTr="00CC23E9">
        <w:trPr>
          <w:trHeight w:val="259"/>
        </w:trPr>
        <w:tc>
          <w:tcPr>
            <w:tcW w:w="2250" w:type="dxa"/>
            <w:noWrap/>
            <w:vAlign w:val="center"/>
            <w:hideMark/>
          </w:tcPr>
          <w:p w14:paraId="22ADB268" w14:textId="77777777" w:rsidR="005B2959" w:rsidRPr="004D52B7" w:rsidRDefault="005B2959" w:rsidP="00CE4B72">
            <w:pPr>
              <w:rPr>
                <w:rFonts w:ascii="Times" w:hAnsi="Times"/>
                <w:sz w:val="20"/>
                <w:szCs w:val="20"/>
              </w:rPr>
            </w:pPr>
            <w:r w:rsidRPr="004D52B7">
              <w:rPr>
                <w:rFonts w:ascii="Times" w:hAnsi="Times"/>
                <w:sz w:val="20"/>
                <w:szCs w:val="20"/>
              </w:rPr>
              <w:t>Liberia</w:t>
            </w:r>
          </w:p>
        </w:tc>
        <w:tc>
          <w:tcPr>
            <w:tcW w:w="1800" w:type="dxa"/>
            <w:tcBorders>
              <w:left w:val="single" w:sz="4" w:space="0" w:color="auto"/>
              <w:right w:val="nil"/>
            </w:tcBorders>
            <w:noWrap/>
            <w:vAlign w:val="center"/>
            <w:hideMark/>
          </w:tcPr>
          <w:p w14:paraId="7CA20948" w14:textId="77777777" w:rsidR="005B2959" w:rsidRPr="004D52B7" w:rsidRDefault="005B2959" w:rsidP="00CE4B72">
            <w:pPr>
              <w:jc w:val="center"/>
              <w:rPr>
                <w:rFonts w:ascii="Times" w:hAnsi="Times"/>
                <w:sz w:val="20"/>
                <w:szCs w:val="20"/>
              </w:rPr>
            </w:pPr>
            <w:r w:rsidRPr="004D52B7">
              <w:rPr>
                <w:rFonts w:ascii="Times" w:hAnsi="Times"/>
                <w:sz w:val="20"/>
                <w:szCs w:val="20"/>
              </w:rPr>
              <w:t>2.4</w:t>
            </w:r>
          </w:p>
        </w:tc>
        <w:tc>
          <w:tcPr>
            <w:tcW w:w="810" w:type="dxa"/>
            <w:tcBorders>
              <w:left w:val="nil"/>
            </w:tcBorders>
            <w:vAlign w:val="center"/>
          </w:tcPr>
          <w:p w14:paraId="6F4B16A0" w14:textId="77777777" w:rsidR="005B2959" w:rsidRPr="004D52B7" w:rsidRDefault="005B2959" w:rsidP="00CE4B72">
            <w:pPr>
              <w:jc w:val="center"/>
              <w:rPr>
                <w:rFonts w:ascii="Times" w:hAnsi="Times"/>
                <w:sz w:val="20"/>
                <w:szCs w:val="20"/>
              </w:rPr>
            </w:pPr>
            <w:r w:rsidRPr="004D52B7">
              <w:rPr>
                <w:rFonts w:ascii="Times" w:hAnsi="Times"/>
                <w:sz w:val="20"/>
                <w:szCs w:val="20"/>
              </w:rPr>
              <w:t>27</w:t>
            </w:r>
          </w:p>
        </w:tc>
        <w:tc>
          <w:tcPr>
            <w:tcW w:w="1080" w:type="dxa"/>
            <w:tcBorders>
              <w:right w:val="nil"/>
            </w:tcBorders>
            <w:noWrap/>
            <w:vAlign w:val="center"/>
            <w:hideMark/>
          </w:tcPr>
          <w:p w14:paraId="2EAFE18D" w14:textId="77777777" w:rsidR="005B2959" w:rsidRPr="004D52B7" w:rsidRDefault="005B2959" w:rsidP="00CE4B72">
            <w:pPr>
              <w:jc w:val="center"/>
              <w:rPr>
                <w:rFonts w:ascii="Times" w:hAnsi="Times"/>
                <w:sz w:val="20"/>
                <w:szCs w:val="20"/>
              </w:rPr>
            </w:pPr>
            <w:r w:rsidRPr="004D52B7">
              <w:rPr>
                <w:rFonts w:ascii="Times" w:hAnsi="Times"/>
                <w:sz w:val="20"/>
                <w:szCs w:val="20"/>
              </w:rPr>
              <w:t>3.3</w:t>
            </w:r>
          </w:p>
        </w:tc>
        <w:tc>
          <w:tcPr>
            <w:tcW w:w="1170" w:type="dxa"/>
            <w:tcBorders>
              <w:left w:val="nil"/>
            </w:tcBorders>
            <w:vAlign w:val="center"/>
          </w:tcPr>
          <w:p w14:paraId="2C6CA794" w14:textId="77777777" w:rsidR="005B2959" w:rsidRPr="004D52B7" w:rsidRDefault="005B2959" w:rsidP="00CE4B72">
            <w:pPr>
              <w:jc w:val="center"/>
              <w:rPr>
                <w:rFonts w:ascii="Times" w:hAnsi="Times"/>
                <w:sz w:val="20"/>
                <w:szCs w:val="20"/>
              </w:rPr>
            </w:pPr>
            <w:r w:rsidRPr="004D52B7">
              <w:rPr>
                <w:rFonts w:ascii="Times" w:hAnsi="Times"/>
                <w:sz w:val="20"/>
                <w:szCs w:val="20"/>
              </w:rPr>
              <w:t>32</w:t>
            </w:r>
          </w:p>
        </w:tc>
        <w:tc>
          <w:tcPr>
            <w:tcW w:w="1170" w:type="dxa"/>
            <w:tcBorders>
              <w:right w:val="nil"/>
            </w:tcBorders>
            <w:noWrap/>
            <w:vAlign w:val="center"/>
            <w:hideMark/>
          </w:tcPr>
          <w:p w14:paraId="5F65ABEF"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c>
          <w:tcPr>
            <w:tcW w:w="1080" w:type="dxa"/>
            <w:tcBorders>
              <w:left w:val="nil"/>
            </w:tcBorders>
            <w:noWrap/>
            <w:vAlign w:val="center"/>
            <w:hideMark/>
          </w:tcPr>
          <w:p w14:paraId="5A81E17D" w14:textId="77777777" w:rsidR="005B2959" w:rsidRPr="004D52B7" w:rsidRDefault="005B2959" w:rsidP="00CE4B72">
            <w:pPr>
              <w:jc w:val="center"/>
              <w:rPr>
                <w:rFonts w:ascii="Times" w:hAnsi="Times"/>
                <w:sz w:val="20"/>
                <w:szCs w:val="20"/>
              </w:rPr>
            </w:pPr>
            <w:r w:rsidRPr="004D52B7">
              <w:rPr>
                <w:rFonts w:ascii="Times" w:hAnsi="Times"/>
                <w:sz w:val="20"/>
                <w:szCs w:val="20"/>
              </w:rPr>
              <w:t>33</w:t>
            </w:r>
          </w:p>
        </w:tc>
      </w:tr>
      <w:tr w:rsidR="005B2959" w:rsidRPr="00706615" w14:paraId="557BA1D3" w14:textId="77777777" w:rsidTr="00CC23E9">
        <w:trPr>
          <w:trHeight w:val="259"/>
        </w:trPr>
        <w:tc>
          <w:tcPr>
            <w:tcW w:w="2250" w:type="dxa"/>
            <w:noWrap/>
            <w:vAlign w:val="center"/>
            <w:hideMark/>
          </w:tcPr>
          <w:p w14:paraId="7AEBEE94" w14:textId="77777777" w:rsidR="005B2959" w:rsidRPr="004D52B7" w:rsidRDefault="005B2959" w:rsidP="00CE4B72">
            <w:pPr>
              <w:rPr>
                <w:rFonts w:ascii="Times" w:hAnsi="Times"/>
                <w:sz w:val="20"/>
                <w:szCs w:val="20"/>
              </w:rPr>
            </w:pPr>
            <w:r w:rsidRPr="004D52B7">
              <w:rPr>
                <w:rFonts w:ascii="Times" w:hAnsi="Times"/>
                <w:sz w:val="20"/>
                <w:szCs w:val="20"/>
              </w:rPr>
              <w:t>Cameroon</w:t>
            </w:r>
          </w:p>
        </w:tc>
        <w:tc>
          <w:tcPr>
            <w:tcW w:w="1800" w:type="dxa"/>
            <w:tcBorders>
              <w:left w:val="single" w:sz="4" w:space="0" w:color="auto"/>
              <w:right w:val="nil"/>
            </w:tcBorders>
            <w:noWrap/>
            <w:vAlign w:val="center"/>
            <w:hideMark/>
          </w:tcPr>
          <w:p w14:paraId="482C9C66" w14:textId="77777777" w:rsidR="005B2959" w:rsidRPr="004D52B7" w:rsidRDefault="005B2959" w:rsidP="00CE4B72">
            <w:pPr>
              <w:jc w:val="center"/>
              <w:rPr>
                <w:rFonts w:ascii="Times" w:hAnsi="Times"/>
                <w:sz w:val="20"/>
                <w:szCs w:val="20"/>
              </w:rPr>
            </w:pPr>
            <w:r w:rsidRPr="004D52B7">
              <w:rPr>
                <w:rFonts w:ascii="Times" w:hAnsi="Times"/>
                <w:sz w:val="20"/>
                <w:szCs w:val="20"/>
              </w:rPr>
              <w:t>2.3</w:t>
            </w:r>
          </w:p>
        </w:tc>
        <w:tc>
          <w:tcPr>
            <w:tcW w:w="810" w:type="dxa"/>
            <w:tcBorders>
              <w:left w:val="nil"/>
            </w:tcBorders>
            <w:vAlign w:val="center"/>
          </w:tcPr>
          <w:p w14:paraId="7278DFF9" w14:textId="77777777" w:rsidR="005B2959" w:rsidRPr="004D52B7" w:rsidRDefault="005B2959" w:rsidP="00CE4B72">
            <w:pPr>
              <w:jc w:val="center"/>
              <w:rPr>
                <w:rFonts w:ascii="Times" w:hAnsi="Times"/>
                <w:sz w:val="20"/>
                <w:szCs w:val="20"/>
              </w:rPr>
            </w:pPr>
            <w:r w:rsidRPr="004D52B7">
              <w:rPr>
                <w:rFonts w:ascii="Times" w:hAnsi="Times"/>
                <w:sz w:val="20"/>
                <w:szCs w:val="20"/>
              </w:rPr>
              <w:t>30</w:t>
            </w:r>
          </w:p>
        </w:tc>
        <w:tc>
          <w:tcPr>
            <w:tcW w:w="1080" w:type="dxa"/>
            <w:tcBorders>
              <w:right w:val="nil"/>
            </w:tcBorders>
            <w:noWrap/>
            <w:vAlign w:val="center"/>
            <w:hideMark/>
          </w:tcPr>
          <w:p w14:paraId="22355B61" w14:textId="77777777" w:rsidR="005B2959" w:rsidRPr="004D52B7" w:rsidRDefault="005B2959" w:rsidP="00CE4B72">
            <w:pPr>
              <w:jc w:val="center"/>
              <w:rPr>
                <w:rFonts w:ascii="Times" w:hAnsi="Times"/>
                <w:sz w:val="20"/>
                <w:szCs w:val="20"/>
              </w:rPr>
            </w:pPr>
            <w:r w:rsidRPr="004D52B7">
              <w:rPr>
                <w:rFonts w:ascii="Times" w:hAnsi="Times"/>
                <w:sz w:val="20"/>
                <w:szCs w:val="20"/>
              </w:rPr>
              <w:t>2.6</w:t>
            </w:r>
          </w:p>
        </w:tc>
        <w:tc>
          <w:tcPr>
            <w:tcW w:w="1170" w:type="dxa"/>
            <w:tcBorders>
              <w:left w:val="nil"/>
            </w:tcBorders>
            <w:vAlign w:val="center"/>
          </w:tcPr>
          <w:p w14:paraId="73FF5EE5" w14:textId="77777777" w:rsidR="005B2959" w:rsidRPr="004D52B7" w:rsidRDefault="005B2959" w:rsidP="00CE4B72">
            <w:pPr>
              <w:jc w:val="center"/>
              <w:rPr>
                <w:rFonts w:ascii="Times" w:hAnsi="Times"/>
                <w:sz w:val="20"/>
                <w:szCs w:val="20"/>
              </w:rPr>
            </w:pPr>
            <w:r w:rsidRPr="004D52B7">
              <w:rPr>
                <w:rFonts w:ascii="Times" w:hAnsi="Times"/>
                <w:sz w:val="20"/>
                <w:szCs w:val="20"/>
              </w:rPr>
              <w:t>35</w:t>
            </w:r>
          </w:p>
        </w:tc>
        <w:tc>
          <w:tcPr>
            <w:tcW w:w="1170" w:type="dxa"/>
            <w:tcBorders>
              <w:right w:val="nil"/>
            </w:tcBorders>
            <w:noWrap/>
            <w:vAlign w:val="center"/>
            <w:hideMark/>
          </w:tcPr>
          <w:p w14:paraId="26E85C0C" w14:textId="77777777" w:rsidR="005B2959" w:rsidRPr="004D52B7" w:rsidRDefault="005B2959" w:rsidP="00CE4B72">
            <w:pPr>
              <w:jc w:val="center"/>
              <w:rPr>
                <w:rFonts w:ascii="Times" w:hAnsi="Times"/>
                <w:sz w:val="20"/>
                <w:szCs w:val="20"/>
              </w:rPr>
            </w:pPr>
            <w:r w:rsidRPr="004D52B7">
              <w:rPr>
                <w:rFonts w:ascii="Times" w:hAnsi="Times"/>
                <w:sz w:val="20"/>
                <w:szCs w:val="20"/>
              </w:rPr>
              <w:t>2.9</w:t>
            </w:r>
          </w:p>
        </w:tc>
        <w:tc>
          <w:tcPr>
            <w:tcW w:w="1080" w:type="dxa"/>
            <w:tcBorders>
              <w:left w:val="nil"/>
            </w:tcBorders>
            <w:noWrap/>
            <w:vAlign w:val="center"/>
            <w:hideMark/>
          </w:tcPr>
          <w:p w14:paraId="3B1FFEB8" w14:textId="77777777" w:rsidR="005B2959" w:rsidRPr="004D52B7" w:rsidRDefault="005B2959" w:rsidP="00CE4B72">
            <w:pPr>
              <w:jc w:val="center"/>
              <w:rPr>
                <w:rFonts w:ascii="Times" w:hAnsi="Times"/>
                <w:sz w:val="20"/>
                <w:szCs w:val="20"/>
              </w:rPr>
            </w:pPr>
            <w:r w:rsidRPr="004D52B7">
              <w:rPr>
                <w:rFonts w:ascii="Times" w:hAnsi="Times"/>
                <w:sz w:val="20"/>
                <w:szCs w:val="20"/>
              </w:rPr>
              <w:t>36</w:t>
            </w:r>
          </w:p>
        </w:tc>
      </w:tr>
      <w:tr w:rsidR="005B2959" w:rsidRPr="00706615" w14:paraId="68AD1A40" w14:textId="77777777" w:rsidTr="00CC23E9">
        <w:trPr>
          <w:trHeight w:val="259"/>
        </w:trPr>
        <w:tc>
          <w:tcPr>
            <w:tcW w:w="2250" w:type="dxa"/>
            <w:noWrap/>
            <w:vAlign w:val="center"/>
            <w:hideMark/>
          </w:tcPr>
          <w:p w14:paraId="02FBF259" w14:textId="77777777" w:rsidR="005B2959" w:rsidRPr="004D52B7" w:rsidRDefault="005B2959" w:rsidP="00CE4B72">
            <w:pPr>
              <w:rPr>
                <w:rFonts w:ascii="Times" w:hAnsi="Times"/>
                <w:sz w:val="20"/>
                <w:szCs w:val="20"/>
              </w:rPr>
            </w:pPr>
            <w:r w:rsidRPr="004D52B7">
              <w:rPr>
                <w:rFonts w:ascii="Times" w:hAnsi="Times"/>
                <w:sz w:val="20"/>
                <w:szCs w:val="20"/>
              </w:rPr>
              <w:t>Sudan</w:t>
            </w:r>
          </w:p>
        </w:tc>
        <w:tc>
          <w:tcPr>
            <w:tcW w:w="1800" w:type="dxa"/>
            <w:tcBorders>
              <w:left w:val="single" w:sz="4" w:space="0" w:color="auto"/>
              <w:right w:val="nil"/>
            </w:tcBorders>
            <w:noWrap/>
            <w:vAlign w:val="center"/>
            <w:hideMark/>
          </w:tcPr>
          <w:p w14:paraId="168CF9E1" w14:textId="77777777" w:rsidR="005B2959" w:rsidRPr="004D52B7" w:rsidRDefault="005B2959" w:rsidP="00CE4B72">
            <w:pPr>
              <w:jc w:val="center"/>
              <w:rPr>
                <w:rFonts w:ascii="Times" w:hAnsi="Times"/>
                <w:sz w:val="20"/>
                <w:szCs w:val="20"/>
              </w:rPr>
            </w:pPr>
            <w:r w:rsidRPr="004D52B7">
              <w:rPr>
                <w:rFonts w:ascii="Times" w:hAnsi="Times"/>
                <w:sz w:val="20"/>
                <w:szCs w:val="20"/>
              </w:rPr>
              <w:t>1.0</w:t>
            </w:r>
          </w:p>
        </w:tc>
        <w:tc>
          <w:tcPr>
            <w:tcW w:w="810" w:type="dxa"/>
            <w:tcBorders>
              <w:left w:val="nil"/>
            </w:tcBorders>
            <w:vAlign w:val="center"/>
          </w:tcPr>
          <w:p w14:paraId="395AF366"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c>
          <w:tcPr>
            <w:tcW w:w="1080" w:type="dxa"/>
            <w:tcBorders>
              <w:right w:val="nil"/>
            </w:tcBorders>
            <w:noWrap/>
            <w:vAlign w:val="center"/>
            <w:hideMark/>
          </w:tcPr>
          <w:p w14:paraId="7138658C" w14:textId="77777777" w:rsidR="005B2959" w:rsidRPr="004D52B7" w:rsidRDefault="005B2959" w:rsidP="00CE4B72">
            <w:pPr>
              <w:jc w:val="center"/>
              <w:rPr>
                <w:rFonts w:ascii="Times" w:hAnsi="Times"/>
                <w:sz w:val="20"/>
                <w:szCs w:val="20"/>
              </w:rPr>
            </w:pPr>
            <w:r w:rsidRPr="004D52B7">
              <w:rPr>
                <w:rFonts w:ascii="Times" w:hAnsi="Times"/>
                <w:sz w:val="20"/>
                <w:szCs w:val="20"/>
              </w:rPr>
              <w:t>1.6</w:t>
            </w:r>
          </w:p>
        </w:tc>
        <w:tc>
          <w:tcPr>
            <w:tcW w:w="1170" w:type="dxa"/>
            <w:tcBorders>
              <w:left w:val="nil"/>
            </w:tcBorders>
            <w:vAlign w:val="center"/>
          </w:tcPr>
          <w:p w14:paraId="1B9C8F5E" w14:textId="77777777" w:rsidR="005B2959" w:rsidRPr="004D52B7" w:rsidRDefault="005B2959" w:rsidP="00CE4B72">
            <w:pPr>
              <w:jc w:val="center"/>
              <w:rPr>
                <w:rFonts w:ascii="Times" w:hAnsi="Times"/>
                <w:sz w:val="20"/>
                <w:szCs w:val="20"/>
              </w:rPr>
            </w:pPr>
            <w:r w:rsidRPr="004D52B7">
              <w:rPr>
                <w:rFonts w:ascii="Times" w:hAnsi="Times"/>
                <w:sz w:val="20"/>
                <w:szCs w:val="20"/>
              </w:rPr>
              <w:t>38</w:t>
            </w:r>
          </w:p>
        </w:tc>
        <w:tc>
          <w:tcPr>
            <w:tcW w:w="1170" w:type="dxa"/>
            <w:tcBorders>
              <w:right w:val="nil"/>
            </w:tcBorders>
            <w:noWrap/>
            <w:vAlign w:val="center"/>
            <w:hideMark/>
          </w:tcPr>
          <w:p w14:paraId="6034C504" w14:textId="77777777" w:rsidR="005B2959" w:rsidRPr="004D52B7" w:rsidRDefault="005B2959" w:rsidP="00CE4B72">
            <w:pPr>
              <w:jc w:val="center"/>
              <w:rPr>
                <w:rFonts w:ascii="Times" w:hAnsi="Times"/>
                <w:sz w:val="20"/>
                <w:szCs w:val="20"/>
              </w:rPr>
            </w:pPr>
            <w:r w:rsidRPr="004D52B7">
              <w:rPr>
                <w:rFonts w:ascii="Times" w:hAnsi="Times"/>
                <w:sz w:val="20"/>
                <w:szCs w:val="20"/>
              </w:rPr>
              <w:t>2.6</w:t>
            </w:r>
          </w:p>
        </w:tc>
        <w:tc>
          <w:tcPr>
            <w:tcW w:w="1080" w:type="dxa"/>
            <w:tcBorders>
              <w:left w:val="nil"/>
            </w:tcBorders>
            <w:noWrap/>
            <w:vAlign w:val="center"/>
            <w:hideMark/>
          </w:tcPr>
          <w:p w14:paraId="6377094F"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r>
      <w:tr w:rsidR="005B2959" w:rsidRPr="00706615" w14:paraId="66C77926" w14:textId="77777777" w:rsidTr="00CC23E9">
        <w:trPr>
          <w:trHeight w:val="259"/>
        </w:trPr>
        <w:tc>
          <w:tcPr>
            <w:tcW w:w="2250" w:type="dxa"/>
            <w:noWrap/>
            <w:vAlign w:val="center"/>
            <w:hideMark/>
          </w:tcPr>
          <w:p w14:paraId="53D5016F" w14:textId="77777777" w:rsidR="005B2959" w:rsidRPr="004D52B7" w:rsidRDefault="005B2959" w:rsidP="00CE4B72">
            <w:pPr>
              <w:rPr>
                <w:rFonts w:ascii="Times" w:hAnsi="Times"/>
                <w:sz w:val="20"/>
                <w:szCs w:val="20"/>
              </w:rPr>
            </w:pPr>
            <w:r w:rsidRPr="004D52B7">
              <w:rPr>
                <w:rFonts w:ascii="Times" w:hAnsi="Times"/>
                <w:sz w:val="20"/>
                <w:szCs w:val="20"/>
              </w:rPr>
              <w:t>Mauritania</w:t>
            </w:r>
          </w:p>
        </w:tc>
        <w:tc>
          <w:tcPr>
            <w:tcW w:w="1800" w:type="dxa"/>
            <w:tcBorders>
              <w:left w:val="single" w:sz="4" w:space="0" w:color="auto"/>
              <w:right w:val="nil"/>
            </w:tcBorders>
            <w:noWrap/>
            <w:vAlign w:val="center"/>
            <w:hideMark/>
          </w:tcPr>
          <w:p w14:paraId="2DA4E6A7" w14:textId="77777777" w:rsidR="005B2959" w:rsidRPr="004D52B7" w:rsidRDefault="005B2959" w:rsidP="00CE4B72">
            <w:pPr>
              <w:jc w:val="center"/>
              <w:rPr>
                <w:rFonts w:ascii="Times" w:hAnsi="Times"/>
                <w:sz w:val="20"/>
                <w:szCs w:val="20"/>
              </w:rPr>
            </w:pPr>
            <w:r w:rsidRPr="004D52B7">
              <w:rPr>
                <w:rFonts w:ascii="Times" w:hAnsi="Times"/>
                <w:sz w:val="20"/>
                <w:szCs w:val="20"/>
              </w:rPr>
              <w:t>1.6</w:t>
            </w:r>
          </w:p>
        </w:tc>
        <w:tc>
          <w:tcPr>
            <w:tcW w:w="810" w:type="dxa"/>
            <w:tcBorders>
              <w:left w:val="nil"/>
            </w:tcBorders>
            <w:vAlign w:val="center"/>
          </w:tcPr>
          <w:p w14:paraId="2A315AA7" w14:textId="77777777" w:rsidR="005B2959" w:rsidRPr="004D52B7" w:rsidRDefault="005B2959" w:rsidP="00CE4B72">
            <w:pPr>
              <w:jc w:val="center"/>
              <w:rPr>
                <w:rFonts w:ascii="Times" w:hAnsi="Times"/>
                <w:sz w:val="20"/>
                <w:szCs w:val="20"/>
              </w:rPr>
            </w:pPr>
            <w:r w:rsidRPr="004D52B7">
              <w:rPr>
                <w:rFonts w:ascii="Times" w:hAnsi="Times"/>
                <w:sz w:val="20"/>
                <w:szCs w:val="20"/>
              </w:rPr>
              <w:t>35</w:t>
            </w:r>
          </w:p>
        </w:tc>
        <w:tc>
          <w:tcPr>
            <w:tcW w:w="1080" w:type="dxa"/>
            <w:tcBorders>
              <w:right w:val="nil"/>
            </w:tcBorders>
            <w:noWrap/>
            <w:vAlign w:val="center"/>
            <w:hideMark/>
          </w:tcPr>
          <w:p w14:paraId="426F852C" w14:textId="77777777" w:rsidR="005B2959" w:rsidRPr="004D52B7" w:rsidRDefault="005B2959" w:rsidP="00CE4B72">
            <w:pPr>
              <w:jc w:val="center"/>
              <w:rPr>
                <w:rFonts w:ascii="Times" w:hAnsi="Times"/>
                <w:sz w:val="20"/>
                <w:szCs w:val="20"/>
              </w:rPr>
            </w:pPr>
            <w:r w:rsidRPr="004D52B7">
              <w:rPr>
                <w:rFonts w:ascii="Times" w:hAnsi="Times"/>
                <w:sz w:val="20"/>
                <w:szCs w:val="20"/>
              </w:rPr>
              <w:t>1.9</w:t>
            </w:r>
          </w:p>
        </w:tc>
        <w:tc>
          <w:tcPr>
            <w:tcW w:w="1170" w:type="dxa"/>
            <w:tcBorders>
              <w:left w:val="nil"/>
            </w:tcBorders>
            <w:vAlign w:val="center"/>
          </w:tcPr>
          <w:p w14:paraId="4B54ADEB" w14:textId="77777777" w:rsidR="005B2959" w:rsidRPr="004D52B7" w:rsidRDefault="005B2959" w:rsidP="00CE4B72">
            <w:pPr>
              <w:jc w:val="center"/>
              <w:rPr>
                <w:rFonts w:ascii="Times" w:hAnsi="Times"/>
                <w:sz w:val="20"/>
                <w:szCs w:val="20"/>
              </w:rPr>
            </w:pPr>
            <w:r w:rsidRPr="004D52B7">
              <w:rPr>
                <w:rFonts w:ascii="Times" w:hAnsi="Times"/>
                <w:sz w:val="20"/>
                <w:szCs w:val="20"/>
              </w:rPr>
              <w:t>37</w:t>
            </w:r>
          </w:p>
        </w:tc>
        <w:tc>
          <w:tcPr>
            <w:tcW w:w="1170" w:type="dxa"/>
            <w:tcBorders>
              <w:right w:val="nil"/>
            </w:tcBorders>
            <w:noWrap/>
            <w:vAlign w:val="center"/>
            <w:hideMark/>
          </w:tcPr>
          <w:p w14:paraId="0AA0EE69" w14:textId="77777777" w:rsidR="005B2959" w:rsidRPr="004D52B7" w:rsidRDefault="005B2959" w:rsidP="00CE4B72">
            <w:pPr>
              <w:jc w:val="center"/>
              <w:rPr>
                <w:rFonts w:ascii="Times" w:hAnsi="Times"/>
                <w:sz w:val="20"/>
                <w:szCs w:val="20"/>
              </w:rPr>
            </w:pPr>
            <w:r w:rsidRPr="004D52B7">
              <w:rPr>
                <w:rFonts w:ascii="Times" w:hAnsi="Times"/>
                <w:sz w:val="20"/>
                <w:szCs w:val="20"/>
              </w:rPr>
              <w:t>2.1</w:t>
            </w:r>
          </w:p>
        </w:tc>
        <w:tc>
          <w:tcPr>
            <w:tcW w:w="1080" w:type="dxa"/>
            <w:tcBorders>
              <w:left w:val="nil"/>
            </w:tcBorders>
            <w:noWrap/>
            <w:vAlign w:val="center"/>
            <w:hideMark/>
          </w:tcPr>
          <w:p w14:paraId="5AE6E40C" w14:textId="77777777" w:rsidR="005B2959" w:rsidRPr="004D52B7" w:rsidRDefault="005B2959" w:rsidP="00CE4B72">
            <w:pPr>
              <w:jc w:val="center"/>
              <w:rPr>
                <w:rFonts w:ascii="Times" w:hAnsi="Times"/>
                <w:sz w:val="20"/>
                <w:szCs w:val="20"/>
              </w:rPr>
            </w:pPr>
            <w:r w:rsidRPr="004D52B7">
              <w:rPr>
                <w:rFonts w:ascii="Times" w:hAnsi="Times"/>
                <w:sz w:val="20"/>
                <w:szCs w:val="20"/>
              </w:rPr>
              <w:t>38</w:t>
            </w:r>
          </w:p>
        </w:tc>
      </w:tr>
      <w:tr w:rsidR="005B2959" w:rsidRPr="00706615" w14:paraId="4181C411" w14:textId="77777777" w:rsidTr="00CC23E9">
        <w:trPr>
          <w:trHeight w:val="259"/>
        </w:trPr>
        <w:tc>
          <w:tcPr>
            <w:tcW w:w="2250" w:type="dxa"/>
            <w:noWrap/>
            <w:vAlign w:val="center"/>
            <w:hideMark/>
          </w:tcPr>
          <w:p w14:paraId="0D7F8A03" w14:textId="77777777" w:rsidR="005B2959" w:rsidRPr="004D52B7" w:rsidRDefault="005B2959" w:rsidP="00CE4B72">
            <w:pPr>
              <w:rPr>
                <w:rFonts w:ascii="Times" w:hAnsi="Times"/>
                <w:sz w:val="20"/>
                <w:szCs w:val="20"/>
              </w:rPr>
            </w:pPr>
            <w:r w:rsidRPr="004D52B7">
              <w:rPr>
                <w:rFonts w:ascii="Times" w:hAnsi="Times"/>
                <w:sz w:val="20"/>
                <w:szCs w:val="20"/>
              </w:rPr>
              <w:t>Somalia</w:t>
            </w:r>
          </w:p>
        </w:tc>
        <w:tc>
          <w:tcPr>
            <w:tcW w:w="1800" w:type="dxa"/>
            <w:tcBorders>
              <w:left w:val="single" w:sz="4" w:space="0" w:color="auto"/>
              <w:right w:val="nil"/>
            </w:tcBorders>
            <w:noWrap/>
            <w:vAlign w:val="center"/>
            <w:hideMark/>
          </w:tcPr>
          <w:p w14:paraId="70DE5B72" w14:textId="77777777" w:rsidR="005B2959" w:rsidRPr="004D52B7" w:rsidRDefault="005B2959" w:rsidP="00CE4B72">
            <w:pPr>
              <w:jc w:val="center"/>
              <w:rPr>
                <w:rFonts w:ascii="Times" w:hAnsi="Times"/>
                <w:sz w:val="20"/>
                <w:szCs w:val="20"/>
              </w:rPr>
            </w:pPr>
            <w:r w:rsidRPr="004D52B7">
              <w:rPr>
                <w:rFonts w:ascii="Times" w:hAnsi="Times"/>
                <w:sz w:val="20"/>
                <w:szCs w:val="20"/>
              </w:rPr>
              <w:t>0.9</w:t>
            </w:r>
          </w:p>
        </w:tc>
        <w:tc>
          <w:tcPr>
            <w:tcW w:w="810" w:type="dxa"/>
            <w:tcBorders>
              <w:left w:val="nil"/>
            </w:tcBorders>
            <w:vAlign w:val="center"/>
          </w:tcPr>
          <w:p w14:paraId="1D6713C3" w14:textId="77777777" w:rsidR="005B2959" w:rsidRPr="004D52B7" w:rsidRDefault="005B2959" w:rsidP="00CE4B72">
            <w:pPr>
              <w:jc w:val="center"/>
              <w:rPr>
                <w:rFonts w:ascii="Times" w:hAnsi="Times"/>
                <w:sz w:val="20"/>
                <w:szCs w:val="20"/>
              </w:rPr>
            </w:pPr>
            <w:r w:rsidRPr="004D52B7">
              <w:rPr>
                <w:rFonts w:ascii="Times" w:hAnsi="Times"/>
                <w:sz w:val="20"/>
                <w:szCs w:val="20"/>
              </w:rPr>
              <w:t>38</w:t>
            </w:r>
          </w:p>
        </w:tc>
        <w:tc>
          <w:tcPr>
            <w:tcW w:w="1080" w:type="dxa"/>
            <w:tcBorders>
              <w:right w:val="nil"/>
            </w:tcBorders>
            <w:noWrap/>
            <w:vAlign w:val="center"/>
            <w:hideMark/>
          </w:tcPr>
          <w:p w14:paraId="166DD052" w14:textId="77777777" w:rsidR="005B2959" w:rsidRPr="004D52B7" w:rsidRDefault="005B2959" w:rsidP="00CE4B72">
            <w:pPr>
              <w:jc w:val="center"/>
              <w:rPr>
                <w:rFonts w:ascii="Times" w:hAnsi="Times"/>
                <w:sz w:val="20"/>
                <w:szCs w:val="20"/>
              </w:rPr>
            </w:pPr>
            <w:r w:rsidRPr="004D52B7">
              <w:rPr>
                <w:rFonts w:ascii="Times" w:hAnsi="Times"/>
                <w:sz w:val="20"/>
                <w:szCs w:val="20"/>
              </w:rPr>
              <w:t>1.0</w:t>
            </w:r>
          </w:p>
        </w:tc>
        <w:tc>
          <w:tcPr>
            <w:tcW w:w="1170" w:type="dxa"/>
            <w:tcBorders>
              <w:left w:val="nil"/>
            </w:tcBorders>
            <w:vAlign w:val="center"/>
          </w:tcPr>
          <w:p w14:paraId="0DDDA146" w14:textId="77777777" w:rsidR="005B2959" w:rsidRPr="004D52B7" w:rsidRDefault="005B2959" w:rsidP="00CE4B72">
            <w:pPr>
              <w:jc w:val="center"/>
              <w:rPr>
                <w:rFonts w:ascii="Times" w:hAnsi="Times"/>
                <w:sz w:val="20"/>
                <w:szCs w:val="20"/>
              </w:rPr>
            </w:pPr>
            <w:r w:rsidRPr="004D52B7">
              <w:rPr>
                <w:rFonts w:ascii="Times" w:hAnsi="Times"/>
                <w:sz w:val="20"/>
                <w:szCs w:val="20"/>
              </w:rPr>
              <w:t>39</w:t>
            </w:r>
          </w:p>
        </w:tc>
        <w:tc>
          <w:tcPr>
            <w:tcW w:w="1170" w:type="dxa"/>
            <w:tcBorders>
              <w:right w:val="nil"/>
            </w:tcBorders>
            <w:noWrap/>
            <w:vAlign w:val="center"/>
            <w:hideMark/>
          </w:tcPr>
          <w:p w14:paraId="0A80B8D9" w14:textId="77777777" w:rsidR="005B2959" w:rsidRPr="004D52B7" w:rsidRDefault="005B2959" w:rsidP="00CE4B72">
            <w:pPr>
              <w:jc w:val="center"/>
              <w:rPr>
                <w:rFonts w:ascii="Times" w:hAnsi="Times"/>
                <w:sz w:val="20"/>
                <w:szCs w:val="20"/>
              </w:rPr>
            </w:pPr>
            <w:r w:rsidRPr="004D52B7">
              <w:rPr>
                <w:rFonts w:ascii="Times" w:hAnsi="Times"/>
                <w:sz w:val="20"/>
                <w:szCs w:val="20"/>
              </w:rPr>
              <w:t>1.1</w:t>
            </w:r>
          </w:p>
        </w:tc>
        <w:tc>
          <w:tcPr>
            <w:tcW w:w="1080" w:type="dxa"/>
            <w:tcBorders>
              <w:left w:val="nil"/>
            </w:tcBorders>
            <w:noWrap/>
            <w:vAlign w:val="center"/>
            <w:hideMark/>
          </w:tcPr>
          <w:p w14:paraId="07401C13" w14:textId="77777777" w:rsidR="005B2959" w:rsidRPr="004D52B7" w:rsidRDefault="005B2959" w:rsidP="00CE4B72">
            <w:pPr>
              <w:jc w:val="center"/>
              <w:rPr>
                <w:rFonts w:ascii="Times" w:hAnsi="Times"/>
                <w:sz w:val="20"/>
                <w:szCs w:val="20"/>
              </w:rPr>
            </w:pPr>
            <w:r w:rsidRPr="004D52B7">
              <w:rPr>
                <w:rFonts w:ascii="Times" w:hAnsi="Times"/>
                <w:sz w:val="20"/>
                <w:szCs w:val="20"/>
              </w:rPr>
              <w:t>39</w:t>
            </w:r>
          </w:p>
        </w:tc>
      </w:tr>
      <w:tr w:rsidR="005B2959" w:rsidRPr="00706615" w14:paraId="48D2EA18" w14:textId="77777777" w:rsidTr="00CC23E9">
        <w:trPr>
          <w:trHeight w:val="259"/>
        </w:trPr>
        <w:tc>
          <w:tcPr>
            <w:tcW w:w="2250" w:type="dxa"/>
            <w:noWrap/>
            <w:vAlign w:val="center"/>
            <w:hideMark/>
          </w:tcPr>
          <w:p w14:paraId="2A4B9EBD" w14:textId="77777777" w:rsidR="005B2959" w:rsidRPr="004D52B7" w:rsidRDefault="005B2959" w:rsidP="00CE4B72">
            <w:pPr>
              <w:rPr>
                <w:rFonts w:ascii="Times" w:hAnsi="Times"/>
                <w:sz w:val="20"/>
                <w:szCs w:val="20"/>
              </w:rPr>
            </w:pPr>
            <w:r w:rsidRPr="004D52B7">
              <w:rPr>
                <w:rFonts w:ascii="Times" w:hAnsi="Times"/>
                <w:sz w:val="20"/>
                <w:szCs w:val="20"/>
              </w:rPr>
              <w:t>Madagascar</w:t>
            </w:r>
          </w:p>
        </w:tc>
        <w:tc>
          <w:tcPr>
            <w:tcW w:w="1800" w:type="dxa"/>
            <w:tcBorders>
              <w:left w:val="single" w:sz="4" w:space="0" w:color="auto"/>
              <w:right w:val="nil"/>
            </w:tcBorders>
            <w:noWrap/>
            <w:vAlign w:val="center"/>
            <w:hideMark/>
          </w:tcPr>
          <w:p w14:paraId="321574FB" w14:textId="77777777" w:rsidR="005B2959" w:rsidRPr="004D52B7" w:rsidRDefault="005B2959" w:rsidP="00CE4B72">
            <w:pPr>
              <w:jc w:val="center"/>
              <w:rPr>
                <w:rFonts w:ascii="Times" w:hAnsi="Times"/>
                <w:sz w:val="20"/>
                <w:szCs w:val="20"/>
              </w:rPr>
            </w:pPr>
            <w:r w:rsidRPr="004D52B7">
              <w:rPr>
                <w:rFonts w:ascii="Times" w:hAnsi="Times"/>
                <w:sz w:val="20"/>
                <w:szCs w:val="20"/>
              </w:rPr>
              <w:t>0.4</w:t>
            </w:r>
          </w:p>
        </w:tc>
        <w:tc>
          <w:tcPr>
            <w:tcW w:w="810" w:type="dxa"/>
            <w:tcBorders>
              <w:left w:val="nil"/>
            </w:tcBorders>
            <w:vAlign w:val="center"/>
          </w:tcPr>
          <w:p w14:paraId="7C357D1F" w14:textId="77777777" w:rsidR="005B2959" w:rsidRPr="004D52B7" w:rsidRDefault="005B2959" w:rsidP="00CE4B72">
            <w:pPr>
              <w:jc w:val="center"/>
              <w:rPr>
                <w:rFonts w:ascii="Times" w:hAnsi="Times"/>
                <w:sz w:val="20"/>
                <w:szCs w:val="20"/>
              </w:rPr>
            </w:pPr>
            <w:r w:rsidRPr="004D52B7">
              <w:rPr>
                <w:rFonts w:ascii="Times" w:hAnsi="Times"/>
                <w:sz w:val="20"/>
                <w:szCs w:val="20"/>
              </w:rPr>
              <w:t>39</w:t>
            </w:r>
          </w:p>
        </w:tc>
        <w:tc>
          <w:tcPr>
            <w:tcW w:w="1080" w:type="dxa"/>
            <w:tcBorders>
              <w:right w:val="nil"/>
            </w:tcBorders>
            <w:noWrap/>
            <w:vAlign w:val="center"/>
            <w:hideMark/>
          </w:tcPr>
          <w:p w14:paraId="2B0E1A74" w14:textId="77777777" w:rsidR="005B2959" w:rsidRPr="004D52B7" w:rsidRDefault="005B2959" w:rsidP="00CE4B72">
            <w:pPr>
              <w:jc w:val="center"/>
              <w:rPr>
                <w:rFonts w:ascii="Times" w:hAnsi="Times"/>
                <w:sz w:val="20"/>
                <w:szCs w:val="20"/>
              </w:rPr>
            </w:pPr>
            <w:r w:rsidRPr="004D52B7">
              <w:rPr>
                <w:rFonts w:ascii="Times" w:hAnsi="Times"/>
                <w:sz w:val="20"/>
                <w:szCs w:val="20"/>
              </w:rPr>
              <w:t>2.6</w:t>
            </w:r>
          </w:p>
        </w:tc>
        <w:tc>
          <w:tcPr>
            <w:tcW w:w="1170" w:type="dxa"/>
            <w:tcBorders>
              <w:left w:val="nil"/>
            </w:tcBorders>
            <w:vAlign w:val="center"/>
          </w:tcPr>
          <w:p w14:paraId="5719A849" w14:textId="77777777" w:rsidR="005B2959" w:rsidRPr="004D52B7" w:rsidRDefault="005B2959" w:rsidP="00CE4B72">
            <w:pPr>
              <w:jc w:val="center"/>
              <w:rPr>
                <w:rFonts w:ascii="Times" w:hAnsi="Times"/>
                <w:sz w:val="20"/>
                <w:szCs w:val="20"/>
              </w:rPr>
            </w:pPr>
            <w:r w:rsidRPr="004D52B7">
              <w:rPr>
                <w:rFonts w:ascii="Times" w:hAnsi="Times"/>
                <w:sz w:val="20"/>
                <w:szCs w:val="20"/>
              </w:rPr>
              <w:t>36</w:t>
            </w:r>
          </w:p>
        </w:tc>
        <w:tc>
          <w:tcPr>
            <w:tcW w:w="1170" w:type="dxa"/>
            <w:tcBorders>
              <w:right w:val="nil"/>
            </w:tcBorders>
            <w:noWrap/>
            <w:vAlign w:val="center"/>
            <w:hideMark/>
          </w:tcPr>
          <w:p w14:paraId="0E59D1B0" w14:textId="77777777" w:rsidR="005B2959" w:rsidRPr="004D52B7" w:rsidRDefault="005B2959" w:rsidP="00CE4B72">
            <w:pPr>
              <w:jc w:val="center"/>
              <w:rPr>
                <w:rFonts w:ascii="Times" w:hAnsi="Times"/>
                <w:sz w:val="20"/>
                <w:szCs w:val="20"/>
              </w:rPr>
            </w:pPr>
            <w:r w:rsidRPr="004D52B7">
              <w:rPr>
                <w:rFonts w:ascii="Times" w:hAnsi="Times"/>
                <w:sz w:val="20"/>
                <w:szCs w:val="20"/>
              </w:rPr>
              <w:t>8.1</w:t>
            </w:r>
          </w:p>
        </w:tc>
        <w:tc>
          <w:tcPr>
            <w:tcW w:w="1080" w:type="dxa"/>
            <w:tcBorders>
              <w:left w:val="nil"/>
            </w:tcBorders>
            <w:noWrap/>
            <w:vAlign w:val="center"/>
            <w:hideMark/>
          </w:tcPr>
          <w:p w14:paraId="26CE0642" w14:textId="77777777" w:rsidR="005B2959" w:rsidRPr="004D52B7" w:rsidRDefault="005B2959" w:rsidP="00CE4B72">
            <w:pPr>
              <w:jc w:val="center"/>
              <w:rPr>
                <w:rFonts w:ascii="Times" w:hAnsi="Times"/>
                <w:sz w:val="20"/>
                <w:szCs w:val="20"/>
              </w:rPr>
            </w:pPr>
            <w:r w:rsidRPr="004D52B7">
              <w:rPr>
                <w:rFonts w:ascii="Times" w:hAnsi="Times"/>
                <w:sz w:val="20"/>
                <w:szCs w:val="20"/>
              </w:rPr>
              <w:t>7</w:t>
            </w:r>
          </w:p>
        </w:tc>
      </w:tr>
    </w:tbl>
    <w:p w14:paraId="3EA4141E" w14:textId="2159F31C" w:rsidR="005B2959" w:rsidRPr="000B0493" w:rsidRDefault="005B2959" w:rsidP="005B2959">
      <w:r>
        <w:rPr>
          <w:b/>
        </w:rPr>
        <w:lastRenderedPageBreak/>
        <w:t xml:space="preserve">Table 3. </w:t>
      </w:r>
      <w:r>
        <w:t xml:space="preserve">Observed </w:t>
      </w:r>
      <w:r w:rsidR="00CC23E9">
        <w:t xml:space="preserve">(crude computation of time until ART coverage &gt; 0) </w:t>
      </w:r>
      <w:r>
        <w:t>and estimated (</w:t>
      </w:r>
      <w:r w:rsidRPr="004D52B7">
        <w:rPr>
          <w:rFonts w:cs="Times New Roman"/>
          <w:bCs/>
          <w:i/>
        </w:rPr>
        <w:t>λ</w:t>
      </w:r>
      <w:r>
        <w:t>) time delays in ART scale-up (in years) for 39 sub-Saharan African countries, with rankings.</w:t>
      </w:r>
    </w:p>
    <w:p w14:paraId="37A49CBD" w14:textId="77777777" w:rsidR="005B2959" w:rsidRPr="00FD38B5" w:rsidRDefault="005B2959" w:rsidP="005B2959"/>
    <w:tbl>
      <w:tblPr>
        <w:tblStyle w:val="TableGrid"/>
        <w:tblW w:w="9828" w:type="dxa"/>
        <w:tblLayout w:type="fixed"/>
        <w:tblLook w:val="04A0" w:firstRow="1" w:lastRow="0" w:firstColumn="1" w:lastColumn="0" w:noHBand="0" w:noVBand="1"/>
      </w:tblPr>
      <w:tblGrid>
        <w:gridCol w:w="2018"/>
        <w:gridCol w:w="232"/>
        <w:gridCol w:w="1368"/>
        <w:gridCol w:w="1026"/>
        <w:gridCol w:w="1296"/>
        <w:gridCol w:w="1296"/>
        <w:gridCol w:w="1296"/>
        <w:gridCol w:w="1296"/>
      </w:tblGrid>
      <w:tr w:rsidR="005B2959" w:rsidRPr="000B0493" w14:paraId="6470E6DA" w14:textId="77777777" w:rsidTr="00CE4B72">
        <w:trPr>
          <w:trHeight w:val="332"/>
        </w:trPr>
        <w:tc>
          <w:tcPr>
            <w:tcW w:w="2018" w:type="dxa"/>
            <w:tcBorders>
              <w:top w:val="nil"/>
              <w:left w:val="nil"/>
              <w:right w:val="nil"/>
            </w:tcBorders>
            <w:noWrap/>
            <w:vAlign w:val="center"/>
          </w:tcPr>
          <w:p w14:paraId="411DD055" w14:textId="77777777" w:rsidR="005B2959" w:rsidRPr="000B0493" w:rsidRDefault="005B2959" w:rsidP="00CE4B72">
            <w:pPr>
              <w:rPr>
                <w:b/>
                <w:bCs/>
              </w:rPr>
            </w:pPr>
          </w:p>
        </w:tc>
        <w:tc>
          <w:tcPr>
            <w:tcW w:w="1600" w:type="dxa"/>
            <w:gridSpan w:val="2"/>
            <w:tcBorders>
              <w:top w:val="nil"/>
              <w:left w:val="nil"/>
              <w:right w:val="nil"/>
            </w:tcBorders>
            <w:noWrap/>
            <w:vAlign w:val="center"/>
          </w:tcPr>
          <w:p w14:paraId="2FCE2645" w14:textId="77777777" w:rsidR="005B2959" w:rsidRDefault="005B2959" w:rsidP="00CE4B72">
            <w:pPr>
              <w:jc w:val="center"/>
              <w:rPr>
                <w:b/>
                <w:bCs/>
              </w:rPr>
            </w:pPr>
          </w:p>
        </w:tc>
        <w:tc>
          <w:tcPr>
            <w:tcW w:w="1026" w:type="dxa"/>
            <w:tcBorders>
              <w:top w:val="nil"/>
              <w:left w:val="nil"/>
            </w:tcBorders>
            <w:vAlign w:val="center"/>
          </w:tcPr>
          <w:p w14:paraId="129EF34B" w14:textId="77777777" w:rsidR="005B2959" w:rsidRDefault="005B2959" w:rsidP="00CE4B72">
            <w:pPr>
              <w:jc w:val="center"/>
              <w:rPr>
                <w:b/>
                <w:bCs/>
              </w:rPr>
            </w:pPr>
          </w:p>
        </w:tc>
        <w:tc>
          <w:tcPr>
            <w:tcW w:w="2592" w:type="dxa"/>
            <w:gridSpan w:val="2"/>
            <w:noWrap/>
            <w:vAlign w:val="center"/>
          </w:tcPr>
          <w:p w14:paraId="76E84FFF" w14:textId="77777777" w:rsidR="005B2959" w:rsidRPr="000B0493" w:rsidRDefault="005B2959" w:rsidP="00CE4B72">
            <w:pPr>
              <w:jc w:val="center"/>
              <w:rPr>
                <w:b/>
                <w:bCs/>
              </w:rPr>
            </w:pPr>
            <w:r>
              <w:rPr>
                <w:b/>
                <w:bCs/>
              </w:rPr>
              <w:t>Gompertz</w:t>
            </w:r>
          </w:p>
        </w:tc>
        <w:tc>
          <w:tcPr>
            <w:tcW w:w="2592" w:type="dxa"/>
            <w:gridSpan w:val="2"/>
            <w:noWrap/>
            <w:vAlign w:val="center"/>
          </w:tcPr>
          <w:p w14:paraId="4951DBFA" w14:textId="77777777" w:rsidR="005B2959" w:rsidRPr="000B0493" w:rsidRDefault="005B2959" w:rsidP="00CE4B72">
            <w:pPr>
              <w:jc w:val="center"/>
              <w:rPr>
                <w:b/>
                <w:bCs/>
              </w:rPr>
            </w:pPr>
            <w:r>
              <w:rPr>
                <w:b/>
                <w:bCs/>
              </w:rPr>
              <w:t>Logistic</w:t>
            </w:r>
          </w:p>
        </w:tc>
      </w:tr>
      <w:tr w:rsidR="005B2959" w:rsidRPr="000B0493" w14:paraId="34A18281" w14:textId="77777777" w:rsidTr="00CE4B72">
        <w:trPr>
          <w:trHeight w:val="288"/>
        </w:trPr>
        <w:tc>
          <w:tcPr>
            <w:tcW w:w="2250" w:type="dxa"/>
            <w:gridSpan w:val="2"/>
            <w:noWrap/>
            <w:vAlign w:val="center"/>
            <w:hideMark/>
          </w:tcPr>
          <w:p w14:paraId="5A551BA6" w14:textId="77777777" w:rsidR="005B2959" w:rsidRPr="000B0493" w:rsidRDefault="005B2959" w:rsidP="00CE4B72">
            <w:pPr>
              <w:rPr>
                <w:b/>
                <w:bCs/>
              </w:rPr>
            </w:pPr>
            <w:r w:rsidRPr="000B0493">
              <w:rPr>
                <w:b/>
                <w:bCs/>
              </w:rPr>
              <w:t xml:space="preserve">Country </w:t>
            </w:r>
          </w:p>
        </w:tc>
        <w:tc>
          <w:tcPr>
            <w:tcW w:w="1368" w:type="dxa"/>
            <w:tcBorders>
              <w:right w:val="nil"/>
            </w:tcBorders>
            <w:noWrap/>
            <w:vAlign w:val="center"/>
            <w:hideMark/>
          </w:tcPr>
          <w:p w14:paraId="0E12A313" w14:textId="5D132A3F" w:rsidR="005B2959" w:rsidRPr="000B0493" w:rsidRDefault="005B2959" w:rsidP="00CE4B72">
            <w:pPr>
              <w:jc w:val="center"/>
              <w:rPr>
                <w:b/>
                <w:bCs/>
              </w:rPr>
            </w:pPr>
            <w:r>
              <w:rPr>
                <w:b/>
                <w:bCs/>
              </w:rPr>
              <w:t>Observed</w:t>
            </w:r>
            <w:r w:rsidR="00CC23E9">
              <w:rPr>
                <w:b/>
                <w:bCs/>
              </w:rPr>
              <w:t xml:space="preserve"> crude</w:t>
            </w:r>
            <w:r>
              <w:rPr>
                <w:b/>
                <w:bCs/>
              </w:rPr>
              <w:t xml:space="preserve"> delay</w:t>
            </w:r>
          </w:p>
        </w:tc>
        <w:tc>
          <w:tcPr>
            <w:tcW w:w="1026" w:type="dxa"/>
            <w:tcBorders>
              <w:left w:val="nil"/>
            </w:tcBorders>
            <w:vAlign w:val="center"/>
          </w:tcPr>
          <w:p w14:paraId="7C06B55D" w14:textId="77777777" w:rsidR="005B2959" w:rsidRPr="000B0493" w:rsidRDefault="005B2959" w:rsidP="00CE4B72">
            <w:pPr>
              <w:jc w:val="center"/>
              <w:rPr>
                <w:b/>
                <w:bCs/>
              </w:rPr>
            </w:pPr>
            <w:r>
              <w:rPr>
                <w:b/>
                <w:bCs/>
              </w:rPr>
              <w:t>Rank</w:t>
            </w:r>
          </w:p>
        </w:tc>
        <w:tc>
          <w:tcPr>
            <w:tcW w:w="1296" w:type="dxa"/>
            <w:tcBorders>
              <w:right w:val="nil"/>
            </w:tcBorders>
            <w:noWrap/>
            <w:vAlign w:val="center"/>
            <w:hideMark/>
          </w:tcPr>
          <w:p w14:paraId="2868AA19" w14:textId="77777777" w:rsidR="005B2959" w:rsidRPr="000B0493" w:rsidRDefault="005B2959" w:rsidP="00CE4B72">
            <w:pPr>
              <w:jc w:val="center"/>
              <w:rPr>
                <w:b/>
                <w:bCs/>
              </w:rPr>
            </w:pPr>
            <w:r>
              <w:rPr>
                <w:rFonts w:cs="Times New Roman"/>
                <w:b/>
                <w:bCs/>
              </w:rPr>
              <w:t>λ</w:t>
            </w:r>
          </w:p>
        </w:tc>
        <w:tc>
          <w:tcPr>
            <w:tcW w:w="1296" w:type="dxa"/>
            <w:tcBorders>
              <w:left w:val="nil"/>
            </w:tcBorders>
            <w:vAlign w:val="center"/>
          </w:tcPr>
          <w:p w14:paraId="5252378E" w14:textId="77777777" w:rsidR="005B2959" w:rsidRPr="000B0493" w:rsidRDefault="005B2959" w:rsidP="00CE4B72">
            <w:pPr>
              <w:jc w:val="center"/>
              <w:rPr>
                <w:b/>
                <w:bCs/>
              </w:rPr>
            </w:pPr>
            <w:r w:rsidRPr="000B0493">
              <w:rPr>
                <w:b/>
                <w:bCs/>
              </w:rPr>
              <w:t>Rank</w:t>
            </w:r>
          </w:p>
        </w:tc>
        <w:tc>
          <w:tcPr>
            <w:tcW w:w="1296" w:type="dxa"/>
            <w:tcBorders>
              <w:right w:val="nil"/>
            </w:tcBorders>
            <w:noWrap/>
            <w:vAlign w:val="center"/>
            <w:hideMark/>
          </w:tcPr>
          <w:p w14:paraId="372A1E73" w14:textId="77777777" w:rsidR="005B2959" w:rsidRPr="000B0493" w:rsidRDefault="005B2959" w:rsidP="00CE4B72">
            <w:pPr>
              <w:jc w:val="center"/>
              <w:rPr>
                <w:b/>
                <w:bCs/>
              </w:rPr>
            </w:pPr>
            <w:r>
              <w:rPr>
                <w:rFonts w:cs="Times New Roman"/>
                <w:b/>
                <w:bCs/>
              </w:rPr>
              <w:t>λ</w:t>
            </w:r>
          </w:p>
        </w:tc>
        <w:tc>
          <w:tcPr>
            <w:tcW w:w="1296" w:type="dxa"/>
            <w:tcBorders>
              <w:left w:val="nil"/>
            </w:tcBorders>
            <w:noWrap/>
            <w:vAlign w:val="center"/>
            <w:hideMark/>
          </w:tcPr>
          <w:p w14:paraId="65DEEFC7" w14:textId="77777777" w:rsidR="005B2959" w:rsidRPr="000B0493" w:rsidRDefault="005B2959" w:rsidP="00CE4B72">
            <w:pPr>
              <w:jc w:val="center"/>
              <w:rPr>
                <w:b/>
                <w:bCs/>
              </w:rPr>
            </w:pPr>
            <w:r w:rsidRPr="000B0493">
              <w:rPr>
                <w:b/>
                <w:bCs/>
              </w:rPr>
              <w:t>Rank</w:t>
            </w:r>
          </w:p>
        </w:tc>
      </w:tr>
      <w:tr w:rsidR="005B2959" w:rsidRPr="000B0493" w14:paraId="640C8D73" w14:textId="77777777" w:rsidTr="00CE4B72">
        <w:trPr>
          <w:trHeight w:val="259"/>
        </w:trPr>
        <w:tc>
          <w:tcPr>
            <w:tcW w:w="2250" w:type="dxa"/>
            <w:gridSpan w:val="2"/>
            <w:noWrap/>
            <w:vAlign w:val="center"/>
            <w:hideMark/>
          </w:tcPr>
          <w:p w14:paraId="33186734" w14:textId="77777777" w:rsidR="005B2959" w:rsidRPr="004D52B7" w:rsidRDefault="005B2959" w:rsidP="00CE4B72">
            <w:pPr>
              <w:rPr>
                <w:sz w:val="20"/>
                <w:szCs w:val="20"/>
              </w:rPr>
            </w:pPr>
            <w:r w:rsidRPr="004D52B7">
              <w:rPr>
                <w:sz w:val="20"/>
                <w:szCs w:val="20"/>
              </w:rPr>
              <w:t>Botswana</w:t>
            </w:r>
          </w:p>
        </w:tc>
        <w:tc>
          <w:tcPr>
            <w:tcW w:w="1368" w:type="dxa"/>
            <w:tcBorders>
              <w:right w:val="nil"/>
            </w:tcBorders>
            <w:noWrap/>
            <w:vAlign w:val="center"/>
            <w:hideMark/>
          </w:tcPr>
          <w:p w14:paraId="4A3C15A6" w14:textId="77777777" w:rsidR="005B2959" w:rsidRPr="004D52B7" w:rsidRDefault="005B2959" w:rsidP="00CE4B72">
            <w:pPr>
              <w:jc w:val="center"/>
              <w:rPr>
                <w:sz w:val="20"/>
                <w:szCs w:val="20"/>
              </w:rPr>
            </w:pPr>
            <w:r w:rsidRPr="004D52B7">
              <w:rPr>
                <w:sz w:val="20"/>
                <w:szCs w:val="20"/>
              </w:rPr>
              <w:t>1</w:t>
            </w:r>
          </w:p>
        </w:tc>
        <w:tc>
          <w:tcPr>
            <w:tcW w:w="1026" w:type="dxa"/>
            <w:tcBorders>
              <w:left w:val="nil"/>
            </w:tcBorders>
            <w:vAlign w:val="center"/>
          </w:tcPr>
          <w:p w14:paraId="7E176063" w14:textId="77777777" w:rsidR="005B2959" w:rsidRPr="004D52B7" w:rsidRDefault="005B2959" w:rsidP="00CE4B72">
            <w:pPr>
              <w:jc w:val="center"/>
              <w:rPr>
                <w:sz w:val="20"/>
                <w:szCs w:val="20"/>
              </w:rPr>
            </w:pPr>
            <w:r w:rsidRPr="004D52B7">
              <w:rPr>
                <w:sz w:val="20"/>
                <w:szCs w:val="20"/>
              </w:rPr>
              <w:t>1</w:t>
            </w:r>
          </w:p>
        </w:tc>
        <w:tc>
          <w:tcPr>
            <w:tcW w:w="1296" w:type="dxa"/>
            <w:tcBorders>
              <w:right w:val="nil"/>
            </w:tcBorders>
            <w:noWrap/>
            <w:vAlign w:val="center"/>
            <w:hideMark/>
          </w:tcPr>
          <w:p w14:paraId="61D9A30F" w14:textId="77777777" w:rsidR="005B2959" w:rsidRPr="004D52B7" w:rsidRDefault="005B2959" w:rsidP="00CE4B72">
            <w:pPr>
              <w:jc w:val="center"/>
              <w:rPr>
                <w:sz w:val="20"/>
                <w:szCs w:val="20"/>
              </w:rPr>
            </w:pPr>
            <w:r w:rsidRPr="004D52B7">
              <w:rPr>
                <w:sz w:val="20"/>
                <w:szCs w:val="20"/>
              </w:rPr>
              <w:t>2.6</w:t>
            </w:r>
          </w:p>
        </w:tc>
        <w:tc>
          <w:tcPr>
            <w:tcW w:w="1296" w:type="dxa"/>
            <w:tcBorders>
              <w:left w:val="nil"/>
            </w:tcBorders>
            <w:vAlign w:val="center"/>
          </w:tcPr>
          <w:p w14:paraId="75516245" w14:textId="77777777" w:rsidR="005B2959" w:rsidRPr="004D52B7" w:rsidRDefault="005B2959" w:rsidP="00CE4B72">
            <w:pPr>
              <w:jc w:val="center"/>
              <w:rPr>
                <w:sz w:val="20"/>
                <w:szCs w:val="20"/>
              </w:rPr>
            </w:pPr>
            <w:r w:rsidRPr="004D52B7">
              <w:rPr>
                <w:sz w:val="20"/>
                <w:szCs w:val="20"/>
              </w:rPr>
              <w:t>1</w:t>
            </w:r>
          </w:p>
        </w:tc>
        <w:tc>
          <w:tcPr>
            <w:tcW w:w="1296" w:type="dxa"/>
            <w:tcBorders>
              <w:right w:val="nil"/>
            </w:tcBorders>
            <w:noWrap/>
            <w:vAlign w:val="center"/>
            <w:hideMark/>
          </w:tcPr>
          <w:p w14:paraId="4E33D984" w14:textId="77777777" w:rsidR="005B2959" w:rsidRPr="004D52B7" w:rsidRDefault="005B2959" w:rsidP="00CE4B72">
            <w:pPr>
              <w:jc w:val="center"/>
              <w:rPr>
                <w:sz w:val="20"/>
                <w:szCs w:val="20"/>
              </w:rPr>
            </w:pPr>
            <w:r w:rsidRPr="004D52B7">
              <w:rPr>
                <w:sz w:val="20"/>
                <w:szCs w:val="20"/>
              </w:rPr>
              <w:t>3.2</w:t>
            </w:r>
          </w:p>
        </w:tc>
        <w:tc>
          <w:tcPr>
            <w:tcW w:w="1296" w:type="dxa"/>
            <w:tcBorders>
              <w:left w:val="nil"/>
            </w:tcBorders>
            <w:noWrap/>
            <w:vAlign w:val="center"/>
            <w:hideMark/>
          </w:tcPr>
          <w:p w14:paraId="362C7EE3" w14:textId="77777777" w:rsidR="005B2959" w:rsidRPr="004D52B7" w:rsidRDefault="005B2959" w:rsidP="00CE4B72">
            <w:pPr>
              <w:jc w:val="center"/>
              <w:rPr>
                <w:sz w:val="20"/>
                <w:szCs w:val="20"/>
              </w:rPr>
            </w:pPr>
            <w:r w:rsidRPr="004D52B7">
              <w:rPr>
                <w:sz w:val="20"/>
                <w:szCs w:val="20"/>
              </w:rPr>
              <w:t>1</w:t>
            </w:r>
          </w:p>
        </w:tc>
      </w:tr>
      <w:tr w:rsidR="005B2959" w:rsidRPr="000B0493" w14:paraId="7240AC29" w14:textId="77777777" w:rsidTr="00CE4B72">
        <w:trPr>
          <w:trHeight w:val="259"/>
        </w:trPr>
        <w:tc>
          <w:tcPr>
            <w:tcW w:w="2250" w:type="dxa"/>
            <w:gridSpan w:val="2"/>
            <w:noWrap/>
            <w:vAlign w:val="center"/>
            <w:hideMark/>
          </w:tcPr>
          <w:p w14:paraId="509B5D74" w14:textId="77777777" w:rsidR="005B2959" w:rsidRPr="004D52B7" w:rsidRDefault="005B2959" w:rsidP="00CE4B72">
            <w:pPr>
              <w:rPr>
                <w:sz w:val="20"/>
                <w:szCs w:val="20"/>
              </w:rPr>
            </w:pPr>
            <w:r w:rsidRPr="004D52B7">
              <w:rPr>
                <w:sz w:val="20"/>
                <w:szCs w:val="20"/>
              </w:rPr>
              <w:t>Senegal</w:t>
            </w:r>
          </w:p>
        </w:tc>
        <w:tc>
          <w:tcPr>
            <w:tcW w:w="1368" w:type="dxa"/>
            <w:tcBorders>
              <w:right w:val="nil"/>
            </w:tcBorders>
            <w:noWrap/>
            <w:vAlign w:val="center"/>
            <w:hideMark/>
          </w:tcPr>
          <w:p w14:paraId="735CFB76" w14:textId="77777777" w:rsidR="005B2959" w:rsidRPr="004D52B7" w:rsidRDefault="005B2959" w:rsidP="00CE4B72">
            <w:pPr>
              <w:jc w:val="center"/>
              <w:rPr>
                <w:sz w:val="20"/>
                <w:szCs w:val="20"/>
              </w:rPr>
            </w:pPr>
            <w:r w:rsidRPr="004D52B7">
              <w:rPr>
                <w:sz w:val="20"/>
                <w:szCs w:val="20"/>
              </w:rPr>
              <w:t>1</w:t>
            </w:r>
          </w:p>
        </w:tc>
        <w:tc>
          <w:tcPr>
            <w:tcW w:w="1026" w:type="dxa"/>
            <w:tcBorders>
              <w:left w:val="nil"/>
            </w:tcBorders>
            <w:vAlign w:val="center"/>
          </w:tcPr>
          <w:p w14:paraId="5127D347" w14:textId="77777777" w:rsidR="005B2959" w:rsidRPr="004D52B7" w:rsidRDefault="005B2959" w:rsidP="00CE4B72">
            <w:pPr>
              <w:jc w:val="center"/>
              <w:rPr>
                <w:sz w:val="20"/>
                <w:szCs w:val="20"/>
              </w:rPr>
            </w:pPr>
            <w:r w:rsidRPr="004D52B7">
              <w:rPr>
                <w:sz w:val="20"/>
                <w:szCs w:val="20"/>
              </w:rPr>
              <w:t>1</w:t>
            </w:r>
          </w:p>
        </w:tc>
        <w:tc>
          <w:tcPr>
            <w:tcW w:w="1296" w:type="dxa"/>
            <w:tcBorders>
              <w:right w:val="nil"/>
            </w:tcBorders>
            <w:noWrap/>
            <w:vAlign w:val="center"/>
            <w:hideMark/>
          </w:tcPr>
          <w:p w14:paraId="7FE13CE8" w14:textId="77777777" w:rsidR="005B2959" w:rsidRPr="004D52B7" w:rsidRDefault="005B2959" w:rsidP="00CE4B72">
            <w:pPr>
              <w:jc w:val="center"/>
              <w:rPr>
                <w:sz w:val="20"/>
                <w:szCs w:val="20"/>
              </w:rPr>
            </w:pPr>
            <w:r w:rsidRPr="004D52B7">
              <w:rPr>
                <w:sz w:val="20"/>
                <w:szCs w:val="20"/>
              </w:rPr>
              <w:t>4.9</w:t>
            </w:r>
          </w:p>
        </w:tc>
        <w:tc>
          <w:tcPr>
            <w:tcW w:w="1296" w:type="dxa"/>
            <w:tcBorders>
              <w:left w:val="nil"/>
            </w:tcBorders>
            <w:vAlign w:val="center"/>
          </w:tcPr>
          <w:p w14:paraId="7EEA829E" w14:textId="77777777" w:rsidR="005B2959" w:rsidRPr="004D52B7" w:rsidRDefault="005B2959" w:rsidP="00CE4B72">
            <w:pPr>
              <w:jc w:val="center"/>
              <w:rPr>
                <w:sz w:val="20"/>
                <w:szCs w:val="20"/>
              </w:rPr>
            </w:pPr>
            <w:r w:rsidRPr="004D52B7">
              <w:rPr>
                <w:sz w:val="20"/>
                <w:szCs w:val="20"/>
              </w:rPr>
              <w:t>10</w:t>
            </w:r>
          </w:p>
        </w:tc>
        <w:tc>
          <w:tcPr>
            <w:tcW w:w="1296" w:type="dxa"/>
            <w:tcBorders>
              <w:right w:val="nil"/>
            </w:tcBorders>
            <w:noWrap/>
            <w:vAlign w:val="center"/>
            <w:hideMark/>
          </w:tcPr>
          <w:p w14:paraId="05A1EECC" w14:textId="77777777" w:rsidR="005B2959" w:rsidRPr="004D52B7" w:rsidRDefault="005B2959" w:rsidP="00CE4B72">
            <w:pPr>
              <w:jc w:val="center"/>
              <w:rPr>
                <w:sz w:val="20"/>
                <w:szCs w:val="20"/>
              </w:rPr>
            </w:pPr>
            <w:r w:rsidRPr="004D52B7">
              <w:rPr>
                <w:sz w:val="20"/>
                <w:szCs w:val="20"/>
              </w:rPr>
              <w:t>5.1</w:t>
            </w:r>
          </w:p>
        </w:tc>
        <w:tc>
          <w:tcPr>
            <w:tcW w:w="1296" w:type="dxa"/>
            <w:tcBorders>
              <w:left w:val="nil"/>
            </w:tcBorders>
            <w:noWrap/>
            <w:vAlign w:val="center"/>
            <w:hideMark/>
          </w:tcPr>
          <w:p w14:paraId="3052C447" w14:textId="77777777" w:rsidR="005B2959" w:rsidRPr="004D52B7" w:rsidRDefault="005B2959" w:rsidP="00CE4B72">
            <w:pPr>
              <w:jc w:val="center"/>
              <w:rPr>
                <w:sz w:val="20"/>
                <w:szCs w:val="20"/>
              </w:rPr>
            </w:pPr>
            <w:r w:rsidRPr="004D52B7">
              <w:rPr>
                <w:sz w:val="20"/>
                <w:szCs w:val="20"/>
              </w:rPr>
              <w:t>8</w:t>
            </w:r>
          </w:p>
        </w:tc>
      </w:tr>
      <w:tr w:rsidR="005B2959" w:rsidRPr="000B0493" w14:paraId="46846438" w14:textId="77777777" w:rsidTr="00CE4B72">
        <w:trPr>
          <w:trHeight w:val="259"/>
        </w:trPr>
        <w:tc>
          <w:tcPr>
            <w:tcW w:w="2250" w:type="dxa"/>
            <w:gridSpan w:val="2"/>
            <w:noWrap/>
            <w:vAlign w:val="center"/>
            <w:hideMark/>
          </w:tcPr>
          <w:p w14:paraId="36198EF7" w14:textId="77777777" w:rsidR="005B2959" w:rsidRPr="004D52B7" w:rsidRDefault="005B2959" w:rsidP="00CE4B72">
            <w:pPr>
              <w:rPr>
                <w:sz w:val="20"/>
                <w:szCs w:val="20"/>
              </w:rPr>
            </w:pPr>
            <w:r w:rsidRPr="004D52B7">
              <w:rPr>
                <w:sz w:val="20"/>
                <w:szCs w:val="20"/>
              </w:rPr>
              <w:t>Swaziland</w:t>
            </w:r>
          </w:p>
        </w:tc>
        <w:tc>
          <w:tcPr>
            <w:tcW w:w="1368" w:type="dxa"/>
            <w:tcBorders>
              <w:right w:val="nil"/>
            </w:tcBorders>
            <w:noWrap/>
            <w:vAlign w:val="center"/>
            <w:hideMark/>
          </w:tcPr>
          <w:p w14:paraId="0D8E6D21" w14:textId="77777777" w:rsidR="005B2959" w:rsidRPr="004D52B7" w:rsidRDefault="005B2959" w:rsidP="00CE4B72">
            <w:pPr>
              <w:jc w:val="center"/>
              <w:rPr>
                <w:sz w:val="20"/>
                <w:szCs w:val="20"/>
              </w:rPr>
            </w:pPr>
            <w:r w:rsidRPr="004D52B7">
              <w:rPr>
                <w:sz w:val="20"/>
                <w:szCs w:val="20"/>
              </w:rPr>
              <w:t>1</w:t>
            </w:r>
          </w:p>
        </w:tc>
        <w:tc>
          <w:tcPr>
            <w:tcW w:w="1026" w:type="dxa"/>
            <w:tcBorders>
              <w:left w:val="nil"/>
            </w:tcBorders>
            <w:vAlign w:val="center"/>
          </w:tcPr>
          <w:p w14:paraId="2BFD44D6" w14:textId="77777777" w:rsidR="005B2959" w:rsidRPr="004D52B7" w:rsidRDefault="005B2959" w:rsidP="00CE4B72">
            <w:pPr>
              <w:jc w:val="center"/>
              <w:rPr>
                <w:sz w:val="20"/>
                <w:szCs w:val="20"/>
              </w:rPr>
            </w:pPr>
            <w:r w:rsidRPr="004D52B7">
              <w:rPr>
                <w:sz w:val="20"/>
                <w:szCs w:val="20"/>
              </w:rPr>
              <w:t>1</w:t>
            </w:r>
          </w:p>
        </w:tc>
        <w:tc>
          <w:tcPr>
            <w:tcW w:w="1296" w:type="dxa"/>
            <w:tcBorders>
              <w:right w:val="nil"/>
            </w:tcBorders>
            <w:noWrap/>
            <w:vAlign w:val="center"/>
            <w:hideMark/>
          </w:tcPr>
          <w:p w14:paraId="2E4681E9" w14:textId="77777777" w:rsidR="005B2959" w:rsidRPr="004D52B7" w:rsidRDefault="005B2959" w:rsidP="00CE4B72">
            <w:pPr>
              <w:jc w:val="center"/>
              <w:rPr>
                <w:sz w:val="20"/>
                <w:szCs w:val="20"/>
              </w:rPr>
            </w:pPr>
            <w:r w:rsidRPr="004D52B7">
              <w:rPr>
                <w:sz w:val="20"/>
                <w:szCs w:val="20"/>
              </w:rPr>
              <w:t>5.1</w:t>
            </w:r>
          </w:p>
        </w:tc>
        <w:tc>
          <w:tcPr>
            <w:tcW w:w="1296" w:type="dxa"/>
            <w:tcBorders>
              <w:left w:val="nil"/>
            </w:tcBorders>
            <w:vAlign w:val="center"/>
          </w:tcPr>
          <w:p w14:paraId="61F29C03" w14:textId="77777777" w:rsidR="005B2959" w:rsidRPr="004D52B7" w:rsidRDefault="005B2959" w:rsidP="00CE4B72">
            <w:pPr>
              <w:jc w:val="center"/>
              <w:rPr>
                <w:sz w:val="20"/>
                <w:szCs w:val="20"/>
              </w:rPr>
            </w:pPr>
            <w:r w:rsidRPr="004D52B7">
              <w:rPr>
                <w:sz w:val="20"/>
                <w:szCs w:val="20"/>
              </w:rPr>
              <w:t>12</w:t>
            </w:r>
          </w:p>
        </w:tc>
        <w:tc>
          <w:tcPr>
            <w:tcW w:w="1296" w:type="dxa"/>
            <w:tcBorders>
              <w:right w:val="nil"/>
            </w:tcBorders>
            <w:noWrap/>
            <w:vAlign w:val="center"/>
            <w:hideMark/>
          </w:tcPr>
          <w:p w14:paraId="33580D29" w14:textId="77777777" w:rsidR="005B2959" w:rsidRPr="004D52B7" w:rsidRDefault="005B2959" w:rsidP="00CE4B72">
            <w:pPr>
              <w:jc w:val="center"/>
              <w:rPr>
                <w:sz w:val="20"/>
                <w:szCs w:val="20"/>
              </w:rPr>
            </w:pPr>
            <w:r w:rsidRPr="004D52B7">
              <w:rPr>
                <w:sz w:val="20"/>
                <w:szCs w:val="20"/>
              </w:rPr>
              <w:t>5.9</w:t>
            </w:r>
          </w:p>
        </w:tc>
        <w:tc>
          <w:tcPr>
            <w:tcW w:w="1296" w:type="dxa"/>
            <w:tcBorders>
              <w:left w:val="nil"/>
            </w:tcBorders>
            <w:noWrap/>
            <w:vAlign w:val="center"/>
            <w:hideMark/>
          </w:tcPr>
          <w:p w14:paraId="53FDB137" w14:textId="77777777" w:rsidR="005B2959" w:rsidRPr="004D52B7" w:rsidRDefault="005B2959" w:rsidP="00CE4B72">
            <w:pPr>
              <w:jc w:val="center"/>
              <w:rPr>
                <w:sz w:val="20"/>
                <w:szCs w:val="20"/>
              </w:rPr>
            </w:pPr>
            <w:r w:rsidRPr="004D52B7">
              <w:rPr>
                <w:sz w:val="20"/>
                <w:szCs w:val="20"/>
              </w:rPr>
              <w:t>14</w:t>
            </w:r>
          </w:p>
        </w:tc>
      </w:tr>
      <w:tr w:rsidR="005B2959" w:rsidRPr="000B0493" w14:paraId="260FC814" w14:textId="77777777" w:rsidTr="00CE4B72">
        <w:trPr>
          <w:trHeight w:val="259"/>
        </w:trPr>
        <w:tc>
          <w:tcPr>
            <w:tcW w:w="2250" w:type="dxa"/>
            <w:gridSpan w:val="2"/>
            <w:noWrap/>
            <w:vAlign w:val="center"/>
            <w:hideMark/>
          </w:tcPr>
          <w:p w14:paraId="60059EFE" w14:textId="77777777" w:rsidR="005B2959" w:rsidRPr="004D52B7" w:rsidRDefault="005B2959" w:rsidP="00CE4B72">
            <w:pPr>
              <w:rPr>
                <w:sz w:val="20"/>
                <w:szCs w:val="20"/>
              </w:rPr>
            </w:pPr>
            <w:r w:rsidRPr="004D52B7">
              <w:rPr>
                <w:sz w:val="20"/>
                <w:szCs w:val="20"/>
              </w:rPr>
              <w:t>Burundi</w:t>
            </w:r>
          </w:p>
        </w:tc>
        <w:tc>
          <w:tcPr>
            <w:tcW w:w="1368" w:type="dxa"/>
            <w:tcBorders>
              <w:right w:val="nil"/>
            </w:tcBorders>
            <w:noWrap/>
            <w:vAlign w:val="center"/>
            <w:hideMark/>
          </w:tcPr>
          <w:p w14:paraId="52B170A1" w14:textId="77777777" w:rsidR="005B2959" w:rsidRPr="004D52B7" w:rsidRDefault="005B2959" w:rsidP="00CE4B72">
            <w:pPr>
              <w:jc w:val="center"/>
              <w:rPr>
                <w:sz w:val="20"/>
                <w:szCs w:val="20"/>
              </w:rPr>
            </w:pPr>
            <w:r w:rsidRPr="004D52B7">
              <w:rPr>
                <w:sz w:val="20"/>
                <w:szCs w:val="20"/>
              </w:rPr>
              <w:t>1</w:t>
            </w:r>
          </w:p>
        </w:tc>
        <w:tc>
          <w:tcPr>
            <w:tcW w:w="1026" w:type="dxa"/>
            <w:tcBorders>
              <w:left w:val="nil"/>
            </w:tcBorders>
            <w:vAlign w:val="center"/>
          </w:tcPr>
          <w:p w14:paraId="7C3AC214" w14:textId="77777777" w:rsidR="005B2959" w:rsidRPr="004D52B7" w:rsidRDefault="005B2959" w:rsidP="00CE4B72">
            <w:pPr>
              <w:jc w:val="center"/>
              <w:rPr>
                <w:sz w:val="20"/>
                <w:szCs w:val="20"/>
              </w:rPr>
            </w:pPr>
            <w:r w:rsidRPr="004D52B7">
              <w:rPr>
                <w:sz w:val="20"/>
                <w:szCs w:val="20"/>
              </w:rPr>
              <w:t>1</w:t>
            </w:r>
          </w:p>
        </w:tc>
        <w:tc>
          <w:tcPr>
            <w:tcW w:w="1296" w:type="dxa"/>
            <w:tcBorders>
              <w:right w:val="nil"/>
            </w:tcBorders>
            <w:noWrap/>
            <w:vAlign w:val="center"/>
            <w:hideMark/>
          </w:tcPr>
          <w:p w14:paraId="75346130" w14:textId="77777777" w:rsidR="005B2959" w:rsidRPr="004D52B7" w:rsidRDefault="005B2959" w:rsidP="00CE4B72">
            <w:pPr>
              <w:jc w:val="center"/>
              <w:rPr>
                <w:sz w:val="20"/>
                <w:szCs w:val="20"/>
              </w:rPr>
            </w:pPr>
            <w:r w:rsidRPr="004D52B7">
              <w:rPr>
                <w:sz w:val="20"/>
                <w:szCs w:val="20"/>
              </w:rPr>
              <w:t>5.9</w:t>
            </w:r>
          </w:p>
        </w:tc>
        <w:tc>
          <w:tcPr>
            <w:tcW w:w="1296" w:type="dxa"/>
            <w:tcBorders>
              <w:left w:val="nil"/>
            </w:tcBorders>
            <w:vAlign w:val="center"/>
          </w:tcPr>
          <w:p w14:paraId="75816C3D" w14:textId="77777777" w:rsidR="005B2959" w:rsidRPr="004D52B7" w:rsidRDefault="005B2959" w:rsidP="00CE4B72">
            <w:pPr>
              <w:jc w:val="center"/>
              <w:rPr>
                <w:sz w:val="20"/>
                <w:szCs w:val="20"/>
              </w:rPr>
            </w:pPr>
            <w:r w:rsidRPr="004D52B7">
              <w:rPr>
                <w:sz w:val="20"/>
                <w:szCs w:val="20"/>
              </w:rPr>
              <w:t>17</w:t>
            </w:r>
          </w:p>
        </w:tc>
        <w:tc>
          <w:tcPr>
            <w:tcW w:w="1296" w:type="dxa"/>
            <w:tcBorders>
              <w:right w:val="nil"/>
            </w:tcBorders>
            <w:noWrap/>
            <w:vAlign w:val="center"/>
            <w:hideMark/>
          </w:tcPr>
          <w:p w14:paraId="01225F78" w14:textId="77777777" w:rsidR="005B2959" w:rsidRPr="004D52B7" w:rsidRDefault="005B2959" w:rsidP="00CE4B72">
            <w:pPr>
              <w:jc w:val="center"/>
              <w:rPr>
                <w:sz w:val="20"/>
                <w:szCs w:val="20"/>
              </w:rPr>
            </w:pPr>
            <w:r w:rsidRPr="004D52B7">
              <w:rPr>
                <w:sz w:val="20"/>
                <w:szCs w:val="20"/>
              </w:rPr>
              <w:t>6.4</w:t>
            </w:r>
          </w:p>
        </w:tc>
        <w:tc>
          <w:tcPr>
            <w:tcW w:w="1296" w:type="dxa"/>
            <w:tcBorders>
              <w:left w:val="nil"/>
            </w:tcBorders>
            <w:noWrap/>
            <w:vAlign w:val="center"/>
            <w:hideMark/>
          </w:tcPr>
          <w:p w14:paraId="1EB52316" w14:textId="77777777" w:rsidR="005B2959" w:rsidRPr="004D52B7" w:rsidRDefault="005B2959" w:rsidP="00CE4B72">
            <w:pPr>
              <w:jc w:val="center"/>
              <w:rPr>
                <w:sz w:val="20"/>
                <w:szCs w:val="20"/>
              </w:rPr>
            </w:pPr>
            <w:r w:rsidRPr="004D52B7">
              <w:rPr>
                <w:sz w:val="20"/>
                <w:szCs w:val="20"/>
              </w:rPr>
              <w:t>16</w:t>
            </w:r>
          </w:p>
        </w:tc>
      </w:tr>
      <w:tr w:rsidR="005B2959" w:rsidRPr="000B0493" w14:paraId="1293C6A1" w14:textId="77777777" w:rsidTr="00CE4B72">
        <w:trPr>
          <w:trHeight w:val="259"/>
        </w:trPr>
        <w:tc>
          <w:tcPr>
            <w:tcW w:w="2250" w:type="dxa"/>
            <w:gridSpan w:val="2"/>
            <w:noWrap/>
            <w:vAlign w:val="center"/>
            <w:hideMark/>
          </w:tcPr>
          <w:p w14:paraId="467B7860" w14:textId="77777777" w:rsidR="005B2959" w:rsidRPr="004D52B7" w:rsidRDefault="005B2959" w:rsidP="00CE4B72">
            <w:pPr>
              <w:rPr>
                <w:sz w:val="20"/>
                <w:szCs w:val="20"/>
              </w:rPr>
            </w:pPr>
            <w:r w:rsidRPr="004D52B7">
              <w:rPr>
                <w:sz w:val="20"/>
                <w:szCs w:val="20"/>
              </w:rPr>
              <w:t>Uganda</w:t>
            </w:r>
          </w:p>
        </w:tc>
        <w:tc>
          <w:tcPr>
            <w:tcW w:w="1368" w:type="dxa"/>
            <w:tcBorders>
              <w:right w:val="nil"/>
            </w:tcBorders>
            <w:noWrap/>
            <w:vAlign w:val="center"/>
            <w:hideMark/>
          </w:tcPr>
          <w:p w14:paraId="09C5D98D" w14:textId="77777777" w:rsidR="005B2959" w:rsidRPr="004D52B7" w:rsidRDefault="005B2959" w:rsidP="00CE4B72">
            <w:pPr>
              <w:jc w:val="center"/>
              <w:rPr>
                <w:sz w:val="20"/>
                <w:szCs w:val="20"/>
              </w:rPr>
            </w:pPr>
            <w:r w:rsidRPr="004D52B7">
              <w:rPr>
                <w:sz w:val="20"/>
                <w:szCs w:val="20"/>
              </w:rPr>
              <w:t>1</w:t>
            </w:r>
          </w:p>
        </w:tc>
        <w:tc>
          <w:tcPr>
            <w:tcW w:w="1026" w:type="dxa"/>
            <w:tcBorders>
              <w:left w:val="nil"/>
            </w:tcBorders>
            <w:vAlign w:val="center"/>
          </w:tcPr>
          <w:p w14:paraId="0637A9C7" w14:textId="77777777" w:rsidR="005B2959" w:rsidRPr="004D52B7" w:rsidRDefault="005B2959" w:rsidP="00CE4B72">
            <w:pPr>
              <w:jc w:val="center"/>
              <w:rPr>
                <w:sz w:val="20"/>
                <w:szCs w:val="20"/>
              </w:rPr>
            </w:pPr>
            <w:r w:rsidRPr="004D52B7">
              <w:rPr>
                <w:sz w:val="20"/>
                <w:szCs w:val="20"/>
              </w:rPr>
              <w:t>1</w:t>
            </w:r>
          </w:p>
        </w:tc>
        <w:tc>
          <w:tcPr>
            <w:tcW w:w="1296" w:type="dxa"/>
            <w:tcBorders>
              <w:right w:val="nil"/>
            </w:tcBorders>
            <w:noWrap/>
            <w:vAlign w:val="center"/>
            <w:hideMark/>
          </w:tcPr>
          <w:p w14:paraId="2078E992" w14:textId="77777777" w:rsidR="005B2959" w:rsidRPr="004D52B7" w:rsidRDefault="005B2959" w:rsidP="00CE4B72">
            <w:pPr>
              <w:jc w:val="center"/>
              <w:rPr>
                <w:sz w:val="20"/>
                <w:szCs w:val="20"/>
              </w:rPr>
            </w:pPr>
            <w:r w:rsidRPr="004D52B7">
              <w:rPr>
                <w:sz w:val="20"/>
                <w:szCs w:val="20"/>
              </w:rPr>
              <w:t>6.0</w:t>
            </w:r>
          </w:p>
        </w:tc>
        <w:tc>
          <w:tcPr>
            <w:tcW w:w="1296" w:type="dxa"/>
            <w:tcBorders>
              <w:left w:val="nil"/>
            </w:tcBorders>
            <w:vAlign w:val="center"/>
          </w:tcPr>
          <w:p w14:paraId="59A55B4E" w14:textId="77777777" w:rsidR="005B2959" w:rsidRPr="004D52B7" w:rsidRDefault="005B2959" w:rsidP="00CE4B72">
            <w:pPr>
              <w:jc w:val="center"/>
              <w:rPr>
                <w:sz w:val="20"/>
                <w:szCs w:val="20"/>
              </w:rPr>
            </w:pPr>
            <w:r w:rsidRPr="004D52B7">
              <w:rPr>
                <w:sz w:val="20"/>
                <w:szCs w:val="20"/>
              </w:rPr>
              <w:t>20</w:t>
            </w:r>
          </w:p>
        </w:tc>
        <w:tc>
          <w:tcPr>
            <w:tcW w:w="1296" w:type="dxa"/>
            <w:tcBorders>
              <w:right w:val="nil"/>
            </w:tcBorders>
            <w:noWrap/>
            <w:vAlign w:val="center"/>
            <w:hideMark/>
          </w:tcPr>
          <w:p w14:paraId="37ACB44D" w14:textId="77777777" w:rsidR="005B2959" w:rsidRPr="004D52B7" w:rsidRDefault="005B2959" w:rsidP="00CE4B72">
            <w:pPr>
              <w:jc w:val="center"/>
              <w:rPr>
                <w:sz w:val="20"/>
                <w:szCs w:val="20"/>
              </w:rPr>
            </w:pPr>
            <w:r w:rsidRPr="004D52B7">
              <w:rPr>
                <w:sz w:val="20"/>
                <w:szCs w:val="20"/>
              </w:rPr>
              <w:t>7.5</w:t>
            </w:r>
          </w:p>
        </w:tc>
        <w:tc>
          <w:tcPr>
            <w:tcW w:w="1296" w:type="dxa"/>
            <w:tcBorders>
              <w:left w:val="nil"/>
            </w:tcBorders>
            <w:noWrap/>
            <w:vAlign w:val="center"/>
            <w:hideMark/>
          </w:tcPr>
          <w:p w14:paraId="778DB633" w14:textId="77777777" w:rsidR="005B2959" w:rsidRPr="004D52B7" w:rsidRDefault="005B2959" w:rsidP="00CE4B72">
            <w:pPr>
              <w:jc w:val="center"/>
              <w:rPr>
                <w:sz w:val="20"/>
                <w:szCs w:val="20"/>
              </w:rPr>
            </w:pPr>
            <w:r w:rsidRPr="004D52B7">
              <w:rPr>
                <w:sz w:val="20"/>
                <w:szCs w:val="20"/>
              </w:rPr>
              <w:t>32</w:t>
            </w:r>
          </w:p>
        </w:tc>
      </w:tr>
      <w:tr w:rsidR="005B2959" w:rsidRPr="000B0493" w14:paraId="474CA7B7" w14:textId="77777777" w:rsidTr="00CE4B72">
        <w:trPr>
          <w:trHeight w:val="259"/>
        </w:trPr>
        <w:tc>
          <w:tcPr>
            <w:tcW w:w="2250" w:type="dxa"/>
            <w:gridSpan w:val="2"/>
            <w:noWrap/>
            <w:vAlign w:val="center"/>
            <w:hideMark/>
          </w:tcPr>
          <w:p w14:paraId="4A37CAF5" w14:textId="77777777" w:rsidR="005B2959" w:rsidRPr="004D52B7" w:rsidRDefault="005B2959" w:rsidP="00CE4B72">
            <w:pPr>
              <w:rPr>
                <w:sz w:val="20"/>
                <w:szCs w:val="20"/>
              </w:rPr>
            </w:pPr>
            <w:r w:rsidRPr="004D52B7">
              <w:rPr>
                <w:sz w:val="20"/>
                <w:szCs w:val="20"/>
              </w:rPr>
              <w:t>Gabon</w:t>
            </w:r>
          </w:p>
        </w:tc>
        <w:tc>
          <w:tcPr>
            <w:tcW w:w="1368" w:type="dxa"/>
            <w:tcBorders>
              <w:right w:val="nil"/>
            </w:tcBorders>
            <w:noWrap/>
            <w:vAlign w:val="center"/>
            <w:hideMark/>
          </w:tcPr>
          <w:p w14:paraId="5971E2E2" w14:textId="77777777" w:rsidR="005B2959" w:rsidRPr="004D52B7" w:rsidRDefault="005B2959" w:rsidP="00CE4B72">
            <w:pPr>
              <w:jc w:val="center"/>
              <w:rPr>
                <w:sz w:val="20"/>
                <w:szCs w:val="20"/>
              </w:rPr>
            </w:pPr>
            <w:r w:rsidRPr="004D52B7">
              <w:rPr>
                <w:sz w:val="20"/>
                <w:szCs w:val="20"/>
              </w:rPr>
              <w:t>2</w:t>
            </w:r>
          </w:p>
        </w:tc>
        <w:tc>
          <w:tcPr>
            <w:tcW w:w="1026" w:type="dxa"/>
            <w:tcBorders>
              <w:left w:val="nil"/>
            </w:tcBorders>
            <w:vAlign w:val="center"/>
          </w:tcPr>
          <w:p w14:paraId="0119D5B1" w14:textId="77777777" w:rsidR="005B2959" w:rsidRPr="004D52B7" w:rsidRDefault="005B2959" w:rsidP="00CE4B72">
            <w:pPr>
              <w:jc w:val="center"/>
              <w:rPr>
                <w:sz w:val="20"/>
                <w:szCs w:val="20"/>
              </w:rPr>
            </w:pPr>
            <w:r w:rsidRPr="004D52B7">
              <w:rPr>
                <w:sz w:val="20"/>
                <w:szCs w:val="20"/>
              </w:rPr>
              <w:t>6</w:t>
            </w:r>
          </w:p>
        </w:tc>
        <w:tc>
          <w:tcPr>
            <w:tcW w:w="1296" w:type="dxa"/>
            <w:tcBorders>
              <w:right w:val="nil"/>
            </w:tcBorders>
            <w:noWrap/>
            <w:vAlign w:val="center"/>
            <w:hideMark/>
          </w:tcPr>
          <w:p w14:paraId="572795C1" w14:textId="77777777" w:rsidR="005B2959" w:rsidRPr="004D52B7" w:rsidRDefault="005B2959" w:rsidP="00CE4B72">
            <w:pPr>
              <w:jc w:val="center"/>
              <w:rPr>
                <w:sz w:val="20"/>
                <w:szCs w:val="20"/>
              </w:rPr>
            </w:pPr>
            <w:r w:rsidRPr="004D52B7">
              <w:rPr>
                <w:sz w:val="20"/>
                <w:szCs w:val="20"/>
              </w:rPr>
              <w:t>5.4</w:t>
            </w:r>
          </w:p>
        </w:tc>
        <w:tc>
          <w:tcPr>
            <w:tcW w:w="1296" w:type="dxa"/>
            <w:tcBorders>
              <w:left w:val="nil"/>
            </w:tcBorders>
            <w:vAlign w:val="center"/>
          </w:tcPr>
          <w:p w14:paraId="24A8FEA2" w14:textId="77777777" w:rsidR="005B2959" w:rsidRPr="004D52B7" w:rsidRDefault="005B2959" w:rsidP="00CE4B72">
            <w:pPr>
              <w:jc w:val="center"/>
              <w:rPr>
                <w:sz w:val="20"/>
                <w:szCs w:val="20"/>
              </w:rPr>
            </w:pPr>
            <w:r w:rsidRPr="004D52B7">
              <w:rPr>
                <w:sz w:val="20"/>
                <w:szCs w:val="20"/>
              </w:rPr>
              <w:t>13</w:t>
            </w:r>
          </w:p>
        </w:tc>
        <w:tc>
          <w:tcPr>
            <w:tcW w:w="1296" w:type="dxa"/>
            <w:tcBorders>
              <w:right w:val="nil"/>
            </w:tcBorders>
            <w:noWrap/>
            <w:vAlign w:val="center"/>
            <w:hideMark/>
          </w:tcPr>
          <w:p w14:paraId="023D52EA" w14:textId="77777777" w:rsidR="005B2959" w:rsidRPr="004D52B7" w:rsidRDefault="005B2959" w:rsidP="00CE4B72">
            <w:pPr>
              <w:jc w:val="center"/>
              <w:rPr>
                <w:sz w:val="20"/>
                <w:szCs w:val="20"/>
              </w:rPr>
            </w:pPr>
            <w:r w:rsidRPr="004D52B7">
              <w:rPr>
                <w:sz w:val="20"/>
                <w:szCs w:val="20"/>
              </w:rPr>
              <w:t>7.1</w:t>
            </w:r>
          </w:p>
        </w:tc>
        <w:tc>
          <w:tcPr>
            <w:tcW w:w="1296" w:type="dxa"/>
            <w:tcBorders>
              <w:left w:val="nil"/>
            </w:tcBorders>
            <w:noWrap/>
            <w:vAlign w:val="center"/>
            <w:hideMark/>
          </w:tcPr>
          <w:p w14:paraId="05A2881E" w14:textId="77777777" w:rsidR="005B2959" w:rsidRPr="004D52B7" w:rsidRDefault="005B2959" w:rsidP="00CE4B72">
            <w:pPr>
              <w:jc w:val="center"/>
              <w:rPr>
                <w:sz w:val="20"/>
                <w:szCs w:val="20"/>
              </w:rPr>
            </w:pPr>
            <w:r w:rsidRPr="004D52B7">
              <w:rPr>
                <w:sz w:val="20"/>
                <w:szCs w:val="20"/>
              </w:rPr>
              <w:t>26</w:t>
            </w:r>
          </w:p>
        </w:tc>
      </w:tr>
      <w:tr w:rsidR="005B2959" w:rsidRPr="000B0493" w14:paraId="3FB34488" w14:textId="77777777" w:rsidTr="00CE4B72">
        <w:trPr>
          <w:trHeight w:val="259"/>
        </w:trPr>
        <w:tc>
          <w:tcPr>
            <w:tcW w:w="2250" w:type="dxa"/>
            <w:gridSpan w:val="2"/>
            <w:noWrap/>
            <w:vAlign w:val="center"/>
            <w:hideMark/>
          </w:tcPr>
          <w:p w14:paraId="62CAE685" w14:textId="77777777" w:rsidR="005B2959" w:rsidRPr="004D52B7" w:rsidRDefault="005B2959" w:rsidP="00CE4B72">
            <w:pPr>
              <w:rPr>
                <w:sz w:val="20"/>
                <w:szCs w:val="20"/>
              </w:rPr>
            </w:pPr>
            <w:r w:rsidRPr="004D52B7">
              <w:rPr>
                <w:sz w:val="20"/>
                <w:szCs w:val="20"/>
              </w:rPr>
              <w:t>Mali</w:t>
            </w:r>
          </w:p>
        </w:tc>
        <w:tc>
          <w:tcPr>
            <w:tcW w:w="1368" w:type="dxa"/>
            <w:tcBorders>
              <w:right w:val="nil"/>
            </w:tcBorders>
            <w:noWrap/>
            <w:vAlign w:val="center"/>
            <w:hideMark/>
          </w:tcPr>
          <w:p w14:paraId="1CFA5F13"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4C1E1ED0"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3A90F345" w14:textId="77777777" w:rsidR="005B2959" w:rsidRPr="004D52B7" w:rsidRDefault="005B2959" w:rsidP="00CE4B72">
            <w:pPr>
              <w:jc w:val="center"/>
              <w:rPr>
                <w:sz w:val="20"/>
                <w:szCs w:val="20"/>
              </w:rPr>
            </w:pPr>
            <w:r w:rsidRPr="004D52B7">
              <w:rPr>
                <w:sz w:val="20"/>
                <w:szCs w:val="20"/>
              </w:rPr>
              <w:t>4.2</w:t>
            </w:r>
          </w:p>
        </w:tc>
        <w:tc>
          <w:tcPr>
            <w:tcW w:w="1296" w:type="dxa"/>
            <w:tcBorders>
              <w:left w:val="nil"/>
            </w:tcBorders>
            <w:vAlign w:val="center"/>
          </w:tcPr>
          <w:p w14:paraId="65D17282" w14:textId="77777777" w:rsidR="005B2959" w:rsidRPr="004D52B7" w:rsidRDefault="005B2959" w:rsidP="00CE4B72">
            <w:pPr>
              <w:jc w:val="center"/>
              <w:rPr>
                <w:sz w:val="20"/>
                <w:szCs w:val="20"/>
              </w:rPr>
            </w:pPr>
            <w:r w:rsidRPr="004D52B7">
              <w:rPr>
                <w:sz w:val="20"/>
                <w:szCs w:val="20"/>
              </w:rPr>
              <w:t>4</w:t>
            </w:r>
          </w:p>
        </w:tc>
        <w:tc>
          <w:tcPr>
            <w:tcW w:w="1296" w:type="dxa"/>
            <w:tcBorders>
              <w:right w:val="nil"/>
            </w:tcBorders>
            <w:noWrap/>
            <w:vAlign w:val="center"/>
            <w:hideMark/>
          </w:tcPr>
          <w:p w14:paraId="2F22DA44" w14:textId="77777777" w:rsidR="005B2959" w:rsidRPr="004D52B7" w:rsidRDefault="005B2959" w:rsidP="00CE4B72">
            <w:pPr>
              <w:jc w:val="center"/>
              <w:rPr>
                <w:sz w:val="20"/>
                <w:szCs w:val="20"/>
              </w:rPr>
            </w:pPr>
            <w:r w:rsidRPr="004D52B7">
              <w:rPr>
                <w:sz w:val="20"/>
                <w:szCs w:val="20"/>
              </w:rPr>
              <w:t>4.5</w:t>
            </w:r>
          </w:p>
        </w:tc>
        <w:tc>
          <w:tcPr>
            <w:tcW w:w="1296" w:type="dxa"/>
            <w:tcBorders>
              <w:left w:val="nil"/>
            </w:tcBorders>
            <w:noWrap/>
            <w:vAlign w:val="center"/>
            <w:hideMark/>
          </w:tcPr>
          <w:p w14:paraId="671C31E6" w14:textId="77777777" w:rsidR="005B2959" w:rsidRPr="004D52B7" w:rsidRDefault="005B2959" w:rsidP="00CE4B72">
            <w:pPr>
              <w:jc w:val="center"/>
              <w:rPr>
                <w:sz w:val="20"/>
                <w:szCs w:val="20"/>
              </w:rPr>
            </w:pPr>
            <w:r w:rsidRPr="004D52B7">
              <w:rPr>
                <w:sz w:val="20"/>
                <w:szCs w:val="20"/>
              </w:rPr>
              <w:t>2</w:t>
            </w:r>
          </w:p>
        </w:tc>
      </w:tr>
      <w:tr w:rsidR="005B2959" w:rsidRPr="000B0493" w14:paraId="62C8D868" w14:textId="77777777" w:rsidTr="00CE4B72">
        <w:trPr>
          <w:trHeight w:val="259"/>
        </w:trPr>
        <w:tc>
          <w:tcPr>
            <w:tcW w:w="2250" w:type="dxa"/>
            <w:gridSpan w:val="2"/>
            <w:noWrap/>
            <w:vAlign w:val="center"/>
            <w:hideMark/>
          </w:tcPr>
          <w:p w14:paraId="5B58F889" w14:textId="77777777" w:rsidR="005B2959" w:rsidRPr="004D52B7" w:rsidRDefault="005B2959" w:rsidP="00CE4B72">
            <w:pPr>
              <w:rPr>
                <w:sz w:val="20"/>
                <w:szCs w:val="20"/>
              </w:rPr>
            </w:pPr>
            <w:r w:rsidRPr="004D52B7">
              <w:rPr>
                <w:sz w:val="20"/>
                <w:szCs w:val="20"/>
              </w:rPr>
              <w:t>Burkina Faso</w:t>
            </w:r>
          </w:p>
        </w:tc>
        <w:tc>
          <w:tcPr>
            <w:tcW w:w="1368" w:type="dxa"/>
            <w:tcBorders>
              <w:right w:val="nil"/>
            </w:tcBorders>
            <w:noWrap/>
            <w:vAlign w:val="center"/>
            <w:hideMark/>
          </w:tcPr>
          <w:p w14:paraId="7F438585"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5C6632C8"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57B6F90C" w14:textId="77777777" w:rsidR="005B2959" w:rsidRPr="004D52B7" w:rsidRDefault="005B2959" w:rsidP="00CE4B72">
            <w:pPr>
              <w:jc w:val="center"/>
              <w:rPr>
                <w:sz w:val="20"/>
                <w:szCs w:val="20"/>
              </w:rPr>
            </w:pPr>
            <w:r w:rsidRPr="004D52B7">
              <w:rPr>
                <w:sz w:val="20"/>
                <w:szCs w:val="20"/>
              </w:rPr>
              <w:t>4.2</w:t>
            </w:r>
          </w:p>
        </w:tc>
        <w:tc>
          <w:tcPr>
            <w:tcW w:w="1296" w:type="dxa"/>
            <w:tcBorders>
              <w:left w:val="nil"/>
            </w:tcBorders>
            <w:vAlign w:val="center"/>
          </w:tcPr>
          <w:p w14:paraId="217D2BC2" w14:textId="77777777" w:rsidR="005B2959" w:rsidRPr="004D52B7" w:rsidRDefault="005B2959" w:rsidP="00CE4B72">
            <w:pPr>
              <w:jc w:val="center"/>
              <w:rPr>
                <w:sz w:val="20"/>
                <w:szCs w:val="20"/>
              </w:rPr>
            </w:pPr>
            <w:r w:rsidRPr="004D52B7">
              <w:rPr>
                <w:sz w:val="20"/>
                <w:szCs w:val="20"/>
              </w:rPr>
              <w:t>5</w:t>
            </w:r>
          </w:p>
        </w:tc>
        <w:tc>
          <w:tcPr>
            <w:tcW w:w="1296" w:type="dxa"/>
            <w:tcBorders>
              <w:right w:val="nil"/>
            </w:tcBorders>
            <w:noWrap/>
            <w:vAlign w:val="center"/>
            <w:hideMark/>
          </w:tcPr>
          <w:p w14:paraId="5A04889E" w14:textId="77777777" w:rsidR="005B2959" w:rsidRPr="004D52B7" w:rsidRDefault="005B2959" w:rsidP="00CE4B72">
            <w:pPr>
              <w:jc w:val="center"/>
              <w:rPr>
                <w:sz w:val="20"/>
                <w:szCs w:val="20"/>
              </w:rPr>
            </w:pPr>
            <w:r w:rsidRPr="004D52B7">
              <w:rPr>
                <w:sz w:val="20"/>
                <w:szCs w:val="20"/>
              </w:rPr>
              <w:t>4.8</w:t>
            </w:r>
          </w:p>
        </w:tc>
        <w:tc>
          <w:tcPr>
            <w:tcW w:w="1296" w:type="dxa"/>
            <w:tcBorders>
              <w:left w:val="nil"/>
            </w:tcBorders>
            <w:noWrap/>
            <w:vAlign w:val="center"/>
            <w:hideMark/>
          </w:tcPr>
          <w:p w14:paraId="7AF9F8C0" w14:textId="77777777" w:rsidR="005B2959" w:rsidRPr="004D52B7" w:rsidRDefault="005B2959" w:rsidP="00CE4B72">
            <w:pPr>
              <w:jc w:val="center"/>
              <w:rPr>
                <w:sz w:val="20"/>
                <w:szCs w:val="20"/>
              </w:rPr>
            </w:pPr>
            <w:r w:rsidRPr="004D52B7">
              <w:rPr>
                <w:sz w:val="20"/>
                <w:szCs w:val="20"/>
              </w:rPr>
              <w:t>5</w:t>
            </w:r>
          </w:p>
        </w:tc>
      </w:tr>
      <w:tr w:rsidR="005B2959" w:rsidRPr="000B0493" w14:paraId="7FAD7AD5" w14:textId="77777777" w:rsidTr="00CE4B72">
        <w:trPr>
          <w:trHeight w:val="259"/>
        </w:trPr>
        <w:tc>
          <w:tcPr>
            <w:tcW w:w="2250" w:type="dxa"/>
            <w:gridSpan w:val="2"/>
            <w:noWrap/>
            <w:vAlign w:val="center"/>
            <w:hideMark/>
          </w:tcPr>
          <w:p w14:paraId="4E22F4F5" w14:textId="77777777" w:rsidR="005B2959" w:rsidRPr="004D52B7" w:rsidRDefault="005B2959" w:rsidP="00CE4B72">
            <w:pPr>
              <w:rPr>
                <w:sz w:val="20"/>
                <w:szCs w:val="20"/>
              </w:rPr>
            </w:pPr>
            <w:r w:rsidRPr="004D52B7">
              <w:rPr>
                <w:sz w:val="20"/>
                <w:szCs w:val="20"/>
              </w:rPr>
              <w:t>Zambia</w:t>
            </w:r>
          </w:p>
        </w:tc>
        <w:tc>
          <w:tcPr>
            <w:tcW w:w="1368" w:type="dxa"/>
            <w:tcBorders>
              <w:right w:val="nil"/>
            </w:tcBorders>
            <w:noWrap/>
            <w:vAlign w:val="center"/>
            <w:hideMark/>
          </w:tcPr>
          <w:p w14:paraId="2E1C396A"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0BD36C41"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48ECBDCC" w14:textId="77777777" w:rsidR="005B2959" w:rsidRPr="004D52B7" w:rsidRDefault="005B2959" w:rsidP="00CE4B72">
            <w:pPr>
              <w:jc w:val="center"/>
              <w:rPr>
                <w:sz w:val="20"/>
                <w:szCs w:val="20"/>
              </w:rPr>
            </w:pPr>
            <w:r w:rsidRPr="004D52B7">
              <w:rPr>
                <w:sz w:val="20"/>
                <w:szCs w:val="20"/>
              </w:rPr>
              <w:t>4.8</w:t>
            </w:r>
          </w:p>
        </w:tc>
        <w:tc>
          <w:tcPr>
            <w:tcW w:w="1296" w:type="dxa"/>
            <w:tcBorders>
              <w:left w:val="nil"/>
            </w:tcBorders>
            <w:vAlign w:val="center"/>
          </w:tcPr>
          <w:p w14:paraId="3D3A2030" w14:textId="77777777" w:rsidR="005B2959" w:rsidRPr="004D52B7" w:rsidRDefault="005B2959" w:rsidP="00CE4B72">
            <w:pPr>
              <w:jc w:val="center"/>
              <w:rPr>
                <w:sz w:val="20"/>
                <w:szCs w:val="20"/>
              </w:rPr>
            </w:pPr>
            <w:r w:rsidRPr="004D52B7">
              <w:rPr>
                <w:sz w:val="20"/>
                <w:szCs w:val="20"/>
              </w:rPr>
              <w:t>9</w:t>
            </w:r>
          </w:p>
        </w:tc>
        <w:tc>
          <w:tcPr>
            <w:tcW w:w="1296" w:type="dxa"/>
            <w:tcBorders>
              <w:right w:val="nil"/>
            </w:tcBorders>
            <w:noWrap/>
            <w:vAlign w:val="center"/>
            <w:hideMark/>
          </w:tcPr>
          <w:p w14:paraId="79F1AC8C" w14:textId="77777777" w:rsidR="005B2959" w:rsidRPr="004D52B7" w:rsidRDefault="005B2959" w:rsidP="00CE4B72">
            <w:pPr>
              <w:jc w:val="center"/>
              <w:rPr>
                <w:sz w:val="20"/>
                <w:szCs w:val="20"/>
              </w:rPr>
            </w:pPr>
            <w:r w:rsidRPr="004D52B7">
              <w:rPr>
                <w:sz w:val="20"/>
                <w:szCs w:val="20"/>
              </w:rPr>
              <w:t>5.4</w:t>
            </w:r>
          </w:p>
        </w:tc>
        <w:tc>
          <w:tcPr>
            <w:tcW w:w="1296" w:type="dxa"/>
            <w:tcBorders>
              <w:left w:val="nil"/>
            </w:tcBorders>
            <w:noWrap/>
            <w:vAlign w:val="center"/>
            <w:hideMark/>
          </w:tcPr>
          <w:p w14:paraId="47757244" w14:textId="77777777" w:rsidR="005B2959" w:rsidRPr="004D52B7" w:rsidRDefault="005B2959" w:rsidP="00CE4B72">
            <w:pPr>
              <w:jc w:val="center"/>
              <w:rPr>
                <w:sz w:val="20"/>
                <w:szCs w:val="20"/>
              </w:rPr>
            </w:pPr>
            <w:r w:rsidRPr="004D52B7">
              <w:rPr>
                <w:sz w:val="20"/>
                <w:szCs w:val="20"/>
              </w:rPr>
              <w:t>10</w:t>
            </w:r>
          </w:p>
        </w:tc>
      </w:tr>
      <w:tr w:rsidR="005B2959" w:rsidRPr="000B0493" w14:paraId="72FC3E1B" w14:textId="77777777" w:rsidTr="00CE4B72">
        <w:trPr>
          <w:trHeight w:val="259"/>
        </w:trPr>
        <w:tc>
          <w:tcPr>
            <w:tcW w:w="2250" w:type="dxa"/>
            <w:gridSpan w:val="2"/>
            <w:noWrap/>
            <w:vAlign w:val="center"/>
            <w:hideMark/>
          </w:tcPr>
          <w:p w14:paraId="3D4E3F4E" w14:textId="77777777" w:rsidR="005B2959" w:rsidRPr="004D52B7" w:rsidRDefault="005B2959" w:rsidP="00CE4B72">
            <w:pPr>
              <w:rPr>
                <w:sz w:val="20"/>
                <w:szCs w:val="20"/>
              </w:rPr>
            </w:pPr>
            <w:r w:rsidRPr="004D52B7">
              <w:rPr>
                <w:sz w:val="20"/>
                <w:szCs w:val="20"/>
              </w:rPr>
              <w:t>Guinea</w:t>
            </w:r>
          </w:p>
        </w:tc>
        <w:tc>
          <w:tcPr>
            <w:tcW w:w="1368" w:type="dxa"/>
            <w:tcBorders>
              <w:right w:val="nil"/>
            </w:tcBorders>
            <w:noWrap/>
            <w:vAlign w:val="center"/>
            <w:hideMark/>
          </w:tcPr>
          <w:p w14:paraId="7DDF6BF9"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7F3E2B16"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0F07E01C" w14:textId="77777777" w:rsidR="005B2959" w:rsidRPr="004D52B7" w:rsidRDefault="005B2959" w:rsidP="00CE4B72">
            <w:pPr>
              <w:jc w:val="center"/>
              <w:rPr>
                <w:sz w:val="20"/>
                <w:szCs w:val="20"/>
              </w:rPr>
            </w:pPr>
            <w:r w:rsidRPr="004D52B7">
              <w:rPr>
                <w:sz w:val="20"/>
                <w:szCs w:val="20"/>
              </w:rPr>
              <w:t>5.4</w:t>
            </w:r>
          </w:p>
        </w:tc>
        <w:tc>
          <w:tcPr>
            <w:tcW w:w="1296" w:type="dxa"/>
            <w:tcBorders>
              <w:left w:val="nil"/>
            </w:tcBorders>
            <w:vAlign w:val="center"/>
          </w:tcPr>
          <w:p w14:paraId="3C2D420D" w14:textId="77777777" w:rsidR="005B2959" w:rsidRPr="004D52B7" w:rsidRDefault="005B2959" w:rsidP="00CE4B72">
            <w:pPr>
              <w:jc w:val="center"/>
              <w:rPr>
                <w:sz w:val="20"/>
                <w:szCs w:val="20"/>
              </w:rPr>
            </w:pPr>
            <w:r w:rsidRPr="004D52B7">
              <w:rPr>
                <w:sz w:val="20"/>
                <w:szCs w:val="20"/>
              </w:rPr>
              <w:t>15</w:t>
            </w:r>
          </w:p>
        </w:tc>
        <w:tc>
          <w:tcPr>
            <w:tcW w:w="1296" w:type="dxa"/>
            <w:tcBorders>
              <w:right w:val="nil"/>
            </w:tcBorders>
            <w:noWrap/>
            <w:vAlign w:val="center"/>
            <w:hideMark/>
          </w:tcPr>
          <w:p w14:paraId="2F4BC92F" w14:textId="77777777" w:rsidR="005B2959" w:rsidRPr="004D52B7" w:rsidRDefault="005B2959" w:rsidP="00CE4B72">
            <w:pPr>
              <w:jc w:val="center"/>
              <w:rPr>
                <w:sz w:val="20"/>
                <w:szCs w:val="20"/>
              </w:rPr>
            </w:pPr>
            <w:r w:rsidRPr="004D52B7">
              <w:rPr>
                <w:sz w:val="20"/>
                <w:szCs w:val="20"/>
              </w:rPr>
              <w:t>5.8</w:t>
            </w:r>
          </w:p>
        </w:tc>
        <w:tc>
          <w:tcPr>
            <w:tcW w:w="1296" w:type="dxa"/>
            <w:tcBorders>
              <w:left w:val="nil"/>
            </w:tcBorders>
            <w:noWrap/>
            <w:vAlign w:val="center"/>
            <w:hideMark/>
          </w:tcPr>
          <w:p w14:paraId="0971EF76" w14:textId="77777777" w:rsidR="005B2959" w:rsidRPr="004D52B7" w:rsidRDefault="005B2959" w:rsidP="00CE4B72">
            <w:pPr>
              <w:jc w:val="center"/>
              <w:rPr>
                <w:sz w:val="20"/>
                <w:szCs w:val="20"/>
              </w:rPr>
            </w:pPr>
            <w:r w:rsidRPr="004D52B7">
              <w:rPr>
                <w:sz w:val="20"/>
                <w:szCs w:val="20"/>
              </w:rPr>
              <w:t>12</w:t>
            </w:r>
          </w:p>
        </w:tc>
      </w:tr>
      <w:tr w:rsidR="005B2959" w:rsidRPr="000B0493" w14:paraId="5CCC576B" w14:textId="77777777" w:rsidTr="00CE4B72">
        <w:trPr>
          <w:trHeight w:val="259"/>
        </w:trPr>
        <w:tc>
          <w:tcPr>
            <w:tcW w:w="2250" w:type="dxa"/>
            <w:gridSpan w:val="2"/>
            <w:noWrap/>
            <w:vAlign w:val="center"/>
            <w:hideMark/>
          </w:tcPr>
          <w:p w14:paraId="51E79382" w14:textId="77777777" w:rsidR="005B2959" w:rsidRPr="004D52B7" w:rsidRDefault="005B2959" w:rsidP="00CE4B72">
            <w:pPr>
              <w:rPr>
                <w:sz w:val="20"/>
                <w:szCs w:val="20"/>
              </w:rPr>
            </w:pPr>
            <w:r w:rsidRPr="004D52B7">
              <w:rPr>
                <w:sz w:val="20"/>
                <w:szCs w:val="20"/>
              </w:rPr>
              <w:t>Cote d'Ivoire</w:t>
            </w:r>
          </w:p>
        </w:tc>
        <w:tc>
          <w:tcPr>
            <w:tcW w:w="1368" w:type="dxa"/>
            <w:tcBorders>
              <w:right w:val="nil"/>
            </w:tcBorders>
            <w:noWrap/>
            <w:vAlign w:val="center"/>
            <w:hideMark/>
          </w:tcPr>
          <w:p w14:paraId="3C12CC40"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38328DEA"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067B1B9C" w14:textId="77777777" w:rsidR="005B2959" w:rsidRPr="004D52B7" w:rsidRDefault="005B2959" w:rsidP="00CE4B72">
            <w:pPr>
              <w:jc w:val="center"/>
              <w:rPr>
                <w:sz w:val="20"/>
                <w:szCs w:val="20"/>
              </w:rPr>
            </w:pPr>
            <w:r w:rsidRPr="004D52B7">
              <w:rPr>
                <w:sz w:val="20"/>
                <w:szCs w:val="20"/>
              </w:rPr>
              <w:t>5.4</w:t>
            </w:r>
          </w:p>
        </w:tc>
        <w:tc>
          <w:tcPr>
            <w:tcW w:w="1296" w:type="dxa"/>
            <w:tcBorders>
              <w:left w:val="nil"/>
            </w:tcBorders>
            <w:vAlign w:val="center"/>
          </w:tcPr>
          <w:p w14:paraId="3BDEDBBB"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6FA06747" w14:textId="77777777" w:rsidR="005B2959" w:rsidRPr="004D52B7" w:rsidRDefault="005B2959" w:rsidP="00CE4B72">
            <w:pPr>
              <w:jc w:val="center"/>
              <w:rPr>
                <w:sz w:val="20"/>
                <w:szCs w:val="20"/>
              </w:rPr>
            </w:pPr>
            <w:r w:rsidRPr="004D52B7">
              <w:rPr>
                <w:sz w:val="20"/>
                <w:szCs w:val="20"/>
              </w:rPr>
              <w:t>5.9</w:t>
            </w:r>
          </w:p>
        </w:tc>
        <w:tc>
          <w:tcPr>
            <w:tcW w:w="1296" w:type="dxa"/>
            <w:tcBorders>
              <w:left w:val="nil"/>
            </w:tcBorders>
            <w:noWrap/>
            <w:vAlign w:val="center"/>
            <w:hideMark/>
          </w:tcPr>
          <w:p w14:paraId="77A70088" w14:textId="77777777" w:rsidR="005B2959" w:rsidRPr="004D52B7" w:rsidRDefault="005B2959" w:rsidP="00CE4B72">
            <w:pPr>
              <w:jc w:val="center"/>
              <w:rPr>
                <w:sz w:val="20"/>
                <w:szCs w:val="20"/>
              </w:rPr>
            </w:pPr>
            <w:r w:rsidRPr="004D52B7">
              <w:rPr>
                <w:sz w:val="20"/>
                <w:szCs w:val="20"/>
              </w:rPr>
              <w:t>13</w:t>
            </w:r>
          </w:p>
        </w:tc>
      </w:tr>
      <w:tr w:rsidR="005B2959" w:rsidRPr="000B0493" w14:paraId="69E15FF3" w14:textId="77777777" w:rsidTr="00CE4B72">
        <w:trPr>
          <w:trHeight w:val="259"/>
        </w:trPr>
        <w:tc>
          <w:tcPr>
            <w:tcW w:w="2250" w:type="dxa"/>
            <w:gridSpan w:val="2"/>
            <w:noWrap/>
            <w:vAlign w:val="center"/>
            <w:hideMark/>
          </w:tcPr>
          <w:p w14:paraId="26428102" w14:textId="77777777" w:rsidR="005B2959" w:rsidRPr="004D52B7" w:rsidRDefault="005B2959" w:rsidP="00CE4B72">
            <w:pPr>
              <w:rPr>
                <w:sz w:val="20"/>
                <w:szCs w:val="20"/>
              </w:rPr>
            </w:pPr>
            <w:r w:rsidRPr="004D52B7">
              <w:rPr>
                <w:sz w:val="20"/>
                <w:szCs w:val="20"/>
              </w:rPr>
              <w:t>Togo</w:t>
            </w:r>
          </w:p>
        </w:tc>
        <w:tc>
          <w:tcPr>
            <w:tcW w:w="1368" w:type="dxa"/>
            <w:tcBorders>
              <w:right w:val="nil"/>
            </w:tcBorders>
            <w:noWrap/>
            <w:vAlign w:val="center"/>
            <w:hideMark/>
          </w:tcPr>
          <w:p w14:paraId="605BFB19"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43BCD1F6"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3DCFA914" w14:textId="77777777" w:rsidR="005B2959" w:rsidRPr="004D52B7" w:rsidRDefault="005B2959" w:rsidP="00CE4B72">
            <w:pPr>
              <w:jc w:val="center"/>
              <w:rPr>
                <w:sz w:val="20"/>
                <w:szCs w:val="20"/>
              </w:rPr>
            </w:pPr>
            <w:r w:rsidRPr="004D52B7">
              <w:rPr>
                <w:sz w:val="20"/>
                <w:szCs w:val="20"/>
              </w:rPr>
              <w:t>5.9</w:t>
            </w:r>
          </w:p>
        </w:tc>
        <w:tc>
          <w:tcPr>
            <w:tcW w:w="1296" w:type="dxa"/>
            <w:tcBorders>
              <w:left w:val="nil"/>
            </w:tcBorders>
            <w:vAlign w:val="center"/>
          </w:tcPr>
          <w:p w14:paraId="62962E85" w14:textId="77777777" w:rsidR="005B2959" w:rsidRPr="004D52B7" w:rsidRDefault="005B2959" w:rsidP="00CE4B72">
            <w:pPr>
              <w:jc w:val="center"/>
              <w:rPr>
                <w:sz w:val="20"/>
                <w:szCs w:val="20"/>
              </w:rPr>
            </w:pPr>
            <w:r w:rsidRPr="004D52B7">
              <w:rPr>
                <w:sz w:val="20"/>
                <w:szCs w:val="20"/>
              </w:rPr>
              <w:t>18</w:t>
            </w:r>
          </w:p>
        </w:tc>
        <w:tc>
          <w:tcPr>
            <w:tcW w:w="1296" w:type="dxa"/>
            <w:tcBorders>
              <w:right w:val="nil"/>
            </w:tcBorders>
            <w:noWrap/>
            <w:vAlign w:val="center"/>
            <w:hideMark/>
          </w:tcPr>
          <w:p w14:paraId="36837E62" w14:textId="77777777" w:rsidR="005B2959" w:rsidRPr="004D52B7" w:rsidRDefault="005B2959" w:rsidP="00CE4B72">
            <w:pPr>
              <w:jc w:val="center"/>
              <w:rPr>
                <w:sz w:val="20"/>
                <w:szCs w:val="20"/>
              </w:rPr>
            </w:pPr>
            <w:r w:rsidRPr="004D52B7">
              <w:rPr>
                <w:sz w:val="20"/>
                <w:szCs w:val="20"/>
              </w:rPr>
              <w:t>6.4</w:t>
            </w:r>
          </w:p>
        </w:tc>
        <w:tc>
          <w:tcPr>
            <w:tcW w:w="1296" w:type="dxa"/>
            <w:tcBorders>
              <w:left w:val="nil"/>
            </w:tcBorders>
            <w:noWrap/>
            <w:vAlign w:val="center"/>
            <w:hideMark/>
          </w:tcPr>
          <w:p w14:paraId="6D9435D0" w14:textId="77777777" w:rsidR="005B2959" w:rsidRPr="004D52B7" w:rsidRDefault="005B2959" w:rsidP="00CE4B72">
            <w:pPr>
              <w:jc w:val="center"/>
              <w:rPr>
                <w:sz w:val="20"/>
                <w:szCs w:val="20"/>
              </w:rPr>
            </w:pPr>
            <w:r w:rsidRPr="004D52B7">
              <w:rPr>
                <w:sz w:val="20"/>
                <w:szCs w:val="20"/>
              </w:rPr>
              <w:t>18</w:t>
            </w:r>
          </w:p>
        </w:tc>
      </w:tr>
      <w:tr w:rsidR="005B2959" w:rsidRPr="000B0493" w14:paraId="7EAC0C42" w14:textId="77777777" w:rsidTr="00CE4B72">
        <w:trPr>
          <w:trHeight w:val="259"/>
        </w:trPr>
        <w:tc>
          <w:tcPr>
            <w:tcW w:w="2250" w:type="dxa"/>
            <w:gridSpan w:val="2"/>
            <w:noWrap/>
            <w:vAlign w:val="center"/>
            <w:hideMark/>
          </w:tcPr>
          <w:p w14:paraId="062AE2FE" w14:textId="77777777" w:rsidR="005B2959" w:rsidRPr="004D52B7" w:rsidRDefault="005B2959" w:rsidP="00CE4B72">
            <w:pPr>
              <w:rPr>
                <w:sz w:val="20"/>
                <w:szCs w:val="20"/>
              </w:rPr>
            </w:pPr>
            <w:r w:rsidRPr="004D52B7">
              <w:rPr>
                <w:sz w:val="20"/>
                <w:szCs w:val="20"/>
              </w:rPr>
              <w:t>Mauritius</w:t>
            </w:r>
          </w:p>
        </w:tc>
        <w:tc>
          <w:tcPr>
            <w:tcW w:w="1368" w:type="dxa"/>
            <w:tcBorders>
              <w:right w:val="nil"/>
            </w:tcBorders>
            <w:noWrap/>
            <w:vAlign w:val="center"/>
            <w:hideMark/>
          </w:tcPr>
          <w:p w14:paraId="3652EB76" w14:textId="77777777" w:rsidR="005B2959" w:rsidRPr="004D52B7" w:rsidRDefault="005B2959" w:rsidP="00CE4B72">
            <w:pPr>
              <w:jc w:val="center"/>
              <w:rPr>
                <w:sz w:val="20"/>
                <w:szCs w:val="20"/>
              </w:rPr>
            </w:pPr>
            <w:r w:rsidRPr="004D52B7">
              <w:rPr>
                <w:sz w:val="20"/>
                <w:szCs w:val="20"/>
              </w:rPr>
              <w:t>3</w:t>
            </w:r>
          </w:p>
        </w:tc>
        <w:tc>
          <w:tcPr>
            <w:tcW w:w="1026" w:type="dxa"/>
            <w:tcBorders>
              <w:left w:val="nil"/>
            </w:tcBorders>
            <w:vAlign w:val="center"/>
          </w:tcPr>
          <w:p w14:paraId="261FE8C2"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31311A9E" w14:textId="77777777" w:rsidR="005B2959" w:rsidRPr="004D52B7" w:rsidRDefault="005B2959" w:rsidP="00CE4B72">
            <w:pPr>
              <w:jc w:val="center"/>
              <w:rPr>
                <w:sz w:val="20"/>
                <w:szCs w:val="20"/>
              </w:rPr>
            </w:pPr>
            <w:r w:rsidRPr="004D52B7">
              <w:rPr>
                <w:sz w:val="20"/>
                <w:szCs w:val="20"/>
              </w:rPr>
              <w:t>8.9</w:t>
            </w:r>
          </w:p>
        </w:tc>
        <w:tc>
          <w:tcPr>
            <w:tcW w:w="1296" w:type="dxa"/>
            <w:tcBorders>
              <w:left w:val="nil"/>
            </w:tcBorders>
            <w:vAlign w:val="center"/>
          </w:tcPr>
          <w:p w14:paraId="43D6E575" w14:textId="77777777" w:rsidR="005B2959" w:rsidRPr="004D52B7" w:rsidRDefault="005B2959" w:rsidP="00CE4B72">
            <w:pPr>
              <w:jc w:val="center"/>
              <w:rPr>
                <w:sz w:val="20"/>
                <w:szCs w:val="20"/>
              </w:rPr>
            </w:pPr>
            <w:r w:rsidRPr="004D52B7">
              <w:rPr>
                <w:sz w:val="20"/>
                <w:szCs w:val="20"/>
              </w:rPr>
              <w:t>37</w:t>
            </w:r>
          </w:p>
        </w:tc>
        <w:tc>
          <w:tcPr>
            <w:tcW w:w="1296" w:type="dxa"/>
            <w:tcBorders>
              <w:right w:val="nil"/>
            </w:tcBorders>
            <w:noWrap/>
            <w:vAlign w:val="center"/>
            <w:hideMark/>
          </w:tcPr>
          <w:p w14:paraId="262D8CFA" w14:textId="77777777" w:rsidR="005B2959" w:rsidRPr="004D52B7" w:rsidRDefault="005B2959" w:rsidP="00CE4B72">
            <w:pPr>
              <w:jc w:val="center"/>
              <w:rPr>
                <w:sz w:val="20"/>
                <w:szCs w:val="20"/>
              </w:rPr>
            </w:pPr>
            <w:r w:rsidRPr="004D52B7">
              <w:rPr>
                <w:sz w:val="20"/>
                <w:szCs w:val="20"/>
              </w:rPr>
              <w:t>8.6</w:t>
            </w:r>
          </w:p>
        </w:tc>
        <w:tc>
          <w:tcPr>
            <w:tcW w:w="1296" w:type="dxa"/>
            <w:tcBorders>
              <w:left w:val="nil"/>
            </w:tcBorders>
            <w:noWrap/>
            <w:vAlign w:val="center"/>
            <w:hideMark/>
          </w:tcPr>
          <w:p w14:paraId="3C8613A2" w14:textId="77777777" w:rsidR="005B2959" w:rsidRPr="004D52B7" w:rsidRDefault="005B2959" w:rsidP="00CE4B72">
            <w:pPr>
              <w:jc w:val="center"/>
              <w:rPr>
                <w:sz w:val="20"/>
                <w:szCs w:val="20"/>
              </w:rPr>
            </w:pPr>
            <w:r w:rsidRPr="004D52B7">
              <w:rPr>
                <w:sz w:val="20"/>
                <w:szCs w:val="20"/>
              </w:rPr>
              <w:t>35</w:t>
            </w:r>
          </w:p>
        </w:tc>
      </w:tr>
      <w:tr w:rsidR="005B2959" w:rsidRPr="000B0493" w14:paraId="23797491" w14:textId="77777777" w:rsidTr="00CE4B72">
        <w:trPr>
          <w:trHeight w:val="259"/>
        </w:trPr>
        <w:tc>
          <w:tcPr>
            <w:tcW w:w="2250" w:type="dxa"/>
            <w:gridSpan w:val="2"/>
            <w:noWrap/>
            <w:vAlign w:val="center"/>
            <w:hideMark/>
          </w:tcPr>
          <w:p w14:paraId="295F3B16" w14:textId="77777777" w:rsidR="005B2959" w:rsidRPr="004D52B7" w:rsidRDefault="005B2959" w:rsidP="00CE4B72">
            <w:pPr>
              <w:rPr>
                <w:sz w:val="20"/>
                <w:szCs w:val="20"/>
              </w:rPr>
            </w:pPr>
            <w:r w:rsidRPr="004D52B7">
              <w:rPr>
                <w:sz w:val="20"/>
                <w:szCs w:val="20"/>
              </w:rPr>
              <w:t>Cameroon</w:t>
            </w:r>
          </w:p>
        </w:tc>
        <w:tc>
          <w:tcPr>
            <w:tcW w:w="1368" w:type="dxa"/>
            <w:tcBorders>
              <w:right w:val="nil"/>
            </w:tcBorders>
            <w:noWrap/>
            <w:vAlign w:val="center"/>
            <w:hideMark/>
          </w:tcPr>
          <w:p w14:paraId="456A7F40"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21A0A64C"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2B18889A" w14:textId="77777777" w:rsidR="005B2959" w:rsidRPr="004D52B7" w:rsidRDefault="005B2959" w:rsidP="00CE4B72">
            <w:pPr>
              <w:jc w:val="center"/>
              <w:rPr>
                <w:sz w:val="20"/>
                <w:szCs w:val="20"/>
              </w:rPr>
            </w:pPr>
            <w:r w:rsidRPr="004D52B7">
              <w:rPr>
                <w:sz w:val="20"/>
                <w:szCs w:val="20"/>
              </w:rPr>
              <w:t>4.0</w:t>
            </w:r>
          </w:p>
        </w:tc>
        <w:tc>
          <w:tcPr>
            <w:tcW w:w="1296" w:type="dxa"/>
            <w:tcBorders>
              <w:left w:val="nil"/>
            </w:tcBorders>
            <w:vAlign w:val="center"/>
          </w:tcPr>
          <w:p w14:paraId="673D515D" w14:textId="77777777" w:rsidR="005B2959" w:rsidRPr="004D52B7" w:rsidRDefault="005B2959" w:rsidP="00CE4B72">
            <w:pPr>
              <w:jc w:val="center"/>
              <w:rPr>
                <w:sz w:val="20"/>
                <w:szCs w:val="20"/>
              </w:rPr>
            </w:pPr>
            <w:r w:rsidRPr="004D52B7">
              <w:rPr>
                <w:sz w:val="20"/>
                <w:szCs w:val="20"/>
              </w:rPr>
              <w:t>2</w:t>
            </w:r>
          </w:p>
        </w:tc>
        <w:tc>
          <w:tcPr>
            <w:tcW w:w="1296" w:type="dxa"/>
            <w:tcBorders>
              <w:right w:val="nil"/>
            </w:tcBorders>
            <w:noWrap/>
            <w:vAlign w:val="center"/>
            <w:hideMark/>
          </w:tcPr>
          <w:p w14:paraId="36673953" w14:textId="77777777" w:rsidR="005B2959" w:rsidRPr="004D52B7" w:rsidRDefault="005B2959" w:rsidP="00CE4B72">
            <w:pPr>
              <w:jc w:val="center"/>
              <w:rPr>
                <w:sz w:val="20"/>
                <w:szCs w:val="20"/>
              </w:rPr>
            </w:pPr>
            <w:r w:rsidRPr="004D52B7">
              <w:rPr>
                <w:sz w:val="20"/>
                <w:szCs w:val="20"/>
              </w:rPr>
              <w:t>4.6</w:t>
            </w:r>
          </w:p>
        </w:tc>
        <w:tc>
          <w:tcPr>
            <w:tcW w:w="1296" w:type="dxa"/>
            <w:tcBorders>
              <w:left w:val="nil"/>
            </w:tcBorders>
            <w:noWrap/>
            <w:vAlign w:val="center"/>
            <w:hideMark/>
          </w:tcPr>
          <w:p w14:paraId="310EE524" w14:textId="77777777" w:rsidR="005B2959" w:rsidRPr="004D52B7" w:rsidRDefault="005B2959" w:rsidP="00CE4B72">
            <w:pPr>
              <w:jc w:val="center"/>
              <w:rPr>
                <w:sz w:val="20"/>
                <w:szCs w:val="20"/>
              </w:rPr>
            </w:pPr>
            <w:r w:rsidRPr="004D52B7">
              <w:rPr>
                <w:sz w:val="20"/>
                <w:szCs w:val="20"/>
              </w:rPr>
              <w:t>3</w:t>
            </w:r>
          </w:p>
        </w:tc>
      </w:tr>
      <w:tr w:rsidR="005B2959" w:rsidRPr="000B0493" w14:paraId="7B5766E2" w14:textId="77777777" w:rsidTr="00CE4B72">
        <w:trPr>
          <w:trHeight w:val="259"/>
        </w:trPr>
        <w:tc>
          <w:tcPr>
            <w:tcW w:w="2250" w:type="dxa"/>
            <w:gridSpan w:val="2"/>
            <w:noWrap/>
            <w:vAlign w:val="center"/>
            <w:hideMark/>
          </w:tcPr>
          <w:p w14:paraId="05799407" w14:textId="77777777" w:rsidR="005B2959" w:rsidRPr="004D52B7" w:rsidRDefault="005B2959" w:rsidP="00CE4B72">
            <w:pPr>
              <w:rPr>
                <w:sz w:val="20"/>
                <w:szCs w:val="20"/>
              </w:rPr>
            </w:pPr>
            <w:r w:rsidRPr="004D52B7">
              <w:rPr>
                <w:sz w:val="20"/>
                <w:szCs w:val="20"/>
              </w:rPr>
              <w:t>Rwanda</w:t>
            </w:r>
          </w:p>
        </w:tc>
        <w:tc>
          <w:tcPr>
            <w:tcW w:w="1368" w:type="dxa"/>
            <w:tcBorders>
              <w:right w:val="nil"/>
            </w:tcBorders>
            <w:noWrap/>
            <w:vAlign w:val="center"/>
            <w:hideMark/>
          </w:tcPr>
          <w:p w14:paraId="2430909C"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76286FC2"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0854636F" w14:textId="77777777" w:rsidR="005B2959" w:rsidRPr="004D52B7" w:rsidRDefault="005B2959" w:rsidP="00CE4B72">
            <w:pPr>
              <w:jc w:val="center"/>
              <w:rPr>
                <w:sz w:val="20"/>
                <w:szCs w:val="20"/>
              </w:rPr>
            </w:pPr>
            <w:r w:rsidRPr="004D52B7">
              <w:rPr>
                <w:sz w:val="20"/>
                <w:szCs w:val="20"/>
              </w:rPr>
              <w:t>4.1</w:t>
            </w:r>
          </w:p>
        </w:tc>
        <w:tc>
          <w:tcPr>
            <w:tcW w:w="1296" w:type="dxa"/>
            <w:tcBorders>
              <w:left w:val="nil"/>
            </w:tcBorders>
            <w:vAlign w:val="center"/>
          </w:tcPr>
          <w:p w14:paraId="287759D7" w14:textId="77777777" w:rsidR="005B2959" w:rsidRPr="004D52B7" w:rsidRDefault="005B2959" w:rsidP="00CE4B72">
            <w:pPr>
              <w:jc w:val="center"/>
              <w:rPr>
                <w:sz w:val="20"/>
                <w:szCs w:val="20"/>
              </w:rPr>
            </w:pPr>
            <w:r w:rsidRPr="004D52B7">
              <w:rPr>
                <w:sz w:val="20"/>
                <w:szCs w:val="20"/>
              </w:rPr>
              <w:t>3</w:t>
            </w:r>
          </w:p>
        </w:tc>
        <w:tc>
          <w:tcPr>
            <w:tcW w:w="1296" w:type="dxa"/>
            <w:tcBorders>
              <w:right w:val="nil"/>
            </w:tcBorders>
            <w:noWrap/>
            <w:vAlign w:val="center"/>
            <w:hideMark/>
          </w:tcPr>
          <w:p w14:paraId="05BE4FA5" w14:textId="77777777" w:rsidR="005B2959" w:rsidRPr="004D52B7" w:rsidRDefault="005B2959" w:rsidP="00CE4B72">
            <w:pPr>
              <w:jc w:val="center"/>
              <w:rPr>
                <w:sz w:val="20"/>
                <w:szCs w:val="20"/>
              </w:rPr>
            </w:pPr>
            <w:r w:rsidRPr="004D52B7">
              <w:rPr>
                <w:sz w:val="20"/>
                <w:szCs w:val="20"/>
              </w:rPr>
              <w:t>4.7</w:t>
            </w:r>
          </w:p>
        </w:tc>
        <w:tc>
          <w:tcPr>
            <w:tcW w:w="1296" w:type="dxa"/>
            <w:tcBorders>
              <w:left w:val="nil"/>
            </w:tcBorders>
            <w:noWrap/>
            <w:vAlign w:val="center"/>
            <w:hideMark/>
          </w:tcPr>
          <w:p w14:paraId="71022BCE" w14:textId="77777777" w:rsidR="005B2959" w:rsidRPr="004D52B7" w:rsidRDefault="005B2959" w:rsidP="00CE4B72">
            <w:pPr>
              <w:jc w:val="center"/>
              <w:rPr>
                <w:sz w:val="20"/>
                <w:szCs w:val="20"/>
              </w:rPr>
            </w:pPr>
            <w:r w:rsidRPr="004D52B7">
              <w:rPr>
                <w:sz w:val="20"/>
                <w:szCs w:val="20"/>
              </w:rPr>
              <w:t>4</w:t>
            </w:r>
          </w:p>
        </w:tc>
      </w:tr>
      <w:tr w:rsidR="005B2959" w:rsidRPr="000B0493" w14:paraId="02F63330" w14:textId="77777777" w:rsidTr="00CE4B72">
        <w:trPr>
          <w:trHeight w:val="259"/>
        </w:trPr>
        <w:tc>
          <w:tcPr>
            <w:tcW w:w="2250" w:type="dxa"/>
            <w:gridSpan w:val="2"/>
            <w:noWrap/>
            <w:vAlign w:val="center"/>
            <w:hideMark/>
          </w:tcPr>
          <w:p w14:paraId="6312DF6A" w14:textId="77777777" w:rsidR="005B2959" w:rsidRPr="004D52B7" w:rsidRDefault="005B2959" w:rsidP="00CE4B72">
            <w:pPr>
              <w:rPr>
                <w:sz w:val="20"/>
                <w:szCs w:val="20"/>
              </w:rPr>
            </w:pPr>
            <w:r w:rsidRPr="004D52B7">
              <w:rPr>
                <w:sz w:val="20"/>
                <w:szCs w:val="20"/>
              </w:rPr>
              <w:t>Namibia</w:t>
            </w:r>
          </w:p>
        </w:tc>
        <w:tc>
          <w:tcPr>
            <w:tcW w:w="1368" w:type="dxa"/>
            <w:tcBorders>
              <w:right w:val="nil"/>
            </w:tcBorders>
            <w:noWrap/>
            <w:vAlign w:val="center"/>
            <w:hideMark/>
          </w:tcPr>
          <w:p w14:paraId="6611D453"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550B66CB"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31735024" w14:textId="77777777" w:rsidR="005B2959" w:rsidRPr="004D52B7" w:rsidRDefault="005B2959" w:rsidP="00CE4B72">
            <w:pPr>
              <w:jc w:val="center"/>
              <w:rPr>
                <w:sz w:val="20"/>
                <w:szCs w:val="20"/>
              </w:rPr>
            </w:pPr>
            <w:r w:rsidRPr="004D52B7">
              <w:rPr>
                <w:sz w:val="20"/>
                <w:szCs w:val="20"/>
              </w:rPr>
              <w:t>4.4</w:t>
            </w:r>
          </w:p>
        </w:tc>
        <w:tc>
          <w:tcPr>
            <w:tcW w:w="1296" w:type="dxa"/>
            <w:tcBorders>
              <w:left w:val="nil"/>
            </w:tcBorders>
            <w:vAlign w:val="center"/>
          </w:tcPr>
          <w:p w14:paraId="2FD6391D" w14:textId="77777777" w:rsidR="005B2959" w:rsidRPr="004D52B7" w:rsidRDefault="005B2959" w:rsidP="00CE4B72">
            <w:pPr>
              <w:jc w:val="center"/>
              <w:rPr>
                <w:sz w:val="20"/>
                <w:szCs w:val="20"/>
              </w:rPr>
            </w:pPr>
            <w:r w:rsidRPr="004D52B7">
              <w:rPr>
                <w:sz w:val="20"/>
                <w:szCs w:val="20"/>
              </w:rPr>
              <w:t>6</w:t>
            </w:r>
          </w:p>
        </w:tc>
        <w:tc>
          <w:tcPr>
            <w:tcW w:w="1296" w:type="dxa"/>
            <w:tcBorders>
              <w:right w:val="nil"/>
            </w:tcBorders>
            <w:noWrap/>
            <w:vAlign w:val="center"/>
            <w:hideMark/>
          </w:tcPr>
          <w:p w14:paraId="4859E4AD" w14:textId="77777777" w:rsidR="005B2959" w:rsidRPr="004D52B7" w:rsidRDefault="005B2959" w:rsidP="00CE4B72">
            <w:pPr>
              <w:jc w:val="center"/>
              <w:rPr>
                <w:sz w:val="20"/>
                <w:szCs w:val="20"/>
              </w:rPr>
            </w:pPr>
            <w:r w:rsidRPr="004D52B7">
              <w:rPr>
                <w:sz w:val="20"/>
                <w:szCs w:val="20"/>
              </w:rPr>
              <w:t>4.9</w:t>
            </w:r>
          </w:p>
        </w:tc>
        <w:tc>
          <w:tcPr>
            <w:tcW w:w="1296" w:type="dxa"/>
            <w:tcBorders>
              <w:left w:val="nil"/>
            </w:tcBorders>
            <w:noWrap/>
            <w:vAlign w:val="center"/>
            <w:hideMark/>
          </w:tcPr>
          <w:p w14:paraId="3BA6A434" w14:textId="77777777" w:rsidR="005B2959" w:rsidRPr="004D52B7" w:rsidRDefault="005B2959" w:rsidP="00CE4B72">
            <w:pPr>
              <w:jc w:val="center"/>
              <w:rPr>
                <w:sz w:val="20"/>
                <w:szCs w:val="20"/>
              </w:rPr>
            </w:pPr>
            <w:r w:rsidRPr="004D52B7">
              <w:rPr>
                <w:sz w:val="20"/>
                <w:szCs w:val="20"/>
              </w:rPr>
              <w:t>6</w:t>
            </w:r>
          </w:p>
        </w:tc>
      </w:tr>
      <w:tr w:rsidR="005B2959" w:rsidRPr="000B0493" w14:paraId="308D0945" w14:textId="77777777" w:rsidTr="00CE4B72">
        <w:trPr>
          <w:trHeight w:val="259"/>
        </w:trPr>
        <w:tc>
          <w:tcPr>
            <w:tcW w:w="2250" w:type="dxa"/>
            <w:gridSpan w:val="2"/>
            <w:noWrap/>
            <w:vAlign w:val="center"/>
            <w:hideMark/>
          </w:tcPr>
          <w:p w14:paraId="3A16792D" w14:textId="77777777" w:rsidR="005B2959" w:rsidRPr="004D52B7" w:rsidRDefault="005B2959" w:rsidP="00CE4B72">
            <w:pPr>
              <w:rPr>
                <w:sz w:val="20"/>
                <w:szCs w:val="20"/>
              </w:rPr>
            </w:pPr>
            <w:r w:rsidRPr="004D52B7">
              <w:rPr>
                <w:sz w:val="20"/>
                <w:szCs w:val="20"/>
              </w:rPr>
              <w:t>Lesotho</w:t>
            </w:r>
          </w:p>
        </w:tc>
        <w:tc>
          <w:tcPr>
            <w:tcW w:w="1368" w:type="dxa"/>
            <w:tcBorders>
              <w:right w:val="nil"/>
            </w:tcBorders>
            <w:noWrap/>
            <w:vAlign w:val="center"/>
            <w:hideMark/>
          </w:tcPr>
          <w:p w14:paraId="0B338ACB"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53605740"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3200135C" w14:textId="77777777" w:rsidR="005B2959" w:rsidRPr="004D52B7" w:rsidRDefault="005B2959" w:rsidP="00CE4B72">
            <w:pPr>
              <w:jc w:val="center"/>
              <w:rPr>
                <w:sz w:val="20"/>
                <w:szCs w:val="20"/>
              </w:rPr>
            </w:pPr>
            <w:r w:rsidRPr="004D52B7">
              <w:rPr>
                <w:sz w:val="20"/>
                <w:szCs w:val="20"/>
              </w:rPr>
              <w:t>4.7</w:t>
            </w:r>
          </w:p>
        </w:tc>
        <w:tc>
          <w:tcPr>
            <w:tcW w:w="1296" w:type="dxa"/>
            <w:tcBorders>
              <w:left w:val="nil"/>
            </w:tcBorders>
            <w:vAlign w:val="center"/>
          </w:tcPr>
          <w:p w14:paraId="47F3737C" w14:textId="77777777" w:rsidR="005B2959" w:rsidRPr="004D52B7" w:rsidRDefault="005B2959" w:rsidP="00CE4B72">
            <w:pPr>
              <w:jc w:val="center"/>
              <w:rPr>
                <w:sz w:val="20"/>
                <w:szCs w:val="20"/>
              </w:rPr>
            </w:pPr>
            <w:r w:rsidRPr="004D52B7">
              <w:rPr>
                <w:sz w:val="20"/>
                <w:szCs w:val="20"/>
              </w:rPr>
              <w:t>8</w:t>
            </w:r>
          </w:p>
        </w:tc>
        <w:tc>
          <w:tcPr>
            <w:tcW w:w="1296" w:type="dxa"/>
            <w:tcBorders>
              <w:right w:val="nil"/>
            </w:tcBorders>
            <w:noWrap/>
            <w:vAlign w:val="center"/>
            <w:hideMark/>
          </w:tcPr>
          <w:p w14:paraId="61A22553" w14:textId="77777777" w:rsidR="005B2959" w:rsidRPr="004D52B7" w:rsidRDefault="005B2959" w:rsidP="00CE4B72">
            <w:pPr>
              <w:jc w:val="center"/>
              <w:rPr>
                <w:sz w:val="20"/>
                <w:szCs w:val="20"/>
              </w:rPr>
            </w:pPr>
            <w:r w:rsidRPr="004D52B7">
              <w:rPr>
                <w:sz w:val="20"/>
                <w:szCs w:val="20"/>
              </w:rPr>
              <w:t>5.1</w:t>
            </w:r>
          </w:p>
        </w:tc>
        <w:tc>
          <w:tcPr>
            <w:tcW w:w="1296" w:type="dxa"/>
            <w:tcBorders>
              <w:left w:val="nil"/>
            </w:tcBorders>
            <w:noWrap/>
            <w:vAlign w:val="center"/>
            <w:hideMark/>
          </w:tcPr>
          <w:p w14:paraId="247ED3B8" w14:textId="77777777" w:rsidR="005B2959" w:rsidRPr="004D52B7" w:rsidRDefault="005B2959" w:rsidP="00CE4B72">
            <w:pPr>
              <w:jc w:val="center"/>
              <w:rPr>
                <w:sz w:val="20"/>
                <w:szCs w:val="20"/>
              </w:rPr>
            </w:pPr>
            <w:r w:rsidRPr="004D52B7">
              <w:rPr>
                <w:sz w:val="20"/>
                <w:szCs w:val="20"/>
              </w:rPr>
              <w:t>9</w:t>
            </w:r>
          </w:p>
        </w:tc>
      </w:tr>
      <w:tr w:rsidR="005B2959" w:rsidRPr="000B0493" w14:paraId="4DCBC753" w14:textId="77777777" w:rsidTr="00CE4B72">
        <w:trPr>
          <w:trHeight w:val="259"/>
        </w:trPr>
        <w:tc>
          <w:tcPr>
            <w:tcW w:w="2250" w:type="dxa"/>
            <w:gridSpan w:val="2"/>
            <w:noWrap/>
            <w:vAlign w:val="center"/>
            <w:hideMark/>
          </w:tcPr>
          <w:p w14:paraId="2DA96439" w14:textId="77777777" w:rsidR="005B2959" w:rsidRPr="004D52B7" w:rsidRDefault="005B2959" w:rsidP="00CE4B72">
            <w:pPr>
              <w:rPr>
                <w:sz w:val="20"/>
                <w:szCs w:val="20"/>
              </w:rPr>
            </w:pPr>
            <w:r w:rsidRPr="004D52B7">
              <w:rPr>
                <w:sz w:val="20"/>
                <w:szCs w:val="20"/>
              </w:rPr>
              <w:t>Kenya</w:t>
            </w:r>
          </w:p>
        </w:tc>
        <w:tc>
          <w:tcPr>
            <w:tcW w:w="1368" w:type="dxa"/>
            <w:tcBorders>
              <w:right w:val="nil"/>
            </w:tcBorders>
            <w:noWrap/>
            <w:vAlign w:val="center"/>
            <w:hideMark/>
          </w:tcPr>
          <w:p w14:paraId="5676B579"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231CC9D6"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2277D948" w14:textId="77777777" w:rsidR="005B2959" w:rsidRPr="004D52B7" w:rsidRDefault="005B2959" w:rsidP="00CE4B72">
            <w:pPr>
              <w:jc w:val="center"/>
              <w:rPr>
                <w:sz w:val="20"/>
                <w:szCs w:val="20"/>
              </w:rPr>
            </w:pPr>
            <w:r w:rsidRPr="004D52B7">
              <w:rPr>
                <w:sz w:val="20"/>
                <w:szCs w:val="20"/>
              </w:rPr>
              <w:t>4.9</w:t>
            </w:r>
          </w:p>
        </w:tc>
        <w:tc>
          <w:tcPr>
            <w:tcW w:w="1296" w:type="dxa"/>
            <w:tcBorders>
              <w:left w:val="nil"/>
            </w:tcBorders>
            <w:vAlign w:val="center"/>
          </w:tcPr>
          <w:p w14:paraId="6AD75E05" w14:textId="77777777" w:rsidR="005B2959" w:rsidRPr="004D52B7" w:rsidRDefault="005B2959" w:rsidP="00CE4B72">
            <w:pPr>
              <w:jc w:val="center"/>
              <w:rPr>
                <w:sz w:val="20"/>
                <w:szCs w:val="20"/>
              </w:rPr>
            </w:pPr>
            <w:r w:rsidRPr="004D52B7">
              <w:rPr>
                <w:sz w:val="20"/>
                <w:szCs w:val="20"/>
              </w:rPr>
              <w:t>11</w:t>
            </w:r>
          </w:p>
        </w:tc>
        <w:tc>
          <w:tcPr>
            <w:tcW w:w="1296" w:type="dxa"/>
            <w:tcBorders>
              <w:right w:val="nil"/>
            </w:tcBorders>
            <w:noWrap/>
            <w:vAlign w:val="center"/>
            <w:hideMark/>
          </w:tcPr>
          <w:p w14:paraId="633ECEDD" w14:textId="77777777" w:rsidR="005B2959" w:rsidRPr="004D52B7" w:rsidRDefault="005B2959" w:rsidP="00CE4B72">
            <w:pPr>
              <w:jc w:val="center"/>
              <w:rPr>
                <w:sz w:val="20"/>
                <w:szCs w:val="20"/>
              </w:rPr>
            </w:pPr>
            <w:r w:rsidRPr="004D52B7">
              <w:rPr>
                <w:sz w:val="20"/>
                <w:szCs w:val="20"/>
              </w:rPr>
              <w:t>5.4</w:t>
            </w:r>
          </w:p>
        </w:tc>
        <w:tc>
          <w:tcPr>
            <w:tcW w:w="1296" w:type="dxa"/>
            <w:tcBorders>
              <w:left w:val="nil"/>
            </w:tcBorders>
            <w:noWrap/>
            <w:vAlign w:val="center"/>
            <w:hideMark/>
          </w:tcPr>
          <w:p w14:paraId="7B92E799" w14:textId="77777777" w:rsidR="005B2959" w:rsidRPr="004D52B7" w:rsidRDefault="005B2959" w:rsidP="00CE4B72">
            <w:pPr>
              <w:jc w:val="center"/>
              <w:rPr>
                <w:sz w:val="20"/>
                <w:szCs w:val="20"/>
              </w:rPr>
            </w:pPr>
            <w:r w:rsidRPr="004D52B7">
              <w:rPr>
                <w:sz w:val="20"/>
                <w:szCs w:val="20"/>
              </w:rPr>
              <w:t>11</w:t>
            </w:r>
          </w:p>
        </w:tc>
      </w:tr>
      <w:tr w:rsidR="005B2959" w:rsidRPr="000B0493" w14:paraId="66E14FAD" w14:textId="77777777" w:rsidTr="00CE4B72">
        <w:trPr>
          <w:trHeight w:val="259"/>
        </w:trPr>
        <w:tc>
          <w:tcPr>
            <w:tcW w:w="2250" w:type="dxa"/>
            <w:gridSpan w:val="2"/>
            <w:noWrap/>
            <w:vAlign w:val="center"/>
            <w:hideMark/>
          </w:tcPr>
          <w:p w14:paraId="1DAAA6FA" w14:textId="77777777" w:rsidR="005B2959" w:rsidRPr="004D52B7" w:rsidRDefault="005B2959" w:rsidP="00CE4B72">
            <w:pPr>
              <w:rPr>
                <w:sz w:val="20"/>
                <w:szCs w:val="20"/>
              </w:rPr>
            </w:pPr>
            <w:r w:rsidRPr="004D52B7">
              <w:rPr>
                <w:sz w:val="20"/>
                <w:szCs w:val="20"/>
              </w:rPr>
              <w:t>Chad</w:t>
            </w:r>
          </w:p>
        </w:tc>
        <w:tc>
          <w:tcPr>
            <w:tcW w:w="1368" w:type="dxa"/>
            <w:tcBorders>
              <w:right w:val="nil"/>
            </w:tcBorders>
            <w:noWrap/>
            <w:vAlign w:val="center"/>
            <w:hideMark/>
          </w:tcPr>
          <w:p w14:paraId="36D486E8"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12485411"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7BCDC539" w14:textId="77777777" w:rsidR="005B2959" w:rsidRPr="004D52B7" w:rsidRDefault="005B2959" w:rsidP="00CE4B72">
            <w:pPr>
              <w:jc w:val="center"/>
              <w:rPr>
                <w:sz w:val="20"/>
                <w:szCs w:val="20"/>
              </w:rPr>
            </w:pPr>
            <w:r w:rsidRPr="004D52B7">
              <w:rPr>
                <w:sz w:val="20"/>
                <w:szCs w:val="20"/>
              </w:rPr>
              <w:t>5.9</w:t>
            </w:r>
          </w:p>
        </w:tc>
        <w:tc>
          <w:tcPr>
            <w:tcW w:w="1296" w:type="dxa"/>
            <w:tcBorders>
              <w:left w:val="nil"/>
            </w:tcBorders>
            <w:vAlign w:val="center"/>
          </w:tcPr>
          <w:p w14:paraId="20140CA0" w14:textId="77777777" w:rsidR="005B2959" w:rsidRPr="004D52B7" w:rsidRDefault="005B2959" w:rsidP="00CE4B72">
            <w:pPr>
              <w:jc w:val="center"/>
              <w:rPr>
                <w:sz w:val="20"/>
                <w:szCs w:val="20"/>
              </w:rPr>
            </w:pPr>
            <w:r w:rsidRPr="004D52B7">
              <w:rPr>
                <w:sz w:val="20"/>
                <w:szCs w:val="20"/>
              </w:rPr>
              <w:t>19</w:t>
            </w:r>
          </w:p>
        </w:tc>
        <w:tc>
          <w:tcPr>
            <w:tcW w:w="1296" w:type="dxa"/>
            <w:tcBorders>
              <w:right w:val="nil"/>
            </w:tcBorders>
            <w:noWrap/>
            <w:vAlign w:val="center"/>
            <w:hideMark/>
          </w:tcPr>
          <w:p w14:paraId="3C3525C6" w14:textId="77777777" w:rsidR="005B2959" w:rsidRPr="004D52B7" w:rsidRDefault="005B2959" w:rsidP="00CE4B72">
            <w:pPr>
              <w:jc w:val="center"/>
              <w:rPr>
                <w:sz w:val="20"/>
                <w:szCs w:val="20"/>
              </w:rPr>
            </w:pPr>
            <w:r w:rsidRPr="004D52B7">
              <w:rPr>
                <w:sz w:val="20"/>
                <w:szCs w:val="20"/>
              </w:rPr>
              <w:t>6.4</w:t>
            </w:r>
          </w:p>
        </w:tc>
        <w:tc>
          <w:tcPr>
            <w:tcW w:w="1296" w:type="dxa"/>
            <w:tcBorders>
              <w:left w:val="nil"/>
            </w:tcBorders>
            <w:noWrap/>
            <w:vAlign w:val="center"/>
            <w:hideMark/>
          </w:tcPr>
          <w:p w14:paraId="5DF6F9FD" w14:textId="77777777" w:rsidR="005B2959" w:rsidRPr="004D52B7" w:rsidRDefault="005B2959" w:rsidP="00CE4B72">
            <w:pPr>
              <w:jc w:val="center"/>
              <w:rPr>
                <w:sz w:val="20"/>
                <w:szCs w:val="20"/>
              </w:rPr>
            </w:pPr>
            <w:r w:rsidRPr="004D52B7">
              <w:rPr>
                <w:sz w:val="20"/>
                <w:szCs w:val="20"/>
              </w:rPr>
              <w:t>17</w:t>
            </w:r>
          </w:p>
        </w:tc>
      </w:tr>
      <w:tr w:rsidR="005B2959" w:rsidRPr="000B0493" w14:paraId="0BC26638" w14:textId="77777777" w:rsidTr="00CE4B72">
        <w:trPr>
          <w:trHeight w:val="259"/>
        </w:trPr>
        <w:tc>
          <w:tcPr>
            <w:tcW w:w="2250" w:type="dxa"/>
            <w:gridSpan w:val="2"/>
            <w:noWrap/>
            <w:vAlign w:val="center"/>
            <w:hideMark/>
          </w:tcPr>
          <w:p w14:paraId="6CBA87D9" w14:textId="77777777" w:rsidR="005B2959" w:rsidRPr="004D52B7" w:rsidRDefault="005B2959" w:rsidP="00CE4B72">
            <w:pPr>
              <w:rPr>
                <w:sz w:val="20"/>
                <w:szCs w:val="20"/>
              </w:rPr>
            </w:pPr>
            <w:r w:rsidRPr="004D52B7">
              <w:rPr>
                <w:sz w:val="20"/>
                <w:szCs w:val="20"/>
              </w:rPr>
              <w:t>Malawi</w:t>
            </w:r>
          </w:p>
        </w:tc>
        <w:tc>
          <w:tcPr>
            <w:tcW w:w="1368" w:type="dxa"/>
            <w:tcBorders>
              <w:right w:val="nil"/>
            </w:tcBorders>
            <w:noWrap/>
            <w:vAlign w:val="center"/>
            <w:hideMark/>
          </w:tcPr>
          <w:p w14:paraId="4AFA6E2B"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0461357A"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204D323C" w14:textId="77777777" w:rsidR="005B2959" w:rsidRPr="004D52B7" w:rsidRDefault="005B2959" w:rsidP="00CE4B72">
            <w:pPr>
              <w:jc w:val="center"/>
              <w:rPr>
                <w:sz w:val="20"/>
                <w:szCs w:val="20"/>
              </w:rPr>
            </w:pPr>
            <w:r w:rsidRPr="004D52B7">
              <w:rPr>
                <w:sz w:val="20"/>
                <w:szCs w:val="20"/>
              </w:rPr>
              <w:t>6.2</w:t>
            </w:r>
          </w:p>
        </w:tc>
        <w:tc>
          <w:tcPr>
            <w:tcW w:w="1296" w:type="dxa"/>
            <w:tcBorders>
              <w:left w:val="nil"/>
            </w:tcBorders>
            <w:vAlign w:val="center"/>
          </w:tcPr>
          <w:p w14:paraId="4C8CE204" w14:textId="77777777" w:rsidR="005B2959" w:rsidRPr="004D52B7" w:rsidRDefault="005B2959" w:rsidP="00CE4B72">
            <w:pPr>
              <w:jc w:val="center"/>
              <w:rPr>
                <w:sz w:val="20"/>
                <w:szCs w:val="20"/>
              </w:rPr>
            </w:pPr>
            <w:r w:rsidRPr="004D52B7">
              <w:rPr>
                <w:sz w:val="20"/>
                <w:szCs w:val="20"/>
              </w:rPr>
              <w:t>22</w:t>
            </w:r>
          </w:p>
        </w:tc>
        <w:tc>
          <w:tcPr>
            <w:tcW w:w="1296" w:type="dxa"/>
            <w:tcBorders>
              <w:right w:val="nil"/>
            </w:tcBorders>
            <w:noWrap/>
            <w:vAlign w:val="center"/>
            <w:hideMark/>
          </w:tcPr>
          <w:p w14:paraId="53C79276" w14:textId="77777777" w:rsidR="005B2959" w:rsidRPr="004D52B7" w:rsidRDefault="005B2959" w:rsidP="00CE4B72">
            <w:pPr>
              <w:jc w:val="center"/>
              <w:rPr>
                <w:sz w:val="20"/>
                <w:szCs w:val="20"/>
              </w:rPr>
            </w:pPr>
            <w:r w:rsidRPr="004D52B7">
              <w:rPr>
                <w:sz w:val="20"/>
                <w:szCs w:val="20"/>
              </w:rPr>
              <w:t>6.7</w:t>
            </w:r>
          </w:p>
        </w:tc>
        <w:tc>
          <w:tcPr>
            <w:tcW w:w="1296" w:type="dxa"/>
            <w:tcBorders>
              <w:left w:val="nil"/>
            </w:tcBorders>
            <w:noWrap/>
            <w:vAlign w:val="center"/>
            <w:hideMark/>
          </w:tcPr>
          <w:p w14:paraId="2A4A9EFF" w14:textId="77777777" w:rsidR="005B2959" w:rsidRPr="004D52B7" w:rsidRDefault="005B2959" w:rsidP="00CE4B72">
            <w:pPr>
              <w:jc w:val="center"/>
              <w:rPr>
                <w:sz w:val="20"/>
                <w:szCs w:val="20"/>
              </w:rPr>
            </w:pPr>
            <w:r w:rsidRPr="004D52B7">
              <w:rPr>
                <w:sz w:val="20"/>
                <w:szCs w:val="20"/>
              </w:rPr>
              <w:t>20</w:t>
            </w:r>
          </w:p>
        </w:tc>
      </w:tr>
      <w:tr w:rsidR="005B2959" w:rsidRPr="000B0493" w14:paraId="3D9A4464" w14:textId="77777777" w:rsidTr="00CE4B72">
        <w:trPr>
          <w:trHeight w:val="259"/>
        </w:trPr>
        <w:tc>
          <w:tcPr>
            <w:tcW w:w="2250" w:type="dxa"/>
            <w:gridSpan w:val="2"/>
            <w:noWrap/>
            <w:vAlign w:val="center"/>
            <w:hideMark/>
          </w:tcPr>
          <w:p w14:paraId="3BD8340E" w14:textId="77777777" w:rsidR="005B2959" w:rsidRPr="004D52B7" w:rsidRDefault="005B2959" w:rsidP="00CE4B72">
            <w:pPr>
              <w:rPr>
                <w:sz w:val="20"/>
                <w:szCs w:val="20"/>
              </w:rPr>
            </w:pPr>
            <w:r w:rsidRPr="004D52B7">
              <w:rPr>
                <w:sz w:val="20"/>
                <w:szCs w:val="20"/>
              </w:rPr>
              <w:t>Zimbabwe</w:t>
            </w:r>
          </w:p>
        </w:tc>
        <w:tc>
          <w:tcPr>
            <w:tcW w:w="1368" w:type="dxa"/>
            <w:tcBorders>
              <w:right w:val="nil"/>
            </w:tcBorders>
            <w:noWrap/>
            <w:vAlign w:val="center"/>
            <w:hideMark/>
          </w:tcPr>
          <w:p w14:paraId="7051E263"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1066DFFC"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55AB8F4D" w14:textId="77777777" w:rsidR="005B2959" w:rsidRPr="004D52B7" w:rsidRDefault="005B2959" w:rsidP="00CE4B72">
            <w:pPr>
              <w:jc w:val="center"/>
              <w:rPr>
                <w:sz w:val="20"/>
                <w:szCs w:val="20"/>
              </w:rPr>
            </w:pPr>
            <w:r w:rsidRPr="004D52B7">
              <w:rPr>
                <w:sz w:val="20"/>
                <w:szCs w:val="20"/>
              </w:rPr>
              <w:t>6.5</w:t>
            </w:r>
          </w:p>
        </w:tc>
        <w:tc>
          <w:tcPr>
            <w:tcW w:w="1296" w:type="dxa"/>
            <w:tcBorders>
              <w:left w:val="nil"/>
            </w:tcBorders>
            <w:vAlign w:val="center"/>
          </w:tcPr>
          <w:p w14:paraId="31A56520" w14:textId="77777777" w:rsidR="005B2959" w:rsidRPr="004D52B7" w:rsidRDefault="005B2959" w:rsidP="00CE4B72">
            <w:pPr>
              <w:jc w:val="center"/>
              <w:rPr>
                <w:sz w:val="20"/>
                <w:szCs w:val="20"/>
              </w:rPr>
            </w:pPr>
            <w:r w:rsidRPr="004D52B7">
              <w:rPr>
                <w:sz w:val="20"/>
                <w:szCs w:val="20"/>
              </w:rPr>
              <w:t>25</w:t>
            </w:r>
          </w:p>
        </w:tc>
        <w:tc>
          <w:tcPr>
            <w:tcW w:w="1296" w:type="dxa"/>
            <w:tcBorders>
              <w:right w:val="nil"/>
            </w:tcBorders>
            <w:noWrap/>
            <w:vAlign w:val="center"/>
            <w:hideMark/>
          </w:tcPr>
          <w:p w14:paraId="31254289" w14:textId="77777777" w:rsidR="005B2959" w:rsidRPr="004D52B7" w:rsidRDefault="005B2959" w:rsidP="00CE4B72">
            <w:pPr>
              <w:jc w:val="center"/>
              <w:rPr>
                <w:sz w:val="20"/>
                <w:szCs w:val="20"/>
              </w:rPr>
            </w:pPr>
            <w:r w:rsidRPr="004D52B7">
              <w:rPr>
                <w:sz w:val="20"/>
                <w:szCs w:val="20"/>
              </w:rPr>
              <w:t>7.0</w:t>
            </w:r>
          </w:p>
        </w:tc>
        <w:tc>
          <w:tcPr>
            <w:tcW w:w="1296" w:type="dxa"/>
            <w:tcBorders>
              <w:left w:val="nil"/>
            </w:tcBorders>
            <w:noWrap/>
            <w:vAlign w:val="center"/>
            <w:hideMark/>
          </w:tcPr>
          <w:p w14:paraId="7D76474D" w14:textId="77777777" w:rsidR="005B2959" w:rsidRPr="004D52B7" w:rsidRDefault="005B2959" w:rsidP="00CE4B72">
            <w:pPr>
              <w:jc w:val="center"/>
              <w:rPr>
                <w:sz w:val="20"/>
                <w:szCs w:val="20"/>
              </w:rPr>
            </w:pPr>
            <w:r w:rsidRPr="004D52B7">
              <w:rPr>
                <w:sz w:val="20"/>
                <w:szCs w:val="20"/>
              </w:rPr>
              <w:t>23</w:t>
            </w:r>
          </w:p>
        </w:tc>
      </w:tr>
      <w:tr w:rsidR="005B2959" w:rsidRPr="000B0493" w14:paraId="6D63E7EF" w14:textId="77777777" w:rsidTr="00CE4B72">
        <w:trPr>
          <w:trHeight w:val="259"/>
        </w:trPr>
        <w:tc>
          <w:tcPr>
            <w:tcW w:w="2250" w:type="dxa"/>
            <w:gridSpan w:val="2"/>
            <w:noWrap/>
            <w:vAlign w:val="center"/>
            <w:hideMark/>
          </w:tcPr>
          <w:p w14:paraId="623E8E10" w14:textId="77777777" w:rsidR="005B2959" w:rsidRPr="004D52B7" w:rsidRDefault="005B2959" w:rsidP="00CE4B72">
            <w:pPr>
              <w:rPr>
                <w:sz w:val="20"/>
                <w:szCs w:val="20"/>
              </w:rPr>
            </w:pPr>
            <w:r w:rsidRPr="004D52B7">
              <w:rPr>
                <w:sz w:val="20"/>
                <w:szCs w:val="20"/>
              </w:rPr>
              <w:t>Ghana</w:t>
            </w:r>
          </w:p>
        </w:tc>
        <w:tc>
          <w:tcPr>
            <w:tcW w:w="1368" w:type="dxa"/>
            <w:tcBorders>
              <w:right w:val="nil"/>
            </w:tcBorders>
            <w:noWrap/>
            <w:vAlign w:val="center"/>
            <w:hideMark/>
          </w:tcPr>
          <w:p w14:paraId="14DCDE92"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785349F2"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2E48D0FC" w14:textId="77777777" w:rsidR="005B2959" w:rsidRPr="004D52B7" w:rsidRDefault="005B2959" w:rsidP="00CE4B72">
            <w:pPr>
              <w:jc w:val="center"/>
              <w:rPr>
                <w:sz w:val="20"/>
                <w:szCs w:val="20"/>
              </w:rPr>
            </w:pPr>
            <w:r w:rsidRPr="004D52B7">
              <w:rPr>
                <w:sz w:val="20"/>
                <w:szCs w:val="20"/>
              </w:rPr>
              <w:t>6.6</w:t>
            </w:r>
          </w:p>
        </w:tc>
        <w:tc>
          <w:tcPr>
            <w:tcW w:w="1296" w:type="dxa"/>
            <w:tcBorders>
              <w:left w:val="nil"/>
            </w:tcBorders>
            <w:vAlign w:val="center"/>
          </w:tcPr>
          <w:p w14:paraId="3A8627FE" w14:textId="77777777" w:rsidR="005B2959" w:rsidRPr="004D52B7" w:rsidRDefault="005B2959" w:rsidP="00CE4B72">
            <w:pPr>
              <w:jc w:val="center"/>
              <w:rPr>
                <w:sz w:val="20"/>
                <w:szCs w:val="20"/>
              </w:rPr>
            </w:pPr>
            <w:r w:rsidRPr="004D52B7">
              <w:rPr>
                <w:sz w:val="20"/>
                <w:szCs w:val="20"/>
              </w:rPr>
              <w:t>26</w:t>
            </w:r>
          </w:p>
        </w:tc>
        <w:tc>
          <w:tcPr>
            <w:tcW w:w="1296" w:type="dxa"/>
            <w:tcBorders>
              <w:right w:val="nil"/>
            </w:tcBorders>
            <w:noWrap/>
            <w:vAlign w:val="center"/>
            <w:hideMark/>
          </w:tcPr>
          <w:p w14:paraId="47B909F3" w14:textId="77777777" w:rsidR="005B2959" w:rsidRPr="004D52B7" w:rsidRDefault="005B2959" w:rsidP="00CE4B72">
            <w:pPr>
              <w:jc w:val="center"/>
              <w:rPr>
                <w:sz w:val="20"/>
                <w:szCs w:val="20"/>
              </w:rPr>
            </w:pPr>
            <w:r w:rsidRPr="004D52B7">
              <w:rPr>
                <w:sz w:val="20"/>
                <w:szCs w:val="20"/>
              </w:rPr>
              <w:t>7.1</w:t>
            </w:r>
          </w:p>
        </w:tc>
        <w:tc>
          <w:tcPr>
            <w:tcW w:w="1296" w:type="dxa"/>
            <w:tcBorders>
              <w:left w:val="nil"/>
            </w:tcBorders>
            <w:noWrap/>
            <w:vAlign w:val="center"/>
            <w:hideMark/>
          </w:tcPr>
          <w:p w14:paraId="20BF7E7B" w14:textId="77777777" w:rsidR="005B2959" w:rsidRPr="004D52B7" w:rsidRDefault="005B2959" w:rsidP="00CE4B72">
            <w:pPr>
              <w:jc w:val="center"/>
              <w:rPr>
                <w:sz w:val="20"/>
                <w:szCs w:val="20"/>
              </w:rPr>
            </w:pPr>
            <w:r w:rsidRPr="004D52B7">
              <w:rPr>
                <w:sz w:val="20"/>
                <w:szCs w:val="20"/>
              </w:rPr>
              <w:t>25</w:t>
            </w:r>
          </w:p>
        </w:tc>
      </w:tr>
      <w:tr w:rsidR="005B2959" w:rsidRPr="000B0493" w14:paraId="65016CF8" w14:textId="77777777" w:rsidTr="00CE4B72">
        <w:trPr>
          <w:trHeight w:val="259"/>
        </w:trPr>
        <w:tc>
          <w:tcPr>
            <w:tcW w:w="2250" w:type="dxa"/>
            <w:gridSpan w:val="2"/>
            <w:noWrap/>
            <w:vAlign w:val="center"/>
            <w:hideMark/>
          </w:tcPr>
          <w:p w14:paraId="2CC59EF5" w14:textId="77777777" w:rsidR="005B2959" w:rsidRPr="004D52B7" w:rsidRDefault="005B2959" w:rsidP="00CE4B72">
            <w:pPr>
              <w:rPr>
                <w:sz w:val="20"/>
                <w:szCs w:val="20"/>
              </w:rPr>
            </w:pPr>
            <w:r w:rsidRPr="004D52B7">
              <w:rPr>
                <w:sz w:val="20"/>
                <w:szCs w:val="20"/>
              </w:rPr>
              <w:t>South Africa</w:t>
            </w:r>
          </w:p>
        </w:tc>
        <w:tc>
          <w:tcPr>
            <w:tcW w:w="1368" w:type="dxa"/>
            <w:tcBorders>
              <w:right w:val="nil"/>
            </w:tcBorders>
            <w:noWrap/>
            <w:vAlign w:val="center"/>
            <w:hideMark/>
          </w:tcPr>
          <w:p w14:paraId="346FDC78"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4269BBAA"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6D513AF4" w14:textId="77777777" w:rsidR="005B2959" w:rsidRPr="004D52B7" w:rsidRDefault="005B2959" w:rsidP="00CE4B72">
            <w:pPr>
              <w:jc w:val="center"/>
              <w:rPr>
                <w:sz w:val="20"/>
                <w:szCs w:val="20"/>
              </w:rPr>
            </w:pPr>
            <w:r w:rsidRPr="004D52B7">
              <w:rPr>
                <w:sz w:val="20"/>
                <w:szCs w:val="20"/>
              </w:rPr>
              <w:t>6.8</w:t>
            </w:r>
          </w:p>
        </w:tc>
        <w:tc>
          <w:tcPr>
            <w:tcW w:w="1296" w:type="dxa"/>
            <w:tcBorders>
              <w:left w:val="nil"/>
            </w:tcBorders>
            <w:vAlign w:val="center"/>
          </w:tcPr>
          <w:p w14:paraId="604F8672" w14:textId="77777777" w:rsidR="005B2959" w:rsidRPr="004D52B7" w:rsidRDefault="005B2959" w:rsidP="00CE4B72">
            <w:pPr>
              <w:jc w:val="center"/>
              <w:rPr>
                <w:sz w:val="20"/>
                <w:szCs w:val="20"/>
              </w:rPr>
            </w:pPr>
            <w:r w:rsidRPr="004D52B7">
              <w:rPr>
                <w:sz w:val="20"/>
                <w:szCs w:val="20"/>
              </w:rPr>
              <w:t>29</w:t>
            </w:r>
          </w:p>
        </w:tc>
        <w:tc>
          <w:tcPr>
            <w:tcW w:w="1296" w:type="dxa"/>
            <w:tcBorders>
              <w:right w:val="nil"/>
            </w:tcBorders>
            <w:noWrap/>
            <w:vAlign w:val="center"/>
            <w:hideMark/>
          </w:tcPr>
          <w:p w14:paraId="65E59B27" w14:textId="77777777" w:rsidR="005B2959" w:rsidRPr="004D52B7" w:rsidRDefault="005B2959" w:rsidP="00CE4B72">
            <w:pPr>
              <w:jc w:val="center"/>
              <w:rPr>
                <w:sz w:val="20"/>
                <w:szCs w:val="20"/>
              </w:rPr>
            </w:pPr>
            <w:r w:rsidRPr="004D52B7">
              <w:rPr>
                <w:sz w:val="20"/>
                <w:szCs w:val="20"/>
              </w:rPr>
              <w:t>7.3</w:t>
            </w:r>
          </w:p>
        </w:tc>
        <w:tc>
          <w:tcPr>
            <w:tcW w:w="1296" w:type="dxa"/>
            <w:tcBorders>
              <w:left w:val="nil"/>
            </w:tcBorders>
            <w:noWrap/>
            <w:vAlign w:val="center"/>
            <w:hideMark/>
          </w:tcPr>
          <w:p w14:paraId="347E1BE8" w14:textId="77777777" w:rsidR="005B2959" w:rsidRPr="004D52B7" w:rsidRDefault="005B2959" w:rsidP="00CE4B72">
            <w:pPr>
              <w:jc w:val="center"/>
              <w:rPr>
                <w:sz w:val="20"/>
                <w:szCs w:val="20"/>
              </w:rPr>
            </w:pPr>
            <w:r w:rsidRPr="004D52B7">
              <w:rPr>
                <w:sz w:val="20"/>
                <w:szCs w:val="20"/>
              </w:rPr>
              <w:t>29</w:t>
            </w:r>
          </w:p>
        </w:tc>
      </w:tr>
      <w:tr w:rsidR="005B2959" w:rsidRPr="000B0493" w14:paraId="1AF2079C" w14:textId="77777777" w:rsidTr="00CE4B72">
        <w:trPr>
          <w:trHeight w:val="259"/>
        </w:trPr>
        <w:tc>
          <w:tcPr>
            <w:tcW w:w="2250" w:type="dxa"/>
            <w:gridSpan w:val="2"/>
            <w:noWrap/>
            <w:vAlign w:val="center"/>
            <w:hideMark/>
          </w:tcPr>
          <w:p w14:paraId="02BE5032" w14:textId="77777777" w:rsidR="005B2959" w:rsidRPr="004D52B7" w:rsidRDefault="005B2959" w:rsidP="00CE4B72">
            <w:pPr>
              <w:rPr>
                <w:sz w:val="20"/>
                <w:szCs w:val="20"/>
              </w:rPr>
            </w:pPr>
            <w:r w:rsidRPr="004D52B7">
              <w:rPr>
                <w:sz w:val="20"/>
                <w:szCs w:val="20"/>
              </w:rPr>
              <w:t>Tanzania</w:t>
            </w:r>
          </w:p>
        </w:tc>
        <w:tc>
          <w:tcPr>
            <w:tcW w:w="1368" w:type="dxa"/>
            <w:tcBorders>
              <w:right w:val="nil"/>
            </w:tcBorders>
            <w:noWrap/>
            <w:vAlign w:val="center"/>
            <w:hideMark/>
          </w:tcPr>
          <w:p w14:paraId="5A17496E"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4A68F4CD"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37844646" w14:textId="77777777" w:rsidR="005B2959" w:rsidRPr="004D52B7" w:rsidRDefault="005B2959" w:rsidP="00CE4B72">
            <w:pPr>
              <w:jc w:val="center"/>
              <w:rPr>
                <w:sz w:val="20"/>
                <w:szCs w:val="20"/>
              </w:rPr>
            </w:pPr>
            <w:r w:rsidRPr="004D52B7">
              <w:rPr>
                <w:sz w:val="20"/>
                <w:szCs w:val="20"/>
              </w:rPr>
              <w:t>7.2</w:t>
            </w:r>
          </w:p>
        </w:tc>
        <w:tc>
          <w:tcPr>
            <w:tcW w:w="1296" w:type="dxa"/>
            <w:tcBorders>
              <w:left w:val="nil"/>
            </w:tcBorders>
            <w:vAlign w:val="center"/>
          </w:tcPr>
          <w:p w14:paraId="6888B130" w14:textId="77777777" w:rsidR="005B2959" w:rsidRPr="004D52B7" w:rsidRDefault="005B2959" w:rsidP="00CE4B72">
            <w:pPr>
              <w:jc w:val="center"/>
              <w:rPr>
                <w:sz w:val="20"/>
                <w:szCs w:val="20"/>
              </w:rPr>
            </w:pPr>
            <w:r w:rsidRPr="004D52B7">
              <w:rPr>
                <w:sz w:val="20"/>
                <w:szCs w:val="20"/>
              </w:rPr>
              <w:t>34</w:t>
            </w:r>
          </w:p>
        </w:tc>
        <w:tc>
          <w:tcPr>
            <w:tcW w:w="1296" w:type="dxa"/>
            <w:tcBorders>
              <w:right w:val="nil"/>
            </w:tcBorders>
            <w:noWrap/>
            <w:vAlign w:val="center"/>
            <w:hideMark/>
          </w:tcPr>
          <w:p w14:paraId="5F025C65" w14:textId="77777777" w:rsidR="005B2959" w:rsidRPr="004D52B7" w:rsidRDefault="005B2959" w:rsidP="00CE4B72">
            <w:pPr>
              <w:jc w:val="center"/>
              <w:rPr>
                <w:sz w:val="20"/>
                <w:szCs w:val="20"/>
              </w:rPr>
            </w:pPr>
            <w:r w:rsidRPr="004D52B7">
              <w:rPr>
                <w:sz w:val="20"/>
                <w:szCs w:val="20"/>
              </w:rPr>
              <w:t>8.3</w:t>
            </w:r>
          </w:p>
        </w:tc>
        <w:tc>
          <w:tcPr>
            <w:tcW w:w="1296" w:type="dxa"/>
            <w:tcBorders>
              <w:left w:val="nil"/>
            </w:tcBorders>
            <w:noWrap/>
            <w:vAlign w:val="center"/>
            <w:hideMark/>
          </w:tcPr>
          <w:p w14:paraId="789F8659" w14:textId="77777777" w:rsidR="005B2959" w:rsidRPr="004D52B7" w:rsidRDefault="005B2959" w:rsidP="00CE4B72">
            <w:pPr>
              <w:jc w:val="center"/>
              <w:rPr>
                <w:sz w:val="20"/>
                <w:szCs w:val="20"/>
              </w:rPr>
            </w:pPr>
            <w:r w:rsidRPr="004D52B7">
              <w:rPr>
                <w:sz w:val="20"/>
                <w:szCs w:val="20"/>
              </w:rPr>
              <w:t>34</w:t>
            </w:r>
          </w:p>
        </w:tc>
      </w:tr>
      <w:tr w:rsidR="005B2959" w:rsidRPr="000B0493" w14:paraId="25950FCD" w14:textId="77777777" w:rsidTr="00CE4B72">
        <w:trPr>
          <w:trHeight w:val="259"/>
        </w:trPr>
        <w:tc>
          <w:tcPr>
            <w:tcW w:w="2250" w:type="dxa"/>
            <w:gridSpan w:val="2"/>
            <w:noWrap/>
            <w:vAlign w:val="center"/>
            <w:hideMark/>
          </w:tcPr>
          <w:p w14:paraId="521AA823" w14:textId="77777777" w:rsidR="005B2959" w:rsidRPr="004D52B7" w:rsidRDefault="005B2959" w:rsidP="00CE4B72">
            <w:pPr>
              <w:rPr>
                <w:sz w:val="20"/>
                <w:szCs w:val="20"/>
              </w:rPr>
            </w:pPr>
            <w:r w:rsidRPr="004D52B7">
              <w:rPr>
                <w:sz w:val="20"/>
                <w:szCs w:val="20"/>
              </w:rPr>
              <w:t>Mozambique</w:t>
            </w:r>
          </w:p>
        </w:tc>
        <w:tc>
          <w:tcPr>
            <w:tcW w:w="1368" w:type="dxa"/>
            <w:tcBorders>
              <w:right w:val="nil"/>
            </w:tcBorders>
            <w:noWrap/>
            <w:vAlign w:val="center"/>
            <w:hideMark/>
          </w:tcPr>
          <w:p w14:paraId="63B136F5"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20963297"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3D1F9FAD" w14:textId="77777777" w:rsidR="005B2959" w:rsidRPr="004D52B7" w:rsidRDefault="005B2959" w:rsidP="00CE4B72">
            <w:pPr>
              <w:jc w:val="center"/>
              <w:rPr>
                <w:sz w:val="20"/>
                <w:szCs w:val="20"/>
              </w:rPr>
            </w:pPr>
            <w:r w:rsidRPr="004D52B7">
              <w:rPr>
                <w:sz w:val="20"/>
                <w:szCs w:val="20"/>
              </w:rPr>
              <w:t>7.7</w:t>
            </w:r>
          </w:p>
        </w:tc>
        <w:tc>
          <w:tcPr>
            <w:tcW w:w="1296" w:type="dxa"/>
            <w:tcBorders>
              <w:left w:val="nil"/>
            </w:tcBorders>
            <w:vAlign w:val="center"/>
          </w:tcPr>
          <w:p w14:paraId="013D7B01" w14:textId="77777777" w:rsidR="005B2959" w:rsidRPr="004D52B7" w:rsidRDefault="005B2959" w:rsidP="00CE4B72">
            <w:pPr>
              <w:jc w:val="center"/>
              <w:rPr>
                <w:sz w:val="20"/>
                <w:szCs w:val="20"/>
              </w:rPr>
            </w:pPr>
            <w:r w:rsidRPr="004D52B7">
              <w:rPr>
                <w:sz w:val="20"/>
                <w:szCs w:val="20"/>
              </w:rPr>
              <w:t>35</w:t>
            </w:r>
          </w:p>
        </w:tc>
        <w:tc>
          <w:tcPr>
            <w:tcW w:w="1296" w:type="dxa"/>
            <w:tcBorders>
              <w:right w:val="nil"/>
            </w:tcBorders>
            <w:noWrap/>
            <w:vAlign w:val="center"/>
            <w:hideMark/>
          </w:tcPr>
          <w:p w14:paraId="2EA48FF5" w14:textId="77777777" w:rsidR="005B2959" w:rsidRPr="004D52B7" w:rsidRDefault="005B2959" w:rsidP="00CE4B72">
            <w:pPr>
              <w:jc w:val="center"/>
              <w:rPr>
                <w:sz w:val="20"/>
                <w:szCs w:val="20"/>
              </w:rPr>
            </w:pPr>
            <w:r w:rsidRPr="004D52B7">
              <w:rPr>
                <w:sz w:val="20"/>
                <w:szCs w:val="20"/>
              </w:rPr>
              <w:t>9.2</w:t>
            </w:r>
          </w:p>
        </w:tc>
        <w:tc>
          <w:tcPr>
            <w:tcW w:w="1296" w:type="dxa"/>
            <w:tcBorders>
              <w:left w:val="nil"/>
            </w:tcBorders>
            <w:noWrap/>
            <w:vAlign w:val="center"/>
            <w:hideMark/>
          </w:tcPr>
          <w:p w14:paraId="7A33857D" w14:textId="77777777" w:rsidR="005B2959" w:rsidRPr="004D52B7" w:rsidRDefault="005B2959" w:rsidP="00CE4B72">
            <w:pPr>
              <w:jc w:val="center"/>
              <w:rPr>
                <w:sz w:val="20"/>
                <w:szCs w:val="20"/>
              </w:rPr>
            </w:pPr>
            <w:r w:rsidRPr="004D52B7">
              <w:rPr>
                <w:sz w:val="20"/>
                <w:szCs w:val="20"/>
              </w:rPr>
              <w:t>36</w:t>
            </w:r>
          </w:p>
        </w:tc>
      </w:tr>
      <w:tr w:rsidR="005B2959" w:rsidRPr="000B0493" w14:paraId="29F52809" w14:textId="77777777" w:rsidTr="00CE4B72">
        <w:trPr>
          <w:trHeight w:val="259"/>
        </w:trPr>
        <w:tc>
          <w:tcPr>
            <w:tcW w:w="2250" w:type="dxa"/>
            <w:gridSpan w:val="2"/>
            <w:noWrap/>
            <w:vAlign w:val="center"/>
            <w:hideMark/>
          </w:tcPr>
          <w:p w14:paraId="628BDF3F" w14:textId="77777777" w:rsidR="005B2959" w:rsidRPr="004D52B7" w:rsidRDefault="005B2959" w:rsidP="00CE4B72">
            <w:pPr>
              <w:rPr>
                <w:sz w:val="20"/>
                <w:szCs w:val="20"/>
              </w:rPr>
            </w:pPr>
            <w:r w:rsidRPr="004D52B7">
              <w:rPr>
                <w:sz w:val="20"/>
                <w:szCs w:val="20"/>
              </w:rPr>
              <w:t>Congo, Dem. Rep.</w:t>
            </w:r>
          </w:p>
        </w:tc>
        <w:tc>
          <w:tcPr>
            <w:tcW w:w="1368" w:type="dxa"/>
            <w:tcBorders>
              <w:right w:val="nil"/>
            </w:tcBorders>
            <w:noWrap/>
            <w:vAlign w:val="center"/>
            <w:hideMark/>
          </w:tcPr>
          <w:p w14:paraId="2B00616F" w14:textId="77777777" w:rsidR="005B2959" w:rsidRPr="004D52B7" w:rsidRDefault="005B2959" w:rsidP="00CE4B72">
            <w:pPr>
              <w:jc w:val="center"/>
              <w:rPr>
                <w:sz w:val="20"/>
                <w:szCs w:val="20"/>
              </w:rPr>
            </w:pPr>
            <w:r w:rsidRPr="004D52B7">
              <w:rPr>
                <w:sz w:val="20"/>
                <w:szCs w:val="20"/>
              </w:rPr>
              <w:t>4</w:t>
            </w:r>
          </w:p>
        </w:tc>
        <w:tc>
          <w:tcPr>
            <w:tcW w:w="1026" w:type="dxa"/>
            <w:tcBorders>
              <w:left w:val="nil"/>
            </w:tcBorders>
            <w:vAlign w:val="center"/>
          </w:tcPr>
          <w:p w14:paraId="48A6A83B" w14:textId="77777777" w:rsidR="005B2959" w:rsidRPr="004D52B7" w:rsidRDefault="005B2959" w:rsidP="00CE4B72">
            <w:pPr>
              <w:jc w:val="center"/>
              <w:rPr>
                <w:sz w:val="20"/>
                <w:szCs w:val="20"/>
              </w:rPr>
            </w:pPr>
            <w:r w:rsidRPr="004D52B7">
              <w:rPr>
                <w:sz w:val="20"/>
                <w:szCs w:val="20"/>
              </w:rPr>
              <w:t>14</w:t>
            </w:r>
          </w:p>
        </w:tc>
        <w:tc>
          <w:tcPr>
            <w:tcW w:w="1296" w:type="dxa"/>
            <w:tcBorders>
              <w:right w:val="nil"/>
            </w:tcBorders>
            <w:noWrap/>
            <w:vAlign w:val="center"/>
            <w:hideMark/>
          </w:tcPr>
          <w:p w14:paraId="3C90AF28" w14:textId="77777777" w:rsidR="005B2959" w:rsidRPr="004D52B7" w:rsidRDefault="005B2959" w:rsidP="00CE4B72">
            <w:pPr>
              <w:jc w:val="center"/>
              <w:rPr>
                <w:sz w:val="20"/>
                <w:szCs w:val="20"/>
              </w:rPr>
            </w:pPr>
            <w:r w:rsidRPr="004D52B7">
              <w:rPr>
                <w:sz w:val="20"/>
                <w:szCs w:val="20"/>
              </w:rPr>
              <w:t>8.8</w:t>
            </w:r>
          </w:p>
        </w:tc>
        <w:tc>
          <w:tcPr>
            <w:tcW w:w="1296" w:type="dxa"/>
            <w:tcBorders>
              <w:left w:val="nil"/>
            </w:tcBorders>
            <w:vAlign w:val="center"/>
          </w:tcPr>
          <w:p w14:paraId="159C7590" w14:textId="77777777" w:rsidR="005B2959" w:rsidRPr="004D52B7" w:rsidRDefault="005B2959" w:rsidP="00CE4B72">
            <w:pPr>
              <w:jc w:val="center"/>
              <w:rPr>
                <w:sz w:val="20"/>
                <w:szCs w:val="20"/>
              </w:rPr>
            </w:pPr>
            <w:r w:rsidRPr="004D52B7">
              <w:rPr>
                <w:sz w:val="20"/>
                <w:szCs w:val="20"/>
              </w:rPr>
              <w:t>36</w:t>
            </w:r>
          </w:p>
        </w:tc>
        <w:tc>
          <w:tcPr>
            <w:tcW w:w="1296" w:type="dxa"/>
            <w:tcBorders>
              <w:right w:val="nil"/>
            </w:tcBorders>
            <w:noWrap/>
            <w:vAlign w:val="center"/>
            <w:hideMark/>
          </w:tcPr>
          <w:p w14:paraId="2E56DB99" w14:textId="77777777" w:rsidR="005B2959" w:rsidRPr="004D52B7" w:rsidRDefault="005B2959" w:rsidP="00CE4B72">
            <w:pPr>
              <w:jc w:val="center"/>
              <w:rPr>
                <w:sz w:val="20"/>
                <w:szCs w:val="20"/>
              </w:rPr>
            </w:pPr>
            <w:r w:rsidRPr="004D52B7">
              <w:rPr>
                <w:sz w:val="20"/>
                <w:szCs w:val="20"/>
              </w:rPr>
              <w:t>10.9</w:t>
            </w:r>
          </w:p>
        </w:tc>
        <w:tc>
          <w:tcPr>
            <w:tcW w:w="1296" w:type="dxa"/>
            <w:tcBorders>
              <w:left w:val="nil"/>
            </w:tcBorders>
            <w:noWrap/>
            <w:vAlign w:val="center"/>
            <w:hideMark/>
          </w:tcPr>
          <w:p w14:paraId="55333E98" w14:textId="77777777" w:rsidR="005B2959" w:rsidRPr="004D52B7" w:rsidRDefault="005B2959" w:rsidP="00CE4B72">
            <w:pPr>
              <w:jc w:val="center"/>
              <w:rPr>
                <w:sz w:val="20"/>
                <w:szCs w:val="20"/>
              </w:rPr>
            </w:pPr>
            <w:r w:rsidRPr="004D52B7">
              <w:rPr>
                <w:sz w:val="20"/>
                <w:szCs w:val="20"/>
              </w:rPr>
              <w:t>37</w:t>
            </w:r>
          </w:p>
        </w:tc>
      </w:tr>
      <w:tr w:rsidR="005B2959" w:rsidRPr="000B0493" w14:paraId="4C1BA84E" w14:textId="77777777" w:rsidTr="00CE4B72">
        <w:trPr>
          <w:trHeight w:val="259"/>
        </w:trPr>
        <w:tc>
          <w:tcPr>
            <w:tcW w:w="2250" w:type="dxa"/>
            <w:gridSpan w:val="2"/>
            <w:noWrap/>
            <w:vAlign w:val="center"/>
            <w:hideMark/>
          </w:tcPr>
          <w:p w14:paraId="3D0D9A71" w14:textId="77777777" w:rsidR="005B2959" w:rsidRPr="004D52B7" w:rsidRDefault="005B2959" w:rsidP="00CE4B72">
            <w:pPr>
              <w:rPr>
                <w:sz w:val="20"/>
                <w:szCs w:val="20"/>
              </w:rPr>
            </w:pPr>
            <w:r w:rsidRPr="004D52B7">
              <w:rPr>
                <w:sz w:val="20"/>
                <w:szCs w:val="20"/>
              </w:rPr>
              <w:t>Mauritania</w:t>
            </w:r>
          </w:p>
        </w:tc>
        <w:tc>
          <w:tcPr>
            <w:tcW w:w="1368" w:type="dxa"/>
            <w:tcBorders>
              <w:right w:val="nil"/>
            </w:tcBorders>
            <w:noWrap/>
            <w:vAlign w:val="center"/>
            <w:hideMark/>
          </w:tcPr>
          <w:p w14:paraId="4DEAAB3B" w14:textId="77777777" w:rsidR="005B2959" w:rsidRPr="004D52B7" w:rsidRDefault="005B2959" w:rsidP="00CE4B72">
            <w:pPr>
              <w:jc w:val="center"/>
              <w:rPr>
                <w:sz w:val="20"/>
                <w:szCs w:val="20"/>
              </w:rPr>
            </w:pPr>
            <w:r w:rsidRPr="004D52B7">
              <w:rPr>
                <w:sz w:val="20"/>
                <w:szCs w:val="20"/>
              </w:rPr>
              <w:t>5</w:t>
            </w:r>
          </w:p>
        </w:tc>
        <w:tc>
          <w:tcPr>
            <w:tcW w:w="1026" w:type="dxa"/>
            <w:tcBorders>
              <w:left w:val="nil"/>
            </w:tcBorders>
            <w:vAlign w:val="center"/>
          </w:tcPr>
          <w:p w14:paraId="3EB7C988"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2BBB2ABE" w14:textId="77777777" w:rsidR="005B2959" w:rsidRPr="004D52B7" w:rsidRDefault="005B2959" w:rsidP="00CE4B72">
            <w:pPr>
              <w:jc w:val="center"/>
              <w:rPr>
                <w:sz w:val="20"/>
                <w:szCs w:val="20"/>
              </w:rPr>
            </w:pPr>
            <w:r w:rsidRPr="004D52B7">
              <w:rPr>
                <w:sz w:val="20"/>
                <w:szCs w:val="20"/>
              </w:rPr>
              <w:t>4.5</w:t>
            </w:r>
          </w:p>
        </w:tc>
        <w:tc>
          <w:tcPr>
            <w:tcW w:w="1296" w:type="dxa"/>
            <w:tcBorders>
              <w:left w:val="nil"/>
            </w:tcBorders>
            <w:vAlign w:val="center"/>
          </w:tcPr>
          <w:p w14:paraId="466387AD" w14:textId="77777777" w:rsidR="005B2959" w:rsidRPr="004D52B7" w:rsidRDefault="005B2959" w:rsidP="00CE4B72">
            <w:pPr>
              <w:jc w:val="center"/>
              <w:rPr>
                <w:sz w:val="20"/>
                <w:szCs w:val="20"/>
              </w:rPr>
            </w:pPr>
            <w:r w:rsidRPr="004D52B7">
              <w:rPr>
                <w:sz w:val="20"/>
                <w:szCs w:val="20"/>
              </w:rPr>
              <w:t>7</w:t>
            </w:r>
          </w:p>
        </w:tc>
        <w:tc>
          <w:tcPr>
            <w:tcW w:w="1296" w:type="dxa"/>
            <w:tcBorders>
              <w:right w:val="nil"/>
            </w:tcBorders>
            <w:noWrap/>
            <w:vAlign w:val="center"/>
            <w:hideMark/>
          </w:tcPr>
          <w:p w14:paraId="7358CAB7" w14:textId="77777777" w:rsidR="005B2959" w:rsidRPr="004D52B7" w:rsidRDefault="005B2959" w:rsidP="00CE4B72">
            <w:pPr>
              <w:jc w:val="center"/>
              <w:rPr>
                <w:sz w:val="20"/>
                <w:szCs w:val="20"/>
              </w:rPr>
            </w:pPr>
            <w:r w:rsidRPr="004D52B7">
              <w:rPr>
                <w:sz w:val="20"/>
                <w:szCs w:val="20"/>
              </w:rPr>
              <w:t>5.0</w:t>
            </w:r>
          </w:p>
        </w:tc>
        <w:tc>
          <w:tcPr>
            <w:tcW w:w="1296" w:type="dxa"/>
            <w:tcBorders>
              <w:left w:val="nil"/>
            </w:tcBorders>
            <w:noWrap/>
            <w:vAlign w:val="center"/>
            <w:hideMark/>
          </w:tcPr>
          <w:p w14:paraId="3065CAA3" w14:textId="77777777" w:rsidR="005B2959" w:rsidRPr="004D52B7" w:rsidRDefault="005B2959" w:rsidP="00CE4B72">
            <w:pPr>
              <w:jc w:val="center"/>
              <w:rPr>
                <w:sz w:val="20"/>
                <w:szCs w:val="20"/>
              </w:rPr>
            </w:pPr>
            <w:r w:rsidRPr="004D52B7">
              <w:rPr>
                <w:sz w:val="20"/>
                <w:szCs w:val="20"/>
              </w:rPr>
              <w:t>7</w:t>
            </w:r>
          </w:p>
        </w:tc>
      </w:tr>
      <w:tr w:rsidR="005B2959" w:rsidRPr="000B0493" w14:paraId="2650EC41" w14:textId="77777777" w:rsidTr="00CE4B72">
        <w:trPr>
          <w:trHeight w:val="259"/>
        </w:trPr>
        <w:tc>
          <w:tcPr>
            <w:tcW w:w="2250" w:type="dxa"/>
            <w:gridSpan w:val="2"/>
            <w:noWrap/>
            <w:vAlign w:val="center"/>
            <w:hideMark/>
          </w:tcPr>
          <w:p w14:paraId="5C14910D" w14:textId="77777777" w:rsidR="005B2959" w:rsidRPr="004D52B7" w:rsidRDefault="005B2959" w:rsidP="00CE4B72">
            <w:pPr>
              <w:rPr>
                <w:sz w:val="20"/>
                <w:szCs w:val="20"/>
              </w:rPr>
            </w:pPr>
            <w:r w:rsidRPr="004D52B7">
              <w:rPr>
                <w:sz w:val="20"/>
                <w:szCs w:val="20"/>
              </w:rPr>
              <w:t>Eritrea</w:t>
            </w:r>
          </w:p>
        </w:tc>
        <w:tc>
          <w:tcPr>
            <w:tcW w:w="1368" w:type="dxa"/>
            <w:tcBorders>
              <w:right w:val="nil"/>
            </w:tcBorders>
            <w:noWrap/>
            <w:vAlign w:val="center"/>
            <w:hideMark/>
          </w:tcPr>
          <w:p w14:paraId="1C0D7BF6" w14:textId="77777777" w:rsidR="005B2959" w:rsidRPr="004D52B7" w:rsidRDefault="005B2959" w:rsidP="00CE4B72">
            <w:pPr>
              <w:jc w:val="center"/>
              <w:rPr>
                <w:sz w:val="20"/>
                <w:szCs w:val="20"/>
              </w:rPr>
            </w:pPr>
            <w:r w:rsidRPr="004D52B7">
              <w:rPr>
                <w:sz w:val="20"/>
                <w:szCs w:val="20"/>
              </w:rPr>
              <w:t>5</w:t>
            </w:r>
          </w:p>
        </w:tc>
        <w:tc>
          <w:tcPr>
            <w:tcW w:w="1026" w:type="dxa"/>
            <w:tcBorders>
              <w:left w:val="nil"/>
            </w:tcBorders>
            <w:vAlign w:val="center"/>
          </w:tcPr>
          <w:p w14:paraId="4C5956D8"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1A658B71" w14:textId="77777777" w:rsidR="005B2959" w:rsidRPr="004D52B7" w:rsidRDefault="005B2959" w:rsidP="00CE4B72">
            <w:pPr>
              <w:jc w:val="center"/>
              <w:rPr>
                <w:sz w:val="20"/>
                <w:szCs w:val="20"/>
              </w:rPr>
            </w:pPr>
            <w:r w:rsidRPr="004D52B7">
              <w:rPr>
                <w:sz w:val="20"/>
                <w:szCs w:val="20"/>
              </w:rPr>
              <w:t>5.4</w:t>
            </w:r>
          </w:p>
        </w:tc>
        <w:tc>
          <w:tcPr>
            <w:tcW w:w="1296" w:type="dxa"/>
            <w:tcBorders>
              <w:left w:val="nil"/>
            </w:tcBorders>
            <w:vAlign w:val="center"/>
          </w:tcPr>
          <w:p w14:paraId="44A321E7" w14:textId="77777777" w:rsidR="005B2959" w:rsidRPr="004D52B7" w:rsidRDefault="005B2959" w:rsidP="00CE4B72">
            <w:pPr>
              <w:jc w:val="center"/>
              <w:rPr>
                <w:sz w:val="20"/>
                <w:szCs w:val="20"/>
              </w:rPr>
            </w:pPr>
            <w:r w:rsidRPr="004D52B7">
              <w:rPr>
                <w:sz w:val="20"/>
                <w:szCs w:val="20"/>
              </w:rPr>
              <w:t>16</w:t>
            </w:r>
          </w:p>
        </w:tc>
        <w:tc>
          <w:tcPr>
            <w:tcW w:w="1296" w:type="dxa"/>
            <w:tcBorders>
              <w:right w:val="nil"/>
            </w:tcBorders>
            <w:noWrap/>
            <w:vAlign w:val="center"/>
            <w:hideMark/>
          </w:tcPr>
          <w:p w14:paraId="41586912" w14:textId="77777777" w:rsidR="005B2959" w:rsidRPr="004D52B7" w:rsidRDefault="005B2959" w:rsidP="00CE4B72">
            <w:pPr>
              <w:jc w:val="center"/>
              <w:rPr>
                <w:sz w:val="20"/>
                <w:szCs w:val="20"/>
              </w:rPr>
            </w:pPr>
            <w:r w:rsidRPr="004D52B7">
              <w:rPr>
                <w:sz w:val="20"/>
                <w:szCs w:val="20"/>
              </w:rPr>
              <w:t>6.0</w:t>
            </w:r>
          </w:p>
        </w:tc>
        <w:tc>
          <w:tcPr>
            <w:tcW w:w="1296" w:type="dxa"/>
            <w:tcBorders>
              <w:left w:val="nil"/>
            </w:tcBorders>
            <w:noWrap/>
            <w:vAlign w:val="center"/>
            <w:hideMark/>
          </w:tcPr>
          <w:p w14:paraId="77C39C52" w14:textId="77777777" w:rsidR="005B2959" w:rsidRPr="004D52B7" w:rsidRDefault="005B2959" w:rsidP="00CE4B72">
            <w:pPr>
              <w:jc w:val="center"/>
              <w:rPr>
                <w:sz w:val="20"/>
                <w:szCs w:val="20"/>
              </w:rPr>
            </w:pPr>
            <w:r w:rsidRPr="004D52B7">
              <w:rPr>
                <w:sz w:val="20"/>
                <w:szCs w:val="20"/>
              </w:rPr>
              <w:t>15</w:t>
            </w:r>
          </w:p>
        </w:tc>
      </w:tr>
      <w:tr w:rsidR="005B2959" w:rsidRPr="000B0493" w14:paraId="09B4C460" w14:textId="77777777" w:rsidTr="00CE4B72">
        <w:trPr>
          <w:trHeight w:val="259"/>
        </w:trPr>
        <w:tc>
          <w:tcPr>
            <w:tcW w:w="2250" w:type="dxa"/>
            <w:gridSpan w:val="2"/>
            <w:noWrap/>
            <w:vAlign w:val="center"/>
            <w:hideMark/>
          </w:tcPr>
          <w:p w14:paraId="098433D6" w14:textId="77777777" w:rsidR="005B2959" w:rsidRPr="004D52B7" w:rsidRDefault="005B2959" w:rsidP="00CE4B72">
            <w:pPr>
              <w:rPr>
                <w:sz w:val="20"/>
                <w:szCs w:val="20"/>
              </w:rPr>
            </w:pPr>
            <w:r w:rsidRPr="004D52B7">
              <w:rPr>
                <w:sz w:val="20"/>
                <w:szCs w:val="20"/>
              </w:rPr>
              <w:t>Niger</w:t>
            </w:r>
          </w:p>
        </w:tc>
        <w:tc>
          <w:tcPr>
            <w:tcW w:w="1368" w:type="dxa"/>
            <w:tcBorders>
              <w:right w:val="nil"/>
            </w:tcBorders>
            <w:noWrap/>
            <w:vAlign w:val="center"/>
            <w:hideMark/>
          </w:tcPr>
          <w:p w14:paraId="2FC55164" w14:textId="77777777" w:rsidR="005B2959" w:rsidRPr="004D52B7" w:rsidRDefault="005B2959" w:rsidP="00CE4B72">
            <w:pPr>
              <w:jc w:val="center"/>
              <w:rPr>
                <w:sz w:val="20"/>
                <w:szCs w:val="20"/>
              </w:rPr>
            </w:pPr>
            <w:r w:rsidRPr="004D52B7">
              <w:rPr>
                <w:sz w:val="20"/>
                <w:szCs w:val="20"/>
              </w:rPr>
              <w:t>5</w:t>
            </w:r>
          </w:p>
        </w:tc>
        <w:tc>
          <w:tcPr>
            <w:tcW w:w="1026" w:type="dxa"/>
            <w:tcBorders>
              <w:left w:val="nil"/>
            </w:tcBorders>
            <w:vAlign w:val="center"/>
          </w:tcPr>
          <w:p w14:paraId="3FD02918"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2FC5474D" w14:textId="77777777" w:rsidR="005B2959" w:rsidRPr="004D52B7" w:rsidRDefault="005B2959" w:rsidP="00CE4B72">
            <w:pPr>
              <w:jc w:val="center"/>
              <w:rPr>
                <w:sz w:val="20"/>
                <w:szCs w:val="20"/>
              </w:rPr>
            </w:pPr>
            <w:r w:rsidRPr="004D52B7">
              <w:rPr>
                <w:sz w:val="20"/>
                <w:szCs w:val="20"/>
              </w:rPr>
              <w:t>6.4</w:t>
            </w:r>
          </w:p>
        </w:tc>
        <w:tc>
          <w:tcPr>
            <w:tcW w:w="1296" w:type="dxa"/>
            <w:tcBorders>
              <w:left w:val="nil"/>
            </w:tcBorders>
            <w:vAlign w:val="center"/>
          </w:tcPr>
          <w:p w14:paraId="3E4D16AF" w14:textId="77777777" w:rsidR="005B2959" w:rsidRPr="004D52B7" w:rsidRDefault="005B2959" w:rsidP="00CE4B72">
            <w:pPr>
              <w:jc w:val="center"/>
              <w:rPr>
                <w:sz w:val="20"/>
                <w:szCs w:val="20"/>
              </w:rPr>
            </w:pPr>
            <w:r w:rsidRPr="004D52B7">
              <w:rPr>
                <w:sz w:val="20"/>
                <w:szCs w:val="20"/>
              </w:rPr>
              <w:t>23</w:t>
            </w:r>
          </w:p>
        </w:tc>
        <w:tc>
          <w:tcPr>
            <w:tcW w:w="1296" w:type="dxa"/>
            <w:tcBorders>
              <w:right w:val="nil"/>
            </w:tcBorders>
            <w:noWrap/>
            <w:vAlign w:val="center"/>
            <w:hideMark/>
          </w:tcPr>
          <w:p w14:paraId="2E6C1CE1" w14:textId="77777777" w:rsidR="005B2959" w:rsidRPr="004D52B7" w:rsidRDefault="005B2959" w:rsidP="00CE4B72">
            <w:pPr>
              <w:jc w:val="center"/>
              <w:rPr>
                <w:sz w:val="20"/>
                <w:szCs w:val="20"/>
              </w:rPr>
            </w:pPr>
            <w:r w:rsidRPr="004D52B7">
              <w:rPr>
                <w:sz w:val="20"/>
                <w:szCs w:val="20"/>
              </w:rPr>
              <w:t>6.9</w:t>
            </w:r>
          </w:p>
        </w:tc>
        <w:tc>
          <w:tcPr>
            <w:tcW w:w="1296" w:type="dxa"/>
            <w:tcBorders>
              <w:left w:val="nil"/>
            </w:tcBorders>
            <w:noWrap/>
            <w:vAlign w:val="center"/>
            <w:hideMark/>
          </w:tcPr>
          <w:p w14:paraId="049CAD66" w14:textId="77777777" w:rsidR="005B2959" w:rsidRPr="004D52B7" w:rsidRDefault="005B2959" w:rsidP="00CE4B72">
            <w:pPr>
              <w:jc w:val="center"/>
              <w:rPr>
                <w:sz w:val="20"/>
                <w:szCs w:val="20"/>
              </w:rPr>
            </w:pPr>
            <w:r w:rsidRPr="004D52B7">
              <w:rPr>
                <w:sz w:val="20"/>
                <w:szCs w:val="20"/>
              </w:rPr>
              <w:t>22</w:t>
            </w:r>
          </w:p>
        </w:tc>
      </w:tr>
      <w:tr w:rsidR="005B2959" w:rsidRPr="000B0493" w14:paraId="061E3F42" w14:textId="77777777" w:rsidTr="00CE4B72">
        <w:trPr>
          <w:trHeight w:val="259"/>
        </w:trPr>
        <w:tc>
          <w:tcPr>
            <w:tcW w:w="2250" w:type="dxa"/>
            <w:gridSpan w:val="2"/>
            <w:noWrap/>
            <w:vAlign w:val="center"/>
            <w:hideMark/>
          </w:tcPr>
          <w:p w14:paraId="76DE51B1" w14:textId="77777777" w:rsidR="005B2959" w:rsidRPr="004D52B7" w:rsidRDefault="005B2959" w:rsidP="00CE4B72">
            <w:pPr>
              <w:rPr>
                <w:sz w:val="20"/>
                <w:szCs w:val="20"/>
              </w:rPr>
            </w:pPr>
            <w:r w:rsidRPr="004D52B7">
              <w:rPr>
                <w:sz w:val="20"/>
                <w:szCs w:val="20"/>
              </w:rPr>
              <w:t>Gambia, The</w:t>
            </w:r>
          </w:p>
        </w:tc>
        <w:tc>
          <w:tcPr>
            <w:tcW w:w="1368" w:type="dxa"/>
            <w:tcBorders>
              <w:right w:val="nil"/>
            </w:tcBorders>
            <w:noWrap/>
            <w:vAlign w:val="center"/>
            <w:hideMark/>
          </w:tcPr>
          <w:p w14:paraId="49F0E3B1" w14:textId="77777777" w:rsidR="005B2959" w:rsidRPr="004D52B7" w:rsidRDefault="005B2959" w:rsidP="00CE4B72">
            <w:pPr>
              <w:jc w:val="center"/>
              <w:rPr>
                <w:sz w:val="20"/>
                <w:szCs w:val="20"/>
              </w:rPr>
            </w:pPr>
            <w:r w:rsidRPr="004D52B7">
              <w:rPr>
                <w:sz w:val="20"/>
                <w:szCs w:val="20"/>
              </w:rPr>
              <w:t>5</w:t>
            </w:r>
          </w:p>
        </w:tc>
        <w:tc>
          <w:tcPr>
            <w:tcW w:w="1026" w:type="dxa"/>
            <w:tcBorders>
              <w:left w:val="nil"/>
            </w:tcBorders>
            <w:vAlign w:val="center"/>
          </w:tcPr>
          <w:p w14:paraId="395BE8D3"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15FFB33B" w14:textId="77777777" w:rsidR="005B2959" w:rsidRPr="004D52B7" w:rsidRDefault="005B2959" w:rsidP="00CE4B72">
            <w:pPr>
              <w:jc w:val="center"/>
              <w:rPr>
                <w:sz w:val="20"/>
                <w:szCs w:val="20"/>
              </w:rPr>
            </w:pPr>
            <w:r w:rsidRPr="004D52B7">
              <w:rPr>
                <w:sz w:val="20"/>
                <w:szCs w:val="20"/>
              </w:rPr>
              <w:t>6.7</w:t>
            </w:r>
          </w:p>
        </w:tc>
        <w:tc>
          <w:tcPr>
            <w:tcW w:w="1296" w:type="dxa"/>
            <w:tcBorders>
              <w:left w:val="nil"/>
            </w:tcBorders>
            <w:vAlign w:val="center"/>
          </w:tcPr>
          <w:p w14:paraId="0D8BAA57" w14:textId="77777777" w:rsidR="005B2959" w:rsidRPr="004D52B7" w:rsidRDefault="005B2959" w:rsidP="00CE4B72">
            <w:pPr>
              <w:jc w:val="center"/>
              <w:rPr>
                <w:sz w:val="20"/>
                <w:szCs w:val="20"/>
              </w:rPr>
            </w:pPr>
            <w:r w:rsidRPr="004D52B7">
              <w:rPr>
                <w:sz w:val="20"/>
                <w:szCs w:val="20"/>
              </w:rPr>
              <w:t>28</w:t>
            </w:r>
          </w:p>
        </w:tc>
        <w:tc>
          <w:tcPr>
            <w:tcW w:w="1296" w:type="dxa"/>
            <w:tcBorders>
              <w:right w:val="nil"/>
            </w:tcBorders>
            <w:noWrap/>
            <w:vAlign w:val="center"/>
            <w:hideMark/>
          </w:tcPr>
          <w:p w14:paraId="42127F28" w14:textId="77777777" w:rsidR="005B2959" w:rsidRPr="004D52B7" w:rsidRDefault="005B2959" w:rsidP="00CE4B72">
            <w:pPr>
              <w:jc w:val="center"/>
              <w:rPr>
                <w:sz w:val="20"/>
                <w:szCs w:val="20"/>
              </w:rPr>
            </w:pPr>
            <w:r w:rsidRPr="004D52B7">
              <w:rPr>
                <w:sz w:val="20"/>
                <w:szCs w:val="20"/>
              </w:rPr>
              <w:t>7.2</w:t>
            </w:r>
          </w:p>
        </w:tc>
        <w:tc>
          <w:tcPr>
            <w:tcW w:w="1296" w:type="dxa"/>
            <w:tcBorders>
              <w:left w:val="nil"/>
            </w:tcBorders>
            <w:noWrap/>
            <w:vAlign w:val="center"/>
            <w:hideMark/>
          </w:tcPr>
          <w:p w14:paraId="5AA4FA2C" w14:textId="77777777" w:rsidR="005B2959" w:rsidRPr="004D52B7" w:rsidRDefault="005B2959" w:rsidP="00CE4B72">
            <w:pPr>
              <w:jc w:val="center"/>
              <w:rPr>
                <w:sz w:val="20"/>
                <w:szCs w:val="20"/>
              </w:rPr>
            </w:pPr>
            <w:r w:rsidRPr="004D52B7">
              <w:rPr>
                <w:sz w:val="20"/>
                <w:szCs w:val="20"/>
              </w:rPr>
              <w:t>28</w:t>
            </w:r>
          </w:p>
        </w:tc>
      </w:tr>
      <w:tr w:rsidR="005B2959" w:rsidRPr="000B0493" w14:paraId="2A2689D4" w14:textId="77777777" w:rsidTr="00CE4B72">
        <w:trPr>
          <w:trHeight w:val="259"/>
        </w:trPr>
        <w:tc>
          <w:tcPr>
            <w:tcW w:w="2250" w:type="dxa"/>
            <w:gridSpan w:val="2"/>
            <w:noWrap/>
            <w:vAlign w:val="center"/>
            <w:hideMark/>
          </w:tcPr>
          <w:p w14:paraId="516D6F36" w14:textId="77777777" w:rsidR="005B2959" w:rsidRPr="004D52B7" w:rsidRDefault="005B2959" w:rsidP="00CE4B72">
            <w:pPr>
              <w:rPr>
                <w:sz w:val="20"/>
                <w:szCs w:val="20"/>
              </w:rPr>
            </w:pPr>
            <w:r w:rsidRPr="004D52B7">
              <w:rPr>
                <w:sz w:val="20"/>
                <w:szCs w:val="20"/>
              </w:rPr>
              <w:t>Sierra Leone</w:t>
            </w:r>
          </w:p>
        </w:tc>
        <w:tc>
          <w:tcPr>
            <w:tcW w:w="1368" w:type="dxa"/>
            <w:tcBorders>
              <w:right w:val="nil"/>
            </w:tcBorders>
            <w:noWrap/>
            <w:vAlign w:val="center"/>
            <w:hideMark/>
          </w:tcPr>
          <w:p w14:paraId="6E505935" w14:textId="77777777" w:rsidR="005B2959" w:rsidRPr="004D52B7" w:rsidRDefault="005B2959" w:rsidP="00CE4B72">
            <w:pPr>
              <w:jc w:val="center"/>
              <w:rPr>
                <w:sz w:val="20"/>
                <w:szCs w:val="20"/>
              </w:rPr>
            </w:pPr>
            <w:r w:rsidRPr="004D52B7">
              <w:rPr>
                <w:sz w:val="20"/>
                <w:szCs w:val="20"/>
              </w:rPr>
              <w:t>5</w:t>
            </w:r>
          </w:p>
        </w:tc>
        <w:tc>
          <w:tcPr>
            <w:tcW w:w="1026" w:type="dxa"/>
            <w:tcBorders>
              <w:left w:val="nil"/>
            </w:tcBorders>
            <w:vAlign w:val="center"/>
          </w:tcPr>
          <w:p w14:paraId="1B7B4A5B"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63E04186" w14:textId="77777777" w:rsidR="005B2959" w:rsidRPr="004D52B7" w:rsidRDefault="005B2959" w:rsidP="00CE4B72">
            <w:pPr>
              <w:jc w:val="center"/>
              <w:rPr>
                <w:sz w:val="20"/>
                <w:szCs w:val="20"/>
              </w:rPr>
            </w:pPr>
            <w:r w:rsidRPr="004D52B7">
              <w:rPr>
                <w:sz w:val="20"/>
                <w:szCs w:val="20"/>
              </w:rPr>
              <w:t>7.0</w:t>
            </w:r>
          </w:p>
        </w:tc>
        <w:tc>
          <w:tcPr>
            <w:tcW w:w="1296" w:type="dxa"/>
            <w:tcBorders>
              <w:left w:val="nil"/>
            </w:tcBorders>
            <w:vAlign w:val="center"/>
          </w:tcPr>
          <w:p w14:paraId="2D3EA1EC" w14:textId="77777777" w:rsidR="005B2959" w:rsidRPr="004D52B7" w:rsidRDefault="005B2959" w:rsidP="00CE4B72">
            <w:pPr>
              <w:jc w:val="center"/>
              <w:rPr>
                <w:sz w:val="20"/>
                <w:szCs w:val="20"/>
              </w:rPr>
            </w:pPr>
            <w:r w:rsidRPr="004D52B7">
              <w:rPr>
                <w:sz w:val="20"/>
                <w:szCs w:val="20"/>
              </w:rPr>
              <w:t>30</w:t>
            </w:r>
          </w:p>
        </w:tc>
        <w:tc>
          <w:tcPr>
            <w:tcW w:w="1296" w:type="dxa"/>
            <w:tcBorders>
              <w:right w:val="nil"/>
            </w:tcBorders>
            <w:noWrap/>
            <w:vAlign w:val="center"/>
            <w:hideMark/>
          </w:tcPr>
          <w:p w14:paraId="56D6B852" w14:textId="77777777" w:rsidR="005B2959" w:rsidRPr="004D52B7" w:rsidRDefault="005B2959" w:rsidP="00CE4B72">
            <w:pPr>
              <w:jc w:val="center"/>
              <w:rPr>
                <w:sz w:val="20"/>
                <w:szCs w:val="20"/>
              </w:rPr>
            </w:pPr>
            <w:r w:rsidRPr="004D52B7">
              <w:rPr>
                <w:sz w:val="20"/>
                <w:szCs w:val="20"/>
              </w:rPr>
              <w:t>7.3</w:t>
            </w:r>
          </w:p>
        </w:tc>
        <w:tc>
          <w:tcPr>
            <w:tcW w:w="1296" w:type="dxa"/>
            <w:tcBorders>
              <w:left w:val="nil"/>
            </w:tcBorders>
            <w:noWrap/>
            <w:vAlign w:val="center"/>
            <w:hideMark/>
          </w:tcPr>
          <w:p w14:paraId="0669F69D" w14:textId="77777777" w:rsidR="005B2959" w:rsidRPr="004D52B7" w:rsidRDefault="005B2959" w:rsidP="00CE4B72">
            <w:pPr>
              <w:jc w:val="center"/>
              <w:rPr>
                <w:sz w:val="20"/>
                <w:szCs w:val="20"/>
              </w:rPr>
            </w:pPr>
            <w:r w:rsidRPr="004D52B7">
              <w:rPr>
                <w:sz w:val="20"/>
                <w:szCs w:val="20"/>
              </w:rPr>
              <w:t>30</w:t>
            </w:r>
          </w:p>
        </w:tc>
      </w:tr>
      <w:tr w:rsidR="005B2959" w:rsidRPr="000B0493" w14:paraId="3C6A4670" w14:textId="77777777" w:rsidTr="00CE4B72">
        <w:trPr>
          <w:trHeight w:val="259"/>
        </w:trPr>
        <w:tc>
          <w:tcPr>
            <w:tcW w:w="2250" w:type="dxa"/>
            <w:gridSpan w:val="2"/>
            <w:noWrap/>
            <w:vAlign w:val="center"/>
            <w:hideMark/>
          </w:tcPr>
          <w:p w14:paraId="2382449D" w14:textId="77777777" w:rsidR="005B2959" w:rsidRPr="004D52B7" w:rsidRDefault="005B2959" w:rsidP="00CE4B72">
            <w:pPr>
              <w:rPr>
                <w:sz w:val="20"/>
                <w:szCs w:val="20"/>
              </w:rPr>
            </w:pPr>
            <w:r w:rsidRPr="004D52B7">
              <w:rPr>
                <w:sz w:val="20"/>
                <w:szCs w:val="20"/>
              </w:rPr>
              <w:t>Central African Republic</w:t>
            </w:r>
          </w:p>
        </w:tc>
        <w:tc>
          <w:tcPr>
            <w:tcW w:w="1368" w:type="dxa"/>
            <w:tcBorders>
              <w:right w:val="nil"/>
            </w:tcBorders>
            <w:noWrap/>
            <w:vAlign w:val="center"/>
            <w:hideMark/>
          </w:tcPr>
          <w:p w14:paraId="578EF029" w14:textId="77777777" w:rsidR="005B2959" w:rsidRPr="004D52B7" w:rsidRDefault="005B2959" w:rsidP="00CE4B72">
            <w:pPr>
              <w:jc w:val="center"/>
              <w:rPr>
                <w:sz w:val="20"/>
                <w:szCs w:val="20"/>
              </w:rPr>
            </w:pPr>
            <w:r w:rsidRPr="004D52B7">
              <w:rPr>
                <w:sz w:val="20"/>
                <w:szCs w:val="20"/>
              </w:rPr>
              <w:t>5</w:t>
            </w:r>
          </w:p>
        </w:tc>
        <w:tc>
          <w:tcPr>
            <w:tcW w:w="1026" w:type="dxa"/>
            <w:tcBorders>
              <w:left w:val="nil"/>
            </w:tcBorders>
            <w:vAlign w:val="center"/>
          </w:tcPr>
          <w:p w14:paraId="21A0266B"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17EEA254" w14:textId="77777777" w:rsidR="005B2959" w:rsidRPr="004D52B7" w:rsidRDefault="005B2959" w:rsidP="00CE4B72">
            <w:pPr>
              <w:jc w:val="center"/>
              <w:rPr>
                <w:sz w:val="20"/>
                <w:szCs w:val="20"/>
              </w:rPr>
            </w:pPr>
            <w:r w:rsidRPr="004D52B7">
              <w:rPr>
                <w:sz w:val="20"/>
                <w:szCs w:val="20"/>
              </w:rPr>
              <w:t>7.1</w:t>
            </w:r>
          </w:p>
        </w:tc>
        <w:tc>
          <w:tcPr>
            <w:tcW w:w="1296" w:type="dxa"/>
            <w:tcBorders>
              <w:left w:val="nil"/>
            </w:tcBorders>
            <w:vAlign w:val="center"/>
          </w:tcPr>
          <w:p w14:paraId="38D6209F" w14:textId="77777777" w:rsidR="005B2959" w:rsidRPr="004D52B7" w:rsidRDefault="005B2959" w:rsidP="00CE4B72">
            <w:pPr>
              <w:jc w:val="center"/>
              <w:rPr>
                <w:sz w:val="20"/>
                <w:szCs w:val="20"/>
              </w:rPr>
            </w:pPr>
            <w:r w:rsidRPr="004D52B7">
              <w:rPr>
                <w:sz w:val="20"/>
                <w:szCs w:val="20"/>
              </w:rPr>
              <w:t>31</w:t>
            </w:r>
          </w:p>
        </w:tc>
        <w:tc>
          <w:tcPr>
            <w:tcW w:w="1296" w:type="dxa"/>
            <w:tcBorders>
              <w:right w:val="nil"/>
            </w:tcBorders>
            <w:noWrap/>
            <w:vAlign w:val="center"/>
            <w:hideMark/>
          </w:tcPr>
          <w:p w14:paraId="09AE3EC5" w14:textId="77777777" w:rsidR="005B2959" w:rsidRPr="004D52B7" w:rsidRDefault="005B2959" w:rsidP="00CE4B72">
            <w:pPr>
              <w:jc w:val="center"/>
              <w:rPr>
                <w:sz w:val="20"/>
                <w:szCs w:val="20"/>
              </w:rPr>
            </w:pPr>
            <w:r w:rsidRPr="004D52B7">
              <w:rPr>
                <w:sz w:val="20"/>
                <w:szCs w:val="20"/>
              </w:rPr>
              <w:t>7.3</w:t>
            </w:r>
          </w:p>
        </w:tc>
        <w:tc>
          <w:tcPr>
            <w:tcW w:w="1296" w:type="dxa"/>
            <w:tcBorders>
              <w:left w:val="nil"/>
            </w:tcBorders>
            <w:noWrap/>
            <w:vAlign w:val="center"/>
            <w:hideMark/>
          </w:tcPr>
          <w:p w14:paraId="7CAAB838" w14:textId="77777777" w:rsidR="005B2959" w:rsidRPr="004D52B7" w:rsidRDefault="005B2959" w:rsidP="00CE4B72">
            <w:pPr>
              <w:jc w:val="center"/>
              <w:rPr>
                <w:sz w:val="20"/>
                <w:szCs w:val="20"/>
              </w:rPr>
            </w:pPr>
            <w:r w:rsidRPr="004D52B7">
              <w:rPr>
                <w:sz w:val="20"/>
                <w:szCs w:val="20"/>
              </w:rPr>
              <w:t>31</w:t>
            </w:r>
          </w:p>
        </w:tc>
      </w:tr>
      <w:tr w:rsidR="005B2959" w:rsidRPr="000B0493" w14:paraId="7233FA13" w14:textId="77777777" w:rsidTr="00CE4B72">
        <w:trPr>
          <w:trHeight w:val="259"/>
        </w:trPr>
        <w:tc>
          <w:tcPr>
            <w:tcW w:w="2250" w:type="dxa"/>
            <w:gridSpan w:val="2"/>
            <w:noWrap/>
            <w:vAlign w:val="center"/>
            <w:hideMark/>
          </w:tcPr>
          <w:p w14:paraId="541D0789" w14:textId="77777777" w:rsidR="005B2959" w:rsidRPr="004D52B7" w:rsidRDefault="005B2959" w:rsidP="00CE4B72">
            <w:pPr>
              <w:rPr>
                <w:sz w:val="20"/>
                <w:szCs w:val="20"/>
              </w:rPr>
            </w:pPr>
            <w:r w:rsidRPr="004D52B7">
              <w:rPr>
                <w:sz w:val="20"/>
                <w:szCs w:val="20"/>
              </w:rPr>
              <w:t>Liberia</w:t>
            </w:r>
          </w:p>
        </w:tc>
        <w:tc>
          <w:tcPr>
            <w:tcW w:w="1368" w:type="dxa"/>
            <w:tcBorders>
              <w:right w:val="nil"/>
            </w:tcBorders>
            <w:noWrap/>
            <w:vAlign w:val="center"/>
            <w:hideMark/>
          </w:tcPr>
          <w:p w14:paraId="78B6EC3B" w14:textId="77777777" w:rsidR="005B2959" w:rsidRPr="004D52B7" w:rsidRDefault="005B2959" w:rsidP="00CE4B72">
            <w:pPr>
              <w:jc w:val="center"/>
              <w:rPr>
                <w:sz w:val="20"/>
                <w:szCs w:val="20"/>
              </w:rPr>
            </w:pPr>
            <w:r w:rsidRPr="004D52B7">
              <w:rPr>
                <w:sz w:val="20"/>
                <w:szCs w:val="20"/>
              </w:rPr>
              <w:t>6</w:t>
            </w:r>
          </w:p>
        </w:tc>
        <w:tc>
          <w:tcPr>
            <w:tcW w:w="1026" w:type="dxa"/>
            <w:tcBorders>
              <w:left w:val="nil"/>
            </w:tcBorders>
            <w:vAlign w:val="center"/>
          </w:tcPr>
          <w:p w14:paraId="1C918EFE" w14:textId="77777777" w:rsidR="005B2959" w:rsidRPr="004D52B7" w:rsidRDefault="005B2959" w:rsidP="00CE4B72">
            <w:pPr>
              <w:jc w:val="center"/>
              <w:rPr>
                <w:sz w:val="20"/>
                <w:szCs w:val="20"/>
              </w:rPr>
            </w:pPr>
            <w:r w:rsidRPr="004D52B7">
              <w:rPr>
                <w:sz w:val="20"/>
                <w:szCs w:val="20"/>
              </w:rPr>
              <w:t>33</w:t>
            </w:r>
          </w:p>
        </w:tc>
        <w:tc>
          <w:tcPr>
            <w:tcW w:w="1296" w:type="dxa"/>
            <w:tcBorders>
              <w:right w:val="nil"/>
            </w:tcBorders>
            <w:noWrap/>
            <w:vAlign w:val="center"/>
            <w:hideMark/>
          </w:tcPr>
          <w:p w14:paraId="17276DFC" w14:textId="77777777" w:rsidR="005B2959" w:rsidRPr="004D52B7" w:rsidRDefault="005B2959" w:rsidP="00CE4B72">
            <w:pPr>
              <w:jc w:val="center"/>
              <w:rPr>
                <w:sz w:val="20"/>
                <w:szCs w:val="20"/>
              </w:rPr>
            </w:pPr>
            <w:r w:rsidRPr="004D52B7">
              <w:rPr>
                <w:sz w:val="20"/>
                <w:szCs w:val="20"/>
              </w:rPr>
              <w:t>6.2</w:t>
            </w:r>
          </w:p>
        </w:tc>
        <w:tc>
          <w:tcPr>
            <w:tcW w:w="1296" w:type="dxa"/>
            <w:tcBorders>
              <w:left w:val="nil"/>
            </w:tcBorders>
            <w:vAlign w:val="center"/>
          </w:tcPr>
          <w:p w14:paraId="5EB30981" w14:textId="77777777" w:rsidR="005B2959" w:rsidRPr="004D52B7" w:rsidRDefault="005B2959" w:rsidP="00CE4B72">
            <w:pPr>
              <w:jc w:val="center"/>
              <w:rPr>
                <w:sz w:val="20"/>
                <w:szCs w:val="20"/>
              </w:rPr>
            </w:pPr>
            <w:r w:rsidRPr="004D52B7">
              <w:rPr>
                <w:sz w:val="20"/>
                <w:szCs w:val="20"/>
              </w:rPr>
              <w:t>21</w:t>
            </w:r>
          </w:p>
        </w:tc>
        <w:tc>
          <w:tcPr>
            <w:tcW w:w="1296" w:type="dxa"/>
            <w:tcBorders>
              <w:right w:val="nil"/>
            </w:tcBorders>
            <w:noWrap/>
            <w:vAlign w:val="center"/>
            <w:hideMark/>
          </w:tcPr>
          <w:p w14:paraId="1580731B" w14:textId="77777777" w:rsidR="005B2959" w:rsidRPr="004D52B7" w:rsidRDefault="005B2959" w:rsidP="00CE4B72">
            <w:pPr>
              <w:jc w:val="center"/>
              <w:rPr>
                <w:sz w:val="20"/>
                <w:szCs w:val="20"/>
              </w:rPr>
            </w:pPr>
            <w:r w:rsidRPr="004D52B7">
              <w:rPr>
                <w:sz w:val="20"/>
                <w:szCs w:val="20"/>
              </w:rPr>
              <w:t>6.6</w:t>
            </w:r>
          </w:p>
        </w:tc>
        <w:tc>
          <w:tcPr>
            <w:tcW w:w="1296" w:type="dxa"/>
            <w:tcBorders>
              <w:left w:val="nil"/>
            </w:tcBorders>
            <w:noWrap/>
            <w:vAlign w:val="center"/>
            <w:hideMark/>
          </w:tcPr>
          <w:p w14:paraId="7BCC9318" w14:textId="77777777" w:rsidR="005B2959" w:rsidRPr="004D52B7" w:rsidRDefault="005B2959" w:rsidP="00CE4B72">
            <w:pPr>
              <w:jc w:val="center"/>
              <w:rPr>
                <w:sz w:val="20"/>
                <w:szCs w:val="20"/>
              </w:rPr>
            </w:pPr>
            <w:r w:rsidRPr="004D52B7">
              <w:rPr>
                <w:sz w:val="20"/>
                <w:szCs w:val="20"/>
              </w:rPr>
              <w:t>19</w:t>
            </w:r>
          </w:p>
        </w:tc>
      </w:tr>
      <w:tr w:rsidR="005B2959" w:rsidRPr="000B0493" w14:paraId="079040B2" w14:textId="77777777" w:rsidTr="00CE4B72">
        <w:trPr>
          <w:trHeight w:val="259"/>
        </w:trPr>
        <w:tc>
          <w:tcPr>
            <w:tcW w:w="2250" w:type="dxa"/>
            <w:gridSpan w:val="2"/>
            <w:noWrap/>
            <w:vAlign w:val="center"/>
            <w:hideMark/>
          </w:tcPr>
          <w:p w14:paraId="4F0D9C91" w14:textId="77777777" w:rsidR="005B2959" w:rsidRPr="004D52B7" w:rsidRDefault="005B2959" w:rsidP="00CE4B72">
            <w:pPr>
              <w:rPr>
                <w:sz w:val="20"/>
                <w:szCs w:val="20"/>
              </w:rPr>
            </w:pPr>
            <w:r w:rsidRPr="004D52B7">
              <w:rPr>
                <w:sz w:val="20"/>
                <w:szCs w:val="20"/>
              </w:rPr>
              <w:t>Angola</w:t>
            </w:r>
          </w:p>
        </w:tc>
        <w:tc>
          <w:tcPr>
            <w:tcW w:w="1368" w:type="dxa"/>
            <w:tcBorders>
              <w:right w:val="nil"/>
            </w:tcBorders>
            <w:noWrap/>
            <w:vAlign w:val="center"/>
            <w:hideMark/>
          </w:tcPr>
          <w:p w14:paraId="583C55A5" w14:textId="77777777" w:rsidR="005B2959" w:rsidRPr="004D52B7" w:rsidRDefault="005B2959" w:rsidP="00CE4B72">
            <w:pPr>
              <w:jc w:val="center"/>
              <w:rPr>
                <w:sz w:val="20"/>
                <w:szCs w:val="20"/>
              </w:rPr>
            </w:pPr>
            <w:r w:rsidRPr="004D52B7">
              <w:rPr>
                <w:sz w:val="20"/>
                <w:szCs w:val="20"/>
              </w:rPr>
              <w:t>6</w:t>
            </w:r>
          </w:p>
        </w:tc>
        <w:tc>
          <w:tcPr>
            <w:tcW w:w="1026" w:type="dxa"/>
            <w:tcBorders>
              <w:left w:val="nil"/>
            </w:tcBorders>
            <w:vAlign w:val="center"/>
          </w:tcPr>
          <w:p w14:paraId="1DAE7528" w14:textId="77777777" w:rsidR="005B2959" w:rsidRPr="004D52B7" w:rsidRDefault="005B2959" w:rsidP="00CE4B72">
            <w:pPr>
              <w:jc w:val="center"/>
              <w:rPr>
                <w:sz w:val="20"/>
                <w:szCs w:val="20"/>
              </w:rPr>
            </w:pPr>
            <w:r w:rsidRPr="004D52B7">
              <w:rPr>
                <w:sz w:val="20"/>
                <w:szCs w:val="20"/>
              </w:rPr>
              <w:t>33</w:t>
            </w:r>
          </w:p>
        </w:tc>
        <w:tc>
          <w:tcPr>
            <w:tcW w:w="1296" w:type="dxa"/>
            <w:tcBorders>
              <w:right w:val="nil"/>
            </w:tcBorders>
            <w:noWrap/>
            <w:vAlign w:val="center"/>
            <w:hideMark/>
          </w:tcPr>
          <w:p w14:paraId="48D14DAE" w14:textId="77777777" w:rsidR="005B2959" w:rsidRPr="004D52B7" w:rsidRDefault="005B2959" w:rsidP="00CE4B72">
            <w:pPr>
              <w:jc w:val="center"/>
              <w:rPr>
                <w:sz w:val="20"/>
                <w:szCs w:val="20"/>
              </w:rPr>
            </w:pPr>
            <w:r w:rsidRPr="004D52B7">
              <w:rPr>
                <w:sz w:val="20"/>
                <w:szCs w:val="20"/>
              </w:rPr>
              <w:t>7.1</w:t>
            </w:r>
          </w:p>
        </w:tc>
        <w:tc>
          <w:tcPr>
            <w:tcW w:w="1296" w:type="dxa"/>
            <w:tcBorders>
              <w:left w:val="nil"/>
            </w:tcBorders>
            <w:vAlign w:val="center"/>
          </w:tcPr>
          <w:p w14:paraId="209DF75C" w14:textId="77777777" w:rsidR="005B2959" w:rsidRPr="004D52B7" w:rsidRDefault="005B2959" w:rsidP="00CE4B72">
            <w:pPr>
              <w:jc w:val="center"/>
              <w:rPr>
                <w:sz w:val="20"/>
                <w:szCs w:val="20"/>
              </w:rPr>
            </w:pPr>
            <w:r w:rsidRPr="004D52B7">
              <w:rPr>
                <w:sz w:val="20"/>
                <w:szCs w:val="20"/>
              </w:rPr>
              <w:t>32</w:t>
            </w:r>
          </w:p>
        </w:tc>
        <w:tc>
          <w:tcPr>
            <w:tcW w:w="1296" w:type="dxa"/>
            <w:tcBorders>
              <w:right w:val="nil"/>
            </w:tcBorders>
            <w:noWrap/>
            <w:vAlign w:val="center"/>
            <w:hideMark/>
          </w:tcPr>
          <w:p w14:paraId="67275485" w14:textId="77777777" w:rsidR="005B2959" w:rsidRPr="004D52B7" w:rsidRDefault="005B2959" w:rsidP="00CE4B72">
            <w:pPr>
              <w:jc w:val="center"/>
              <w:rPr>
                <w:sz w:val="20"/>
                <w:szCs w:val="20"/>
              </w:rPr>
            </w:pPr>
            <w:r w:rsidRPr="004D52B7">
              <w:rPr>
                <w:sz w:val="20"/>
                <w:szCs w:val="20"/>
              </w:rPr>
              <w:t>7.2</w:t>
            </w:r>
          </w:p>
        </w:tc>
        <w:tc>
          <w:tcPr>
            <w:tcW w:w="1296" w:type="dxa"/>
            <w:tcBorders>
              <w:left w:val="nil"/>
            </w:tcBorders>
            <w:noWrap/>
            <w:vAlign w:val="center"/>
            <w:hideMark/>
          </w:tcPr>
          <w:p w14:paraId="6AE252D2" w14:textId="77777777" w:rsidR="005B2959" w:rsidRPr="004D52B7" w:rsidRDefault="005B2959" w:rsidP="00CE4B72">
            <w:pPr>
              <w:jc w:val="center"/>
              <w:rPr>
                <w:sz w:val="20"/>
                <w:szCs w:val="20"/>
              </w:rPr>
            </w:pPr>
            <w:r w:rsidRPr="004D52B7">
              <w:rPr>
                <w:sz w:val="20"/>
                <w:szCs w:val="20"/>
              </w:rPr>
              <w:t>27</w:t>
            </w:r>
          </w:p>
        </w:tc>
      </w:tr>
      <w:tr w:rsidR="005B2959" w:rsidRPr="000B0493" w14:paraId="7BE908F7" w14:textId="77777777" w:rsidTr="00CE4B72">
        <w:trPr>
          <w:trHeight w:val="259"/>
        </w:trPr>
        <w:tc>
          <w:tcPr>
            <w:tcW w:w="2250" w:type="dxa"/>
            <w:gridSpan w:val="2"/>
            <w:noWrap/>
            <w:vAlign w:val="center"/>
            <w:hideMark/>
          </w:tcPr>
          <w:p w14:paraId="440EB0A0" w14:textId="77777777" w:rsidR="005B2959" w:rsidRPr="004D52B7" w:rsidRDefault="005B2959" w:rsidP="00CE4B72">
            <w:pPr>
              <w:rPr>
                <w:sz w:val="20"/>
                <w:szCs w:val="20"/>
              </w:rPr>
            </w:pPr>
            <w:r w:rsidRPr="004D52B7">
              <w:rPr>
                <w:sz w:val="20"/>
                <w:szCs w:val="20"/>
              </w:rPr>
              <w:t>Somalia</w:t>
            </w:r>
          </w:p>
        </w:tc>
        <w:tc>
          <w:tcPr>
            <w:tcW w:w="1368" w:type="dxa"/>
            <w:tcBorders>
              <w:right w:val="nil"/>
            </w:tcBorders>
            <w:noWrap/>
            <w:vAlign w:val="center"/>
            <w:hideMark/>
          </w:tcPr>
          <w:p w14:paraId="029ABA4D" w14:textId="77777777" w:rsidR="005B2959" w:rsidRPr="004D52B7" w:rsidRDefault="005B2959" w:rsidP="00CE4B72">
            <w:pPr>
              <w:jc w:val="center"/>
              <w:rPr>
                <w:sz w:val="20"/>
                <w:szCs w:val="20"/>
              </w:rPr>
            </w:pPr>
            <w:r w:rsidRPr="004D52B7">
              <w:rPr>
                <w:sz w:val="20"/>
                <w:szCs w:val="20"/>
              </w:rPr>
              <w:t>7</w:t>
            </w:r>
          </w:p>
        </w:tc>
        <w:tc>
          <w:tcPr>
            <w:tcW w:w="1026" w:type="dxa"/>
            <w:tcBorders>
              <w:left w:val="nil"/>
            </w:tcBorders>
            <w:vAlign w:val="center"/>
          </w:tcPr>
          <w:p w14:paraId="04E9DD17" w14:textId="77777777" w:rsidR="005B2959" w:rsidRPr="004D52B7" w:rsidRDefault="005B2959" w:rsidP="00CE4B72">
            <w:pPr>
              <w:jc w:val="center"/>
              <w:rPr>
                <w:sz w:val="20"/>
                <w:szCs w:val="20"/>
              </w:rPr>
            </w:pPr>
            <w:r w:rsidRPr="004D52B7">
              <w:rPr>
                <w:sz w:val="20"/>
                <w:szCs w:val="20"/>
              </w:rPr>
              <w:t>35</w:t>
            </w:r>
          </w:p>
        </w:tc>
        <w:tc>
          <w:tcPr>
            <w:tcW w:w="1296" w:type="dxa"/>
            <w:tcBorders>
              <w:right w:val="nil"/>
            </w:tcBorders>
            <w:noWrap/>
            <w:vAlign w:val="center"/>
            <w:hideMark/>
          </w:tcPr>
          <w:p w14:paraId="1AD368EB" w14:textId="77777777" w:rsidR="005B2959" w:rsidRPr="004D52B7" w:rsidRDefault="005B2959" w:rsidP="00CE4B72">
            <w:pPr>
              <w:jc w:val="center"/>
              <w:rPr>
                <w:sz w:val="20"/>
                <w:szCs w:val="20"/>
              </w:rPr>
            </w:pPr>
            <w:r w:rsidRPr="004D52B7">
              <w:rPr>
                <w:sz w:val="20"/>
                <w:szCs w:val="20"/>
              </w:rPr>
              <w:t>7.1</w:t>
            </w:r>
          </w:p>
        </w:tc>
        <w:tc>
          <w:tcPr>
            <w:tcW w:w="1296" w:type="dxa"/>
            <w:tcBorders>
              <w:left w:val="nil"/>
            </w:tcBorders>
            <w:vAlign w:val="center"/>
          </w:tcPr>
          <w:p w14:paraId="3B6CB443" w14:textId="77777777" w:rsidR="005B2959" w:rsidRPr="004D52B7" w:rsidRDefault="005B2959" w:rsidP="00CE4B72">
            <w:pPr>
              <w:jc w:val="center"/>
              <w:rPr>
                <w:sz w:val="20"/>
                <w:szCs w:val="20"/>
              </w:rPr>
            </w:pPr>
            <w:r w:rsidRPr="004D52B7">
              <w:rPr>
                <w:sz w:val="20"/>
                <w:szCs w:val="20"/>
              </w:rPr>
              <w:t>33</w:t>
            </w:r>
          </w:p>
        </w:tc>
        <w:tc>
          <w:tcPr>
            <w:tcW w:w="1296" w:type="dxa"/>
            <w:tcBorders>
              <w:right w:val="nil"/>
            </w:tcBorders>
            <w:noWrap/>
            <w:vAlign w:val="center"/>
            <w:hideMark/>
          </w:tcPr>
          <w:p w14:paraId="544C4212" w14:textId="77777777" w:rsidR="005B2959" w:rsidRPr="004D52B7" w:rsidRDefault="005B2959" w:rsidP="00CE4B72">
            <w:pPr>
              <w:jc w:val="center"/>
              <w:rPr>
                <w:sz w:val="20"/>
                <w:szCs w:val="20"/>
              </w:rPr>
            </w:pPr>
            <w:r w:rsidRPr="004D52B7">
              <w:rPr>
                <w:sz w:val="20"/>
                <w:szCs w:val="20"/>
              </w:rPr>
              <w:t>7.6</w:t>
            </w:r>
          </w:p>
        </w:tc>
        <w:tc>
          <w:tcPr>
            <w:tcW w:w="1296" w:type="dxa"/>
            <w:tcBorders>
              <w:left w:val="nil"/>
            </w:tcBorders>
            <w:noWrap/>
            <w:vAlign w:val="center"/>
            <w:hideMark/>
          </w:tcPr>
          <w:p w14:paraId="0C8F98E4" w14:textId="77777777" w:rsidR="005B2959" w:rsidRPr="004D52B7" w:rsidRDefault="005B2959" w:rsidP="00CE4B72">
            <w:pPr>
              <w:jc w:val="center"/>
              <w:rPr>
                <w:sz w:val="20"/>
                <w:szCs w:val="20"/>
              </w:rPr>
            </w:pPr>
            <w:r w:rsidRPr="004D52B7">
              <w:rPr>
                <w:sz w:val="20"/>
                <w:szCs w:val="20"/>
              </w:rPr>
              <w:t>33</w:t>
            </w:r>
          </w:p>
        </w:tc>
      </w:tr>
      <w:tr w:rsidR="005B2959" w:rsidRPr="000B0493" w14:paraId="48F9D377" w14:textId="77777777" w:rsidTr="00CE4B72">
        <w:trPr>
          <w:trHeight w:val="259"/>
        </w:trPr>
        <w:tc>
          <w:tcPr>
            <w:tcW w:w="2250" w:type="dxa"/>
            <w:gridSpan w:val="2"/>
            <w:noWrap/>
            <w:vAlign w:val="center"/>
            <w:hideMark/>
          </w:tcPr>
          <w:p w14:paraId="3609D707" w14:textId="77777777" w:rsidR="005B2959" w:rsidRPr="004D52B7" w:rsidRDefault="005B2959" w:rsidP="00CE4B72">
            <w:pPr>
              <w:rPr>
                <w:sz w:val="20"/>
                <w:szCs w:val="20"/>
              </w:rPr>
            </w:pPr>
            <w:r w:rsidRPr="004D52B7">
              <w:rPr>
                <w:sz w:val="20"/>
                <w:szCs w:val="20"/>
              </w:rPr>
              <w:t>Benin</w:t>
            </w:r>
          </w:p>
        </w:tc>
        <w:tc>
          <w:tcPr>
            <w:tcW w:w="1368" w:type="dxa"/>
            <w:tcBorders>
              <w:right w:val="nil"/>
            </w:tcBorders>
            <w:noWrap/>
            <w:vAlign w:val="center"/>
            <w:hideMark/>
          </w:tcPr>
          <w:p w14:paraId="328B0594" w14:textId="77777777" w:rsidR="005B2959" w:rsidRPr="004D52B7" w:rsidRDefault="005B2959" w:rsidP="00CE4B72">
            <w:pPr>
              <w:jc w:val="center"/>
              <w:rPr>
                <w:sz w:val="20"/>
                <w:szCs w:val="20"/>
              </w:rPr>
            </w:pPr>
            <w:r w:rsidRPr="004D52B7">
              <w:rPr>
                <w:sz w:val="20"/>
                <w:szCs w:val="20"/>
              </w:rPr>
              <w:t>8</w:t>
            </w:r>
          </w:p>
        </w:tc>
        <w:tc>
          <w:tcPr>
            <w:tcW w:w="1026" w:type="dxa"/>
            <w:tcBorders>
              <w:left w:val="nil"/>
            </w:tcBorders>
            <w:vAlign w:val="center"/>
          </w:tcPr>
          <w:p w14:paraId="1A61D709" w14:textId="77777777" w:rsidR="005B2959" w:rsidRPr="004D52B7" w:rsidRDefault="005B2959" w:rsidP="00CE4B72">
            <w:pPr>
              <w:jc w:val="center"/>
              <w:rPr>
                <w:sz w:val="20"/>
                <w:szCs w:val="20"/>
              </w:rPr>
            </w:pPr>
            <w:r w:rsidRPr="004D52B7">
              <w:rPr>
                <w:sz w:val="20"/>
                <w:szCs w:val="20"/>
              </w:rPr>
              <w:t>36</w:t>
            </w:r>
          </w:p>
        </w:tc>
        <w:tc>
          <w:tcPr>
            <w:tcW w:w="1296" w:type="dxa"/>
            <w:tcBorders>
              <w:right w:val="nil"/>
            </w:tcBorders>
            <w:noWrap/>
            <w:vAlign w:val="center"/>
            <w:hideMark/>
          </w:tcPr>
          <w:p w14:paraId="368326B2" w14:textId="77777777" w:rsidR="005B2959" w:rsidRPr="004D52B7" w:rsidRDefault="005B2959" w:rsidP="00CE4B72">
            <w:pPr>
              <w:jc w:val="center"/>
              <w:rPr>
                <w:sz w:val="20"/>
                <w:szCs w:val="20"/>
              </w:rPr>
            </w:pPr>
            <w:r w:rsidRPr="004D52B7">
              <w:rPr>
                <w:sz w:val="20"/>
                <w:szCs w:val="20"/>
              </w:rPr>
              <w:t>6.7</w:t>
            </w:r>
          </w:p>
        </w:tc>
        <w:tc>
          <w:tcPr>
            <w:tcW w:w="1296" w:type="dxa"/>
            <w:tcBorders>
              <w:left w:val="nil"/>
            </w:tcBorders>
            <w:vAlign w:val="center"/>
          </w:tcPr>
          <w:p w14:paraId="60705DDE" w14:textId="77777777" w:rsidR="005B2959" w:rsidRPr="004D52B7" w:rsidRDefault="005B2959" w:rsidP="00CE4B72">
            <w:pPr>
              <w:jc w:val="center"/>
              <w:rPr>
                <w:sz w:val="20"/>
                <w:szCs w:val="20"/>
              </w:rPr>
            </w:pPr>
            <w:r w:rsidRPr="004D52B7">
              <w:rPr>
                <w:sz w:val="20"/>
                <w:szCs w:val="20"/>
              </w:rPr>
              <w:t>27</w:t>
            </w:r>
          </w:p>
        </w:tc>
        <w:tc>
          <w:tcPr>
            <w:tcW w:w="1296" w:type="dxa"/>
            <w:tcBorders>
              <w:right w:val="nil"/>
            </w:tcBorders>
            <w:noWrap/>
            <w:vAlign w:val="center"/>
            <w:hideMark/>
          </w:tcPr>
          <w:p w14:paraId="51CDFA5E" w14:textId="77777777" w:rsidR="005B2959" w:rsidRPr="004D52B7" w:rsidRDefault="005B2959" w:rsidP="00CE4B72">
            <w:pPr>
              <w:jc w:val="center"/>
              <w:rPr>
                <w:sz w:val="20"/>
                <w:szCs w:val="20"/>
              </w:rPr>
            </w:pPr>
            <w:r w:rsidRPr="004D52B7">
              <w:rPr>
                <w:sz w:val="20"/>
                <w:szCs w:val="20"/>
              </w:rPr>
              <w:t>6.8</w:t>
            </w:r>
          </w:p>
        </w:tc>
        <w:tc>
          <w:tcPr>
            <w:tcW w:w="1296" w:type="dxa"/>
            <w:tcBorders>
              <w:left w:val="nil"/>
            </w:tcBorders>
            <w:noWrap/>
            <w:vAlign w:val="center"/>
            <w:hideMark/>
          </w:tcPr>
          <w:p w14:paraId="660AD77D" w14:textId="77777777" w:rsidR="005B2959" w:rsidRPr="004D52B7" w:rsidRDefault="005B2959" w:rsidP="00CE4B72">
            <w:pPr>
              <w:jc w:val="center"/>
              <w:rPr>
                <w:sz w:val="20"/>
                <w:szCs w:val="20"/>
              </w:rPr>
            </w:pPr>
            <w:r w:rsidRPr="004D52B7">
              <w:rPr>
                <w:sz w:val="20"/>
                <w:szCs w:val="20"/>
              </w:rPr>
              <w:t>21</w:t>
            </w:r>
          </w:p>
        </w:tc>
      </w:tr>
      <w:tr w:rsidR="005B2959" w:rsidRPr="000B0493" w14:paraId="409681A7" w14:textId="77777777" w:rsidTr="00CE4B72">
        <w:trPr>
          <w:trHeight w:val="259"/>
        </w:trPr>
        <w:tc>
          <w:tcPr>
            <w:tcW w:w="2250" w:type="dxa"/>
            <w:gridSpan w:val="2"/>
            <w:noWrap/>
            <w:vAlign w:val="center"/>
            <w:hideMark/>
          </w:tcPr>
          <w:p w14:paraId="33325C24" w14:textId="77777777" w:rsidR="005B2959" w:rsidRPr="004D52B7" w:rsidRDefault="005B2959" w:rsidP="00CE4B72">
            <w:pPr>
              <w:rPr>
                <w:sz w:val="20"/>
                <w:szCs w:val="20"/>
              </w:rPr>
            </w:pPr>
            <w:r w:rsidRPr="004D52B7">
              <w:rPr>
                <w:sz w:val="20"/>
                <w:szCs w:val="20"/>
              </w:rPr>
              <w:t>Sudan</w:t>
            </w:r>
          </w:p>
        </w:tc>
        <w:tc>
          <w:tcPr>
            <w:tcW w:w="1368" w:type="dxa"/>
            <w:tcBorders>
              <w:right w:val="nil"/>
            </w:tcBorders>
            <w:noWrap/>
            <w:vAlign w:val="center"/>
            <w:hideMark/>
          </w:tcPr>
          <w:p w14:paraId="2E0597BD" w14:textId="77777777" w:rsidR="005B2959" w:rsidRPr="004D52B7" w:rsidRDefault="005B2959" w:rsidP="00CE4B72">
            <w:pPr>
              <w:jc w:val="center"/>
              <w:rPr>
                <w:sz w:val="20"/>
                <w:szCs w:val="20"/>
              </w:rPr>
            </w:pPr>
            <w:r w:rsidRPr="004D52B7">
              <w:rPr>
                <w:sz w:val="20"/>
                <w:szCs w:val="20"/>
              </w:rPr>
              <w:t>8</w:t>
            </w:r>
          </w:p>
        </w:tc>
        <w:tc>
          <w:tcPr>
            <w:tcW w:w="1026" w:type="dxa"/>
            <w:tcBorders>
              <w:left w:val="nil"/>
            </w:tcBorders>
            <w:vAlign w:val="center"/>
          </w:tcPr>
          <w:p w14:paraId="279AEC27" w14:textId="77777777" w:rsidR="005B2959" w:rsidRPr="004D52B7" w:rsidRDefault="005B2959" w:rsidP="00CE4B72">
            <w:pPr>
              <w:jc w:val="center"/>
              <w:rPr>
                <w:sz w:val="20"/>
                <w:szCs w:val="20"/>
              </w:rPr>
            </w:pPr>
            <w:r w:rsidRPr="004D52B7">
              <w:rPr>
                <w:sz w:val="20"/>
                <w:szCs w:val="20"/>
              </w:rPr>
              <w:t>36</w:t>
            </w:r>
          </w:p>
        </w:tc>
        <w:tc>
          <w:tcPr>
            <w:tcW w:w="1296" w:type="dxa"/>
            <w:tcBorders>
              <w:right w:val="nil"/>
            </w:tcBorders>
            <w:noWrap/>
            <w:vAlign w:val="center"/>
            <w:hideMark/>
          </w:tcPr>
          <w:p w14:paraId="7D625A5F" w14:textId="77777777" w:rsidR="005B2959" w:rsidRPr="004D52B7" w:rsidRDefault="005B2959" w:rsidP="00CE4B72">
            <w:pPr>
              <w:jc w:val="center"/>
              <w:rPr>
                <w:sz w:val="20"/>
                <w:szCs w:val="20"/>
              </w:rPr>
            </w:pPr>
            <w:r w:rsidRPr="004D52B7">
              <w:rPr>
                <w:sz w:val="20"/>
                <w:szCs w:val="20"/>
              </w:rPr>
              <w:t>6.4</w:t>
            </w:r>
          </w:p>
        </w:tc>
        <w:tc>
          <w:tcPr>
            <w:tcW w:w="1296" w:type="dxa"/>
            <w:tcBorders>
              <w:left w:val="nil"/>
            </w:tcBorders>
            <w:vAlign w:val="center"/>
          </w:tcPr>
          <w:p w14:paraId="4131F648" w14:textId="77777777" w:rsidR="005B2959" w:rsidRPr="004D52B7" w:rsidRDefault="005B2959" w:rsidP="00CE4B72">
            <w:pPr>
              <w:jc w:val="center"/>
              <w:rPr>
                <w:sz w:val="20"/>
                <w:szCs w:val="20"/>
              </w:rPr>
            </w:pPr>
            <w:r w:rsidRPr="004D52B7">
              <w:rPr>
                <w:sz w:val="20"/>
                <w:szCs w:val="20"/>
              </w:rPr>
              <w:t>24</w:t>
            </w:r>
          </w:p>
        </w:tc>
        <w:tc>
          <w:tcPr>
            <w:tcW w:w="1296" w:type="dxa"/>
            <w:tcBorders>
              <w:right w:val="nil"/>
            </w:tcBorders>
            <w:noWrap/>
            <w:vAlign w:val="center"/>
            <w:hideMark/>
          </w:tcPr>
          <w:p w14:paraId="34C20717" w14:textId="77777777" w:rsidR="005B2959" w:rsidRPr="004D52B7" w:rsidRDefault="005B2959" w:rsidP="00CE4B72">
            <w:pPr>
              <w:jc w:val="center"/>
              <w:rPr>
                <w:sz w:val="20"/>
                <w:szCs w:val="20"/>
              </w:rPr>
            </w:pPr>
            <w:r w:rsidRPr="004D52B7">
              <w:rPr>
                <w:sz w:val="20"/>
                <w:szCs w:val="20"/>
              </w:rPr>
              <w:t>7.0</w:t>
            </w:r>
          </w:p>
        </w:tc>
        <w:tc>
          <w:tcPr>
            <w:tcW w:w="1296" w:type="dxa"/>
            <w:tcBorders>
              <w:left w:val="nil"/>
            </w:tcBorders>
            <w:noWrap/>
            <w:vAlign w:val="center"/>
            <w:hideMark/>
          </w:tcPr>
          <w:p w14:paraId="1296DC84" w14:textId="77777777" w:rsidR="005B2959" w:rsidRPr="004D52B7" w:rsidRDefault="005B2959" w:rsidP="00CE4B72">
            <w:pPr>
              <w:jc w:val="center"/>
              <w:rPr>
                <w:sz w:val="20"/>
                <w:szCs w:val="20"/>
              </w:rPr>
            </w:pPr>
            <w:r w:rsidRPr="004D52B7">
              <w:rPr>
                <w:sz w:val="20"/>
                <w:szCs w:val="20"/>
              </w:rPr>
              <w:t>24</w:t>
            </w:r>
          </w:p>
        </w:tc>
      </w:tr>
      <w:tr w:rsidR="005B2959" w:rsidRPr="000B0493" w14:paraId="0A26CDD9" w14:textId="77777777" w:rsidTr="00CE4B72">
        <w:trPr>
          <w:trHeight w:val="259"/>
        </w:trPr>
        <w:tc>
          <w:tcPr>
            <w:tcW w:w="2250" w:type="dxa"/>
            <w:gridSpan w:val="2"/>
            <w:noWrap/>
            <w:vAlign w:val="center"/>
            <w:hideMark/>
          </w:tcPr>
          <w:p w14:paraId="68F8CB5E" w14:textId="77777777" w:rsidR="005B2959" w:rsidRPr="004D52B7" w:rsidRDefault="005B2959" w:rsidP="00CE4B72">
            <w:pPr>
              <w:rPr>
                <w:sz w:val="20"/>
                <w:szCs w:val="20"/>
              </w:rPr>
            </w:pPr>
            <w:r w:rsidRPr="004D52B7">
              <w:rPr>
                <w:sz w:val="20"/>
                <w:szCs w:val="20"/>
              </w:rPr>
              <w:t>South Sudan</w:t>
            </w:r>
          </w:p>
        </w:tc>
        <w:tc>
          <w:tcPr>
            <w:tcW w:w="1368" w:type="dxa"/>
            <w:tcBorders>
              <w:right w:val="nil"/>
            </w:tcBorders>
            <w:noWrap/>
            <w:vAlign w:val="center"/>
            <w:hideMark/>
          </w:tcPr>
          <w:p w14:paraId="2B9EBDFA" w14:textId="77777777" w:rsidR="005B2959" w:rsidRPr="004D52B7" w:rsidRDefault="005B2959" w:rsidP="00CE4B72">
            <w:pPr>
              <w:jc w:val="center"/>
              <w:rPr>
                <w:sz w:val="20"/>
                <w:szCs w:val="20"/>
              </w:rPr>
            </w:pPr>
            <w:r w:rsidRPr="004D52B7">
              <w:rPr>
                <w:sz w:val="20"/>
                <w:szCs w:val="20"/>
              </w:rPr>
              <w:t>9</w:t>
            </w:r>
          </w:p>
        </w:tc>
        <w:tc>
          <w:tcPr>
            <w:tcW w:w="1026" w:type="dxa"/>
            <w:tcBorders>
              <w:left w:val="nil"/>
            </w:tcBorders>
            <w:vAlign w:val="center"/>
          </w:tcPr>
          <w:p w14:paraId="03EAD7B9" w14:textId="77777777" w:rsidR="005B2959" w:rsidRPr="004D52B7" w:rsidRDefault="005B2959" w:rsidP="00CE4B72">
            <w:pPr>
              <w:jc w:val="center"/>
              <w:rPr>
                <w:sz w:val="20"/>
                <w:szCs w:val="20"/>
              </w:rPr>
            </w:pPr>
            <w:r w:rsidRPr="004D52B7">
              <w:rPr>
                <w:sz w:val="20"/>
                <w:szCs w:val="20"/>
              </w:rPr>
              <w:t>38</w:t>
            </w:r>
          </w:p>
        </w:tc>
        <w:tc>
          <w:tcPr>
            <w:tcW w:w="1296" w:type="dxa"/>
            <w:tcBorders>
              <w:right w:val="nil"/>
            </w:tcBorders>
            <w:noWrap/>
            <w:vAlign w:val="center"/>
            <w:hideMark/>
          </w:tcPr>
          <w:p w14:paraId="636274A6" w14:textId="77777777" w:rsidR="005B2959" w:rsidRPr="004D52B7" w:rsidRDefault="005B2959" w:rsidP="00CE4B72">
            <w:pPr>
              <w:jc w:val="center"/>
              <w:rPr>
                <w:sz w:val="20"/>
                <w:szCs w:val="20"/>
              </w:rPr>
            </w:pPr>
            <w:r w:rsidRPr="004D52B7">
              <w:rPr>
                <w:sz w:val="20"/>
                <w:szCs w:val="20"/>
              </w:rPr>
              <w:t>13.9</w:t>
            </w:r>
          </w:p>
        </w:tc>
        <w:tc>
          <w:tcPr>
            <w:tcW w:w="1296" w:type="dxa"/>
            <w:tcBorders>
              <w:left w:val="nil"/>
            </w:tcBorders>
            <w:vAlign w:val="center"/>
          </w:tcPr>
          <w:p w14:paraId="5321F718" w14:textId="77777777" w:rsidR="005B2959" w:rsidRPr="004D52B7" w:rsidRDefault="005B2959" w:rsidP="00CE4B72">
            <w:pPr>
              <w:jc w:val="center"/>
              <w:rPr>
                <w:sz w:val="20"/>
                <w:szCs w:val="20"/>
              </w:rPr>
            </w:pPr>
            <w:r w:rsidRPr="004D52B7">
              <w:rPr>
                <w:sz w:val="20"/>
                <w:szCs w:val="20"/>
              </w:rPr>
              <w:t>38</w:t>
            </w:r>
          </w:p>
        </w:tc>
        <w:tc>
          <w:tcPr>
            <w:tcW w:w="1296" w:type="dxa"/>
            <w:tcBorders>
              <w:right w:val="nil"/>
            </w:tcBorders>
            <w:noWrap/>
            <w:vAlign w:val="center"/>
            <w:hideMark/>
          </w:tcPr>
          <w:p w14:paraId="5911380C" w14:textId="77777777" w:rsidR="005B2959" w:rsidRPr="004D52B7" w:rsidRDefault="005B2959" w:rsidP="00CE4B72">
            <w:pPr>
              <w:jc w:val="center"/>
              <w:rPr>
                <w:sz w:val="20"/>
                <w:szCs w:val="20"/>
              </w:rPr>
            </w:pPr>
            <w:r w:rsidRPr="004D52B7">
              <w:rPr>
                <w:sz w:val="20"/>
                <w:szCs w:val="20"/>
              </w:rPr>
              <w:t>15.3</w:t>
            </w:r>
          </w:p>
        </w:tc>
        <w:tc>
          <w:tcPr>
            <w:tcW w:w="1296" w:type="dxa"/>
            <w:tcBorders>
              <w:left w:val="nil"/>
            </w:tcBorders>
            <w:noWrap/>
            <w:vAlign w:val="center"/>
            <w:hideMark/>
          </w:tcPr>
          <w:p w14:paraId="04A00685" w14:textId="77777777" w:rsidR="005B2959" w:rsidRPr="004D52B7" w:rsidRDefault="005B2959" w:rsidP="00CE4B72">
            <w:pPr>
              <w:jc w:val="center"/>
              <w:rPr>
                <w:sz w:val="20"/>
                <w:szCs w:val="20"/>
              </w:rPr>
            </w:pPr>
            <w:r w:rsidRPr="004D52B7">
              <w:rPr>
                <w:sz w:val="20"/>
                <w:szCs w:val="20"/>
              </w:rPr>
              <w:t>38</w:t>
            </w:r>
          </w:p>
        </w:tc>
      </w:tr>
      <w:tr w:rsidR="005B2959" w:rsidRPr="000B0493" w14:paraId="68EA647F" w14:textId="77777777" w:rsidTr="00CE4B72">
        <w:trPr>
          <w:trHeight w:val="259"/>
        </w:trPr>
        <w:tc>
          <w:tcPr>
            <w:tcW w:w="2250" w:type="dxa"/>
            <w:gridSpan w:val="2"/>
            <w:noWrap/>
            <w:vAlign w:val="center"/>
            <w:hideMark/>
          </w:tcPr>
          <w:p w14:paraId="0DB3B3C9" w14:textId="77777777" w:rsidR="005B2959" w:rsidRPr="004D52B7" w:rsidRDefault="005B2959" w:rsidP="00CE4B72">
            <w:pPr>
              <w:rPr>
                <w:sz w:val="20"/>
                <w:szCs w:val="20"/>
              </w:rPr>
            </w:pPr>
            <w:r w:rsidRPr="004D52B7">
              <w:rPr>
                <w:sz w:val="20"/>
                <w:szCs w:val="20"/>
              </w:rPr>
              <w:t>Madagascar</w:t>
            </w:r>
          </w:p>
        </w:tc>
        <w:tc>
          <w:tcPr>
            <w:tcW w:w="1368" w:type="dxa"/>
            <w:tcBorders>
              <w:right w:val="nil"/>
            </w:tcBorders>
            <w:noWrap/>
            <w:vAlign w:val="center"/>
            <w:hideMark/>
          </w:tcPr>
          <w:p w14:paraId="4204D11A" w14:textId="77777777" w:rsidR="005B2959" w:rsidRPr="004D52B7" w:rsidRDefault="005B2959" w:rsidP="00CE4B72">
            <w:pPr>
              <w:jc w:val="center"/>
              <w:rPr>
                <w:sz w:val="20"/>
                <w:szCs w:val="20"/>
              </w:rPr>
            </w:pPr>
            <w:r w:rsidRPr="004D52B7">
              <w:rPr>
                <w:sz w:val="20"/>
                <w:szCs w:val="20"/>
              </w:rPr>
              <w:t>9</w:t>
            </w:r>
          </w:p>
        </w:tc>
        <w:tc>
          <w:tcPr>
            <w:tcW w:w="1026" w:type="dxa"/>
            <w:tcBorders>
              <w:left w:val="nil"/>
            </w:tcBorders>
            <w:vAlign w:val="center"/>
          </w:tcPr>
          <w:p w14:paraId="4DD6BD4B" w14:textId="77777777" w:rsidR="005B2959" w:rsidRPr="004D52B7" w:rsidRDefault="005B2959" w:rsidP="00CE4B72">
            <w:pPr>
              <w:jc w:val="center"/>
              <w:rPr>
                <w:sz w:val="20"/>
                <w:szCs w:val="20"/>
              </w:rPr>
            </w:pPr>
            <w:r w:rsidRPr="004D52B7">
              <w:rPr>
                <w:sz w:val="20"/>
                <w:szCs w:val="20"/>
              </w:rPr>
              <w:t>38</w:t>
            </w:r>
          </w:p>
        </w:tc>
        <w:tc>
          <w:tcPr>
            <w:tcW w:w="1296" w:type="dxa"/>
            <w:tcBorders>
              <w:right w:val="nil"/>
            </w:tcBorders>
            <w:noWrap/>
            <w:vAlign w:val="center"/>
            <w:hideMark/>
          </w:tcPr>
          <w:p w14:paraId="4228C0D6" w14:textId="77777777" w:rsidR="005B2959" w:rsidRPr="004D52B7" w:rsidRDefault="005B2959" w:rsidP="00CE4B72">
            <w:pPr>
              <w:jc w:val="center"/>
              <w:rPr>
                <w:sz w:val="20"/>
                <w:szCs w:val="20"/>
              </w:rPr>
            </w:pPr>
            <w:r w:rsidRPr="004D52B7">
              <w:rPr>
                <w:sz w:val="20"/>
                <w:szCs w:val="20"/>
              </w:rPr>
              <w:t>19.0</w:t>
            </w:r>
          </w:p>
        </w:tc>
        <w:tc>
          <w:tcPr>
            <w:tcW w:w="1296" w:type="dxa"/>
            <w:tcBorders>
              <w:left w:val="nil"/>
            </w:tcBorders>
            <w:vAlign w:val="center"/>
          </w:tcPr>
          <w:p w14:paraId="307A9C5F" w14:textId="77777777" w:rsidR="005B2959" w:rsidRPr="004D52B7" w:rsidRDefault="005B2959" w:rsidP="00CE4B72">
            <w:pPr>
              <w:jc w:val="center"/>
              <w:rPr>
                <w:sz w:val="20"/>
                <w:szCs w:val="20"/>
              </w:rPr>
            </w:pPr>
            <w:r w:rsidRPr="004D52B7">
              <w:rPr>
                <w:sz w:val="20"/>
                <w:szCs w:val="20"/>
              </w:rPr>
              <w:t>39</w:t>
            </w:r>
          </w:p>
        </w:tc>
        <w:tc>
          <w:tcPr>
            <w:tcW w:w="1296" w:type="dxa"/>
            <w:tcBorders>
              <w:right w:val="nil"/>
            </w:tcBorders>
            <w:noWrap/>
            <w:vAlign w:val="center"/>
            <w:hideMark/>
          </w:tcPr>
          <w:p w14:paraId="6ACDBF0D" w14:textId="77777777" w:rsidR="005B2959" w:rsidRPr="004D52B7" w:rsidRDefault="005B2959" w:rsidP="00CE4B72">
            <w:pPr>
              <w:jc w:val="center"/>
              <w:rPr>
                <w:sz w:val="20"/>
                <w:szCs w:val="20"/>
              </w:rPr>
            </w:pPr>
            <w:r w:rsidRPr="004D52B7">
              <w:rPr>
                <w:sz w:val="20"/>
                <w:szCs w:val="20"/>
              </w:rPr>
              <w:t>19.7</w:t>
            </w:r>
          </w:p>
        </w:tc>
        <w:tc>
          <w:tcPr>
            <w:tcW w:w="1296" w:type="dxa"/>
            <w:tcBorders>
              <w:left w:val="nil"/>
            </w:tcBorders>
            <w:noWrap/>
            <w:vAlign w:val="center"/>
            <w:hideMark/>
          </w:tcPr>
          <w:p w14:paraId="72274E0E" w14:textId="77777777" w:rsidR="005B2959" w:rsidRPr="004D52B7" w:rsidRDefault="005B2959" w:rsidP="00CE4B72">
            <w:pPr>
              <w:jc w:val="center"/>
              <w:rPr>
                <w:sz w:val="20"/>
                <w:szCs w:val="20"/>
              </w:rPr>
            </w:pPr>
            <w:r w:rsidRPr="004D52B7">
              <w:rPr>
                <w:sz w:val="20"/>
                <w:szCs w:val="20"/>
              </w:rPr>
              <w:t>39</w:t>
            </w:r>
          </w:p>
        </w:tc>
      </w:tr>
    </w:tbl>
    <w:p w14:paraId="031E4E42" w14:textId="77777777" w:rsidR="005B2959" w:rsidRDefault="005B2959" w:rsidP="005B2959"/>
    <w:p w14:paraId="02657656" w14:textId="77777777" w:rsidR="005B2959" w:rsidRDefault="005B2959" w:rsidP="005B2959">
      <w:pPr>
        <w:tabs>
          <w:tab w:val="left" w:pos="936"/>
        </w:tabs>
        <w:spacing w:line="480" w:lineRule="auto"/>
        <w:rPr>
          <w:rFonts w:cs="Times New Roman"/>
          <w:b/>
          <w:noProof/>
          <w:szCs w:val="24"/>
        </w:rPr>
      </w:pPr>
      <w:r>
        <w:rPr>
          <w:rFonts w:cs="Times New Roman"/>
          <w:b/>
          <w:szCs w:val="24"/>
        </w:rPr>
        <w:lastRenderedPageBreak/>
        <w:t xml:space="preserve">Figure 1. </w:t>
      </w:r>
      <w:r w:rsidRPr="00E95016">
        <w:rPr>
          <w:rFonts w:cs="Times New Roman"/>
          <w:szCs w:val="24"/>
        </w:rPr>
        <w:t xml:space="preserve">Diagram </w:t>
      </w:r>
      <w:r>
        <w:rPr>
          <w:rFonts w:cs="Times New Roman"/>
          <w:szCs w:val="24"/>
        </w:rPr>
        <w:t>depicting a basic growth curve and its parameterization.</w:t>
      </w:r>
    </w:p>
    <w:p w14:paraId="0979814F" w14:textId="77777777" w:rsidR="005B2959" w:rsidRDefault="005B2959" w:rsidP="005B2959">
      <w:pPr>
        <w:tabs>
          <w:tab w:val="left" w:pos="936"/>
        </w:tabs>
        <w:rPr>
          <w:rFonts w:cs="Times New Roman"/>
          <w:szCs w:val="24"/>
        </w:rPr>
      </w:pPr>
      <w:r>
        <w:rPr>
          <w:rFonts w:cs="Times New Roman"/>
          <w:b/>
          <w:noProof/>
          <w:szCs w:val="24"/>
        </w:rPr>
        <w:drawing>
          <wp:inline distT="0" distB="0" distL="0" distR="0" wp14:anchorId="69EB0194" wp14:editId="77A88220">
            <wp:extent cx="5486217" cy="3543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curve diagram.png"/>
                    <pic:cNvPicPr/>
                  </pic:nvPicPr>
                  <pic:blipFill rotWithShape="1">
                    <a:blip r:embed="rId13" cstate="print">
                      <a:extLst>
                        <a:ext uri="{28A0092B-C50C-407E-A947-70E740481C1C}">
                          <a14:useLocalDpi xmlns:a14="http://schemas.microsoft.com/office/drawing/2010/main" val="0"/>
                        </a:ext>
                      </a:extLst>
                    </a:blip>
                    <a:srcRect b="7294"/>
                    <a:stretch/>
                  </pic:blipFill>
                  <pic:spPr bwMode="auto">
                    <a:xfrm>
                      <a:off x="0" y="0"/>
                      <a:ext cx="5486411" cy="3543425"/>
                    </a:xfrm>
                    <a:prstGeom prst="rect">
                      <a:avLst/>
                    </a:prstGeom>
                    <a:ln>
                      <a:noFill/>
                    </a:ln>
                    <a:extLst>
                      <a:ext uri="{53640926-AAD7-44D8-BBD7-CCE9431645EC}">
                        <a14:shadowObscured xmlns:a14="http://schemas.microsoft.com/office/drawing/2010/main"/>
                      </a:ext>
                    </a:extLst>
                  </pic:spPr>
                </pic:pic>
              </a:graphicData>
            </a:graphic>
          </wp:inline>
        </w:drawing>
      </w:r>
    </w:p>
    <w:p w14:paraId="156272CB" w14:textId="70071DC0" w:rsidR="005B2959" w:rsidRDefault="005B2959" w:rsidP="005B2959">
      <w:pPr>
        <w:tabs>
          <w:tab w:val="left" w:pos="360"/>
        </w:tabs>
        <w:outlineLvl w:val="0"/>
        <w:rPr>
          <w:rFonts w:cs="Times New Roman"/>
          <w:i/>
          <w:sz w:val="22"/>
          <w:szCs w:val="24"/>
        </w:rPr>
      </w:pPr>
      <w:r>
        <w:rPr>
          <w:rFonts w:cs="Times New Roman"/>
          <w:i/>
          <w:sz w:val="22"/>
          <w:szCs w:val="24"/>
        </w:rPr>
        <w:t xml:space="preserve">This figure is adapted from Zwietering </w:t>
      </w:r>
      <w:r w:rsidR="001A3DC7">
        <w:rPr>
          <w:rFonts w:cs="Times New Roman"/>
          <w:i/>
          <w:sz w:val="22"/>
          <w:szCs w:val="24"/>
        </w:rPr>
        <w:t>and colleagues</w:t>
      </w:r>
      <w:r>
        <w:rPr>
          <w:rFonts w:cs="Times New Roman"/>
          <w:i/>
          <w:sz w:val="22"/>
          <w:szCs w:val="24"/>
        </w:rPr>
        <w:t xml:space="preserve"> [1</w:t>
      </w:r>
      <w:r w:rsidR="001A3DC7">
        <w:rPr>
          <w:rFonts w:cs="Times New Roman"/>
          <w:i/>
          <w:sz w:val="22"/>
          <w:szCs w:val="24"/>
        </w:rPr>
        <w:t>6</w:t>
      </w:r>
      <w:r>
        <w:rPr>
          <w:rFonts w:cs="Times New Roman"/>
          <w:i/>
          <w:sz w:val="22"/>
          <w:szCs w:val="24"/>
        </w:rPr>
        <w:t>]. A is the carrying capacity, μ is the maximum growth rate, and λ is the lag time.</w:t>
      </w:r>
    </w:p>
    <w:p w14:paraId="7CDA9DF7" w14:textId="77777777" w:rsidR="005B2959" w:rsidRDefault="005B2959" w:rsidP="005B2959"/>
    <w:p w14:paraId="11B25E7B" w14:textId="53E869AD" w:rsidR="005B2959" w:rsidRDefault="005B2959" w:rsidP="005B2959">
      <w:pPr>
        <w:spacing w:line="480" w:lineRule="auto"/>
        <w:ind w:right="-450"/>
        <w:outlineLvl w:val="0"/>
      </w:pPr>
    </w:p>
    <w:p w14:paraId="162AE2B3" w14:textId="0647A022" w:rsidR="002940EC" w:rsidRDefault="002940EC" w:rsidP="005B2959">
      <w:pPr>
        <w:spacing w:line="480" w:lineRule="auto"/>
        <w:ind w:right="-450"/>
        <w:outlineLvl w:val="0"/>
      </w:pPr>
    </w:p>
    <w:p w14:paraId="04D6E730" w14:textId="436FBDB5" w:rsidR="002940EC" w:rsidRDefault="002940EC" w:rsidP="005B2959">
      <w:pPr>
        <w:spacing w:line="480" w:lineRule="auto"/>
        <w:ind w:right="-450"/>
        <w:outlineLvl w:val="0"/>
      </w:pPr>
    </w:p>
    <w:p w14:paraId="30CD951B" w14:textId="59DE0A2B" w:rsidR="002940EC" w:rsidRDefault="002940EC" w:rsidP="005B2959">
      <w:pPr>
        <w:spacing w:line="480" w:lineRule="auto"/>
        <w:ind w:right="-450"/>
        <w:outlineLvl w:val="0"/>
      </w:pPr>
    </w:p>
    <w:p w14:paraId="3638F9E6" w14:textId="42D7C412" w:rsidR="002940EC" w:rsidRDefault="002940EC" w:rsidP="005B2959">
      <w:pPr>
        <w:spacing w:line="480" w:lineRule="auto"/>
        <w:ind w:right="-450"/>
        <w:outlineLvl w:val="0"/>
      </w:pPr>
    </w:p>
    <w:p w14:paraId="6A89C65F" w14:textId="428C1090" w:rsidR="002940EC" w:rsidRDefault="002940EC" w:rsidP="005B2959">
      <w:pPr>
        <w:spacing w:line="480" w:lineRule="auto"/>
        <w:ind w:right="-450"/>
        <w:outlineLvl w:val="0"/>
      </w:pPr>
    </w:p>
    <w:p w14:paraId="12644D4A" w14:textId="2CF5D5B8" w:rsidR="002940EC" w:rsidRDefault="002940EC" w:rsidP="005B2959">
      <w:pPr>
        <w:spacing w:line="480" w:lineRule="auto"/>
        <w:ind w:right="-450"/>
        <w:outlineLvl w:val="0"/>
      </w:pPr>
    </w:p>
    <w:p w14:paraId="6E14B268" w14:textId="2B0D3353" w:rsidR="002940EC" w:rsidRDefault="002940EC" w:rsidP="005B2959">
      <w:pPr>
        <w:spacing w:line="480" w:lineRule="auto"/>
        <w:ind w:right="-450"/>
        <w:outlineLvl w:val="0"/>
      </w:pPr>
    </w:p>
    <w:p w14:paraId="3476AE3A" w14:textId="4806ADF4" w:rsidR="002940EC" w:rsidRDefault="002940EC" w:rsidP="005B2959">
      <w:pPr>
        <w:spacing w:line="480" w:lineRule="auto"/>
        <w:ind w:right="-450"/>
        <w:outlineLvl w:val="0"/>
      </w:pPr>
    </w:p>
    <w:p w14:paraId="434C3D09" w14:textId="5ECE627A" w:rsidR="002940EC" w:rsidRDefault="002940EC" w:rsidP="005B2959">
      <w:pPr>
        <w:spacing w:line="480" w:lineRule="auto"/>
        <w:ind w:right="-450"/>
        <w:outlineLvl w:val="0"/>
      </w:pPr>
    </w:p>
    <w:p w14:paraId="2EA4C4DA" w14:textId="0220B392" w:rsidR="002940EC" w:rsidRDefault="002940EC" w:rsidP="005B2959">
      <w:pPr>
        <w:spacing w:line="480" w:lineRule="auto"/>
        <w:ind w:right="-450"/>
        <w:outlineLvl w:val="0"/>
      </w:pPr>
    </w:p>
    <w:p w14:paraId="24B30C8F" w14:textId="06621966" w:rsidR="002940EC" w:rsidRPr="009E37BC" w:rsidRDefault="002940EC" w:rsidP="002940EC">
      <w:r>
        <w:rPr>
          <w:b/>
        </w:rPr>
        <w:lastRenderedPageBreak/>
        <w:t xml:space="preserve">Figure 2. </w:t>
      </w:r>
      <w:r>
        <w:t xml:space="preserve">Growth curve regressions </w:t>
      </w:r>
      <w:r w:rsidR="00CC23E9">
        <w:t>over the time-period 2000-</w:t>
      </w:r>
      <w:r w:rsidR="00CC23E9" w:rsidRPr="00CC23E9">
        <w:rPr>
          <w:highlight w:val="yellow"/>
        </w:rPr>
        <w:t>2015</w:t>
      </w:r>
      <w:r w:rsidR="00CC23E9">
        <w:t xml:space="preserve"> </w:t>
      </w:r>
      <w:r>
        <w:t>for six selected sub-Saharan African countries</w:t>
      </w:r>
      <w:r w:rsidR="00CC23E9">
        <w:t>: Botswana, Gabon, Kenya, Rwanda, South Africa, and Uganda.</w:t>
      </w:r>
    </w:p>
    <w:p w14:paraId="03F5866C" w14:textId="77777777" w:rsidR="002940EC" w:rsidRDefault="002940EC" w:rsidP="002940EC">
      <w:pPr>
        <w:rPr>
          <w:b/>
        </w:rPr>
      </w:pPr>
    </w:p>
    <w:p w14:paraId="7D3280BF" w14:textId="77777777" w:rsidR="002940EC" w:rsidRPr="009E37BC" w:rsidRDefault="002940EC" w:rsidP="002940EC">
      <w:r>
        <w:rPr>
          <w:noProof/>
        </w:rPr>
        <w:drawing>
          <wp:inline distT="0" distB="0" distL="0" distR="0" wp14:anchorId="3C926F23" wp14:editId="58BE63D6">
            <wp:extent cx="6349089" cy="61680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ntry_regressions.png"/>
                    <pic:cNvPicPr/>
                  </pic:nvPicPr>
                  <pic:blipFill>
                    <a:blip r:embed="rId14">
                      <a:extLst>
                        <a:ext uri="{28A0092B-C50C-407E-A947-70E740481C1C}">
                          <a14:useLocalDpi xmlns:a14="http://schemas.microsoft.com/office/drawing/2010/main" val="0"/>
                        </a:ext>
                      </a:extLst>
                    </a:blip>
                    <a:stretch>
                      <a:fillRect/>
                    </a:stretch>
                  </pic:blipFill>
                  <pic:spPr>
                    <a:xfrm>
                      <a:off x="0" y="0"/>
                      <a:ext cx="6349089" cy="6168070"/>
                    </a:xfrm>
                    <a:prstGeom prst="rect">
                      <a:avLst/>
                    </a:prstGeom>
                  </pic:spPr>
                </pic:pic>
              </a:graphicData>
            </a:graphic>
          </wp:inline>
        </w:drawing>
      </w:r>
    </w:p>
    <w:p w14:paraId="15822357" w14:textId="77777777" w:rsidR="002940EC" w:rsidRPr="00EE5F47" w:rsidRDefault="002940EC" w:rsidP="002940EC">
      <w:pPr>
        <w:rPr>
          <w:b/>
        </w:rPr>
      </w:pPr>
    </w:p>
    <w:p w14:paraId="6F0818F9" w14:textId="5A3F202B" w:rsidR="002940EC" w:rsidRDefault="002940EC" w:rsidP="005B2959">
      <w:pPr>
        <w:spacing w:line="480" w:lineRule="auto"/>
        <w:ind w:right="-450"/>
        <w:outlineLvl w:val="0"/>
      </w:pPr>
    </w:p>
    <w:p w14:paraId="42C1EFF5" w14:textId="251F57C8" w:rsidR="002940EC" w:rsidRDefault="002940EC" w:rsidP="005B2959">
      <w:pPr>
        <w:spacing w:line="480" w:lineRule="auto"/>
        <w:ind w:right="-450"/>
        <w:outlineLvl w:val="0"/>
      </w:pPr>
    </w:p>
    <w:p w14:paraId="3E775BF6" w14:textId="040FD113" w:rsidR="002940EC" w:rsidRDefault="002940EC" w:rsidP="005B2959">
      <w:pPr>
        <w:spacing w:line="480" w:lineRule="auto"/>
        <w:ind w:right="-450"/>
        <w:outlineLvl w:val="0"/>
      </w:pPr>
    </w:p>
    <w:p w14:paraId="6DD47E2C" w14:textId="0BF947A3" w:rsidR="002940EC" w:rsidRDefault="002940EC" w:rsidP="005B2959">
      <w:pPr>
        <w:spacing w:line="480" w:lineRule="auto"/>
        <w:ind w:right="-450"/>
        <w:outlineLvl w:val="0"/>
      </w:pPr>
    </w:p>
    <w:p w14:paraId="5550A9F7" w14:textId="06FD64F4" w:rsidR="002940EC" w:rsidRDefault="002940EC" w:rsidP="002940EC">
      <w:r>
        <w:rPr>
          <w:b/>
        </w:rPr>
        <w:lastRenderedPageBreak/>
        <w:t>Figure 3.</w:t>
      </w:r>
      <w:bookmarkStart w:id="2" w:name="_GoBack"/>
      <w:bookmarkEnd w:id="2"/>
      <w:r>
        <w:rPr>
          <w:b/>
        </w:rPr>
        <w:t xml:space="preserve"> </w:t>
      </w:r>
      <w:r>
        <w:t xml:space="preserve">Rate of change in ART coverage (in percentage points per year) for 39 sub-Saharan African countries, ranked by </w:t>
      </w:r>
      <w:r>
        <w:rPr>
          <w:rFonts w:cs="Times New Roman"/>
          <w:i/>
        </w:rPr>
        <w:t>μ</w:t>
      </w:r>
      <w:r>
        <w:rPr>
          <w:i/>
        </w:rPr>
        <w:t xml:space="preserve"> </w:t>
      </w:r>
      <w:r>
        <w:t>estimates (maximum</w:t>
      </w:r>
      <w:r w:rsidR="007E6704">
        <w:t xml:space="preserve"> estimated</w:t>
      </w:r>
      <w:r>
        <w:t xml:space="preserve"> rate of scale-up) from the Gompertz model.</w:t>
      </w:r>
    </w:p>
    <w:p w14:paraId="12953F20" w14:textId="77777777" w:rsidR="002940EC" w:rsidRPr="00034DDD" w:rsidRDefault="002940EC" w:rsidP="002940EC"/>
    <w:p w14:paraId="02A372AA" w14:textId="77777777" w:rsidR="002940EC" w:rsidRDefault="002940EC" w:rsidP="002940EC">
      <w:pPr>
        <w:rPr>
          <w:b/>
        </w:rPr>
      </w:pPr>
      <w:r>
        <w:rPr>
          <w:b/>
          <w:noProof/>
        </w:rPr>
        <w:drawing>
          <wp:inline distT="0" distB="0" distL="0" distR="0" wp14:anchorId="53729489" wp14:editId="6DB92F20">
            <wp:extent cx="5943542" cy="5848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_countr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542" cy="5848350"/>
                    </a:xfrm>
                    <a:prstGeom prst="rect">
                      <a:avLst/>
                    </a:prstGeom>
                  </pic:spPr>
                </pic:pic>
              </a:graphicData>
            </a:graphic>
          </wp:inline>
        </w:drawing>
      </w:r>
    </w:p>
    <w:p w14:paraId="41041970" w14:textId="3396880E" w:rsidR="002940EC" w:rsidRDefault="002940EC" w:rsidP="005B2959">
      <w:pPr>
        <w:spacing w:line="480" w:lineRule="auto"/>
        <w:ind w:right="-450"/>
        <w:outlineLvl w:val="0"/>
      </w:pPr>
    </w:p>
    <w:p w14:paraId="30EE4EA3" w14:textId="414B9CFB" w:rsidR="002940EC" w:rsidRDefault="002940EC" w:rsidP="005B2959">
      <w:pPr>
        <w:spacing w:line="480" w:lineRule="auto"/>
        <w:ind w:right="-450"/>
        <w:outlineLvl w:val="0"/>
      </w:pPr>
    </w:p>
    <w:p w14:paraId="0CD213E4" w14:textId="7251C8F9" w:rsidR="002940EC" w:rsidRDefault="002940EC" w:rsidP="005B2959">
      <w:pPr>
        <w:spacing w:line="480" w:lineRule="auto"/>
        <w:ind w:right="-450"/>
        <w:outlineLvl w:val="0"/>
      </w:pPr>
    </w:p>
    <w:p w14:paraId="4697ECAC" w14:textId="4D5F51D5" w:rsidR="002940EC" w:rsidRDefault="002940EC" w:rsidP="005B2959">
      <w:pPr>
        <w:spacing w:line="480" w:lineRule="auto"/>
        <w:ind w:right="-450"/>
        <w:outlineLvl w:val="0"/>
      </w:pPr>
    </w:p>
    <w:p w14:paraId="5CD33FEE" w14:textId="2F48685A" w:rsidR="002940EC" w:rsidRDefault="002940EC" w:rsidP="005B2959">
      <w:pPr>
        <w:spacing w:line="480" w:lineRule="auto"/>
        <w:ind w:right="-450"/>
        <w:outlineLvl w:val="0"/>
      </w:pPr>
    </w:p>
    <w:p w14:paraId="053E4BCE" w14:textId="77777777" w:rsidR="002940EC" w:rsidRPr="00034DDD" w:rsidRDefault="002940EC" w:rsidP="002940EC">
      <w:r>
        <w:rPr>
          <w:b/>
        </w:rPr>
        <w:lastRenderedPageBreak/>
        <w:t xml:space="preserve">Figure 4. </w:t>
      </w:r>
      <w:r>
        <w:t xml:space="preserve">Delay in ART coverage scale-up (in years) for 39 sub-Saharan African countries, ranked by </w:t>
      </w:r>
      <w:r>
        <w:rPr>
          <w:rFonts w:cs="Times New Roman"/>
          <w:i/>
        </w:rPr>
        <w:t>λ</w:t>
      </w:r>
      <w:r>
        <w:rPr>
          <w:i/>
        </w:rPr>
        <w:t xml:space="preserve"> </w:t>
      </w:r>
      <w:r>
        <w:t>estimates (time delay) from the Gompertz model.</w:t>
      </w:r>
    </w:p>
    <w:p w14:paraId="41EECAF1" w14:textId="77777777" w:rsidR="002940EC" w:rsidRPr="009613F8" w:rsidRDefault="002940EC" w:rsidP="002940EC">
      <w:r>
        <w:rPr>
          <w:b/>
        </w:rPr>
        <w:t xml:space="preserve"> </w:t>
      </w:r>
      <w:r>
        <w:rPr>
          <w:noProof/>
        </w:rPr>
        <w:drawing>
          <wp:inline distT="0" distB="0" distL="0" distR="0" wp14:anchorId="00EC66BB" wp14:editId="082DCBFC">
            <wp:extent cx="5943600" cy="5846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mbda_countr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846445"/>
                    </a:xfrm>
                    <a:prstGeom prst="rect">
                      <a:avLst/>
                    </a:prstGeom>
                  </pic:spPr>
                </pic:pic>
              </a:graphicData>
            </a:graphic>
          </wp:inline>
        </w:drawing>
      </w:r>
    </w:p>
    <w:p w14:paraId="07D804D6" w14:textId="7741AA45" w:rsidR="002940EC" w:rsidRDefault="002940EC" w:rsidP="005B2959">
      <w:pPr>
        <w:spacing w:line="480" w:lineRule="auto"/>
        <w:ind w:right="-450"/>
        <w:outlineLvl w:val="0"/>
      </w:pPr>
    </w:p>
    <w:p w14:paraId="2D2E04AA" w14:textId="5975C14D" w:rsidR="002940EC" w:rsidRDefault="002940EC" w:rsidP="005B2959">
      <w:pPr>
        <w:spacing w:line="480" w:lineRule="auto"/>
        <w:ind w:right="-450"/>
        <w:outlineLvl w:val="0"/>
      </w:pPr>
    </w:p>
    <w:p w14:paraId="1585951F" w14:textId="40B67A30" w:rsidR="002940EC" w:rsidRDefault="002940EC" w:rsidP="005B2959">
      <w:pPr>
        <w:spacing w:line="480" w:lineRule="auto"/>
        <w:ind w:right="-450"/>
        <w:outlineLvl w:val="0"/>
      </w:pPr>
    </w:p>
    <w:p w14:paraId="337A588F" w14:textId="77A4269C" w:rsidR="002940EC" w:rsidRDefault="002940EC" w:rsidP="005B2959">
      <w:pPr>
        <w:spacing w:line="480" w:lineRule="auto"/>
        <w:ind w:right="-450"/>
        <w:outlineLvl w:val="0"/>
      </w:pPr>
    </w:p>
    <w:p w14:paraId="6F6A2581" w14:textId="562DC95D" w:rsidR="002940EC" w:rsidRDefault="002940EC" w:rsidP="005B2959">
      <w:pPr>
        <w:spacing w:line="480" w:lineRule="auto"/>
        <w:ind w:right="-450"/>
        <w:outlineLvl w:val="0"/>
      </w:pPr>
    </w:p>
    <w:p w14:paraId="5ACBB048" w14:textId="77777777" w:rsidR="002940EC" w:rsidRDefault="002940EC" w:rsidP="002940EC">
      <w:r>
        <w:rPr>
          <w:b/>
        </w:rPr>
        <w:lastRenderedPageBreak/>
        <w:t xml:space="preserve">Figure 5. </w:t>
      </w:r>
      <w:r>
        <w:t>Difference in Bayesian information criterion (BIC) values between the Gompertz and logistic models for countries in sub-Saharan Africa, ranked from highest to lowest BIC values.</w:t>
      </w:r>
    </w:p>
    <w:p w14:paraId="533694BE" w14:textId="77777777" w:rsidR="002940EC" w:rsidRPr="009613F8" w:rsidRDefault="002940EC" w:rsidP="002940EC">
      <w:r>
        <w:rPr>
          <w:b/>
        </w:rPr>
        <w:t xml:space="preserve"> </w:t>
      </w:r>
      <w:r>
        <w:rPr>
          <w:noProof/>
        </w:rPr>
        <w:drawing>
          <wp:inline distT="0" distB="0" distL="0" distR="0" wp14:anchorId="6FF52E03" wp14:editId="2BF325FF">
            <wp:extent cx="5943600" cy="584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C_countr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844540"/>
                    </a:xfrm>
                    <a:prstGeom prst="rect">
                      <a:avLst/>
                    </a:prstGeom>
                  </pic:spPr>
                </pic:pic>
              </a:graphicData>
            </a:graphic>
          </wp:inline>
        </w:drawing>
      </w:r>
    </w:p>
    <w:p w14:paraId="3592C63C" w14:textId="77777777" w:rsidR="002940EC" w:rsidRPr="00723DE1" w:rsidRDefault="002940EC" w:rsidP="005B2959">
      <w:pPr>
        <w:spacing w:line="480" w:lineRule="auto"/>
        <w:ind w:right="-450"/>
        <w:outlineLvl w:val="0"/>
      </w:pPr>
    </w:p>
    <w:sectPr w:rsidR="002940EC" w:rsidRPr="00723DE1" w:rsidSect="0018013F">
      <w:footerReference w:type="even"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guet, Stephane" w:date="2019-07-28T19:34:00Z" w:initials="VS">
    <w:p w14:paraId="052E45F3" w14:textId="124510A1" w:rsidR="00C84B76" w:rsidRDefault="00C84B76">
      <w:pPr>
        <w:pStyle w:val="CommentText"/>
      </w:pPr>
      <w:r>
        <w:rPr>
          <w:rStyle w:val="CommentReference"/>
        </w:rPr>
        <w:annotationRef/>
      </w:r>
      <w:r>
        <w:t>Adjust results with updated time series and estimation</w:t>
      </w:r>
    </w:p>
  </w:comment>
  <w:comment w:id="1" w:author="Verguet, Stephane" w:date="2019-07-28T19:06:00Z" w:initials="VS">
    <w:p w14:paraId="496643AF" w14:textId="09FF5601" w:rsidR="005E77F6" w:rsidRDefault="005E77F6">
      <w:pPr>
        <w:pStyle w:val="CommentText"/>
      </w:pPr>
      <w:r>
        <w:rPr>
          <w:rStyle w:val="CommentReference"/>
        </w:rPr>
        <w:annotationRef/>
      </w:r>
      <w:r>
        <w:t>Get estimates directly from UNAIDS.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E45F3" w15:done="0"/>
  <w15:commentEx w15:paraId="496643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E45F3" w16cid:durableId="20E87760"/>
  <w16cid:commentId w16cid:paraId="496643AF" w16cid:durableId="20E87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296D5" w14:textId="77777777" w:rsidR="00516F95" w:rsidRDefault="00516F95" w:rsidP="0054142F">
      <w:r>
        <w:separator/>
      </w:r>
    </w:p>
  </w:endnote>
  <w:endnote w:type="continuationSeparator" w:id="0">
    <w:p w14:paraId="23854356" w14:textId="77777777" w:rsidR="00516F95" w:rsidRDefault="00516F95" w:rsidP="0054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7E3B" w14:textId="77777777" w:rsidR="006C3722" w:rsidRDefault="006C3722" w:rsidP="008C28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ED5C99" w14:textId="77777777" w:rsidR="006C3722" w:rsidRDefault="006C3722" w:rsidP="009A7B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49FC1" w14:textId="77777777" w:rsidR="006C3722" w:rsidRDefault="006C3722" w:rsidP="008C28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4DC1">
      <w:rPr>
        <w:rStyle w:val="PageNumber"/>
        <w:noProof/>
      </w:rPr>
      <w:t>3</w:t>
    </w:r>
    <w:r>
      <w:rPr>
        <w:rStyle w:val="PageNumber"/>
      </w:rPr>
      <w:fldChar w:fldCharType="end"/>
    </w:r>
  </w:p>
  <w:p w14:paraId="0C91B7DC" w14:textId="77777777" w:rsidR="006C3722" w:rsidRDefault="006C3722" w:rsidP="009A7B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952B2" w14:textId="77777777" w:rsidR="00516F95" w:rsidRDefault="00516F95" w:rsidP="0054142F">
      <w:r>
        <w:separator/>
      </w:r>
    </w:p>
  </w:footnote>
  <w:footnote w:type="continuationSeparator" w:id="0">
    <w:p w14:paraId="350E1C8F" w14:textId="77777777" w:rsidR="00516F95" w:rsidRDefault="00516F95" w:rsidP="00541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17EF"/>
    <w:multiLevelType w:val="multilevel"/>
    <w:tmpl w:val="B6C4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3DDE"/>
    <w:multiLevelType w:val="hybridMultilevel"/>
    <w:tmpl w:val="80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55DAE"/>
    <w:multiLevelType w:val="hybridMultilevel"/>
    <w:tmpl w:val="41BE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guet, Stephane">
    <w15:presenceInfo w15:providerId="None" w15:userId="Verguet, Steph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3F"/>
    <w:rsid w:val="000013C5"/>
    <w:rsid w:val="000169D0"/>
    <w:rsid w:val="0001789F"/>
    <w:rsid w:val="000227CC"/>
    <w:rsid w:val="00034733"/>
    <w:rsid w:val="00034DDD"/>
    <w:rsid w:val="00034E87"/>
    <w:rsid w:val="00041FCA"/>
    <w:rsid w:val="00047013"/>
    <w:rsid w:val="00055682"/>
    <w:rsid w:val="0005578B"/>
    <w:rsid w:val="000579B4"/>
    <w:rsid w:val="000579BF"/>
    <w:rsid w:val="00060B30"/>
    <w:rsid w:val="00061CFA"/>
    <w:rsid w:val="000632AA"/>
    <w:rsid w:val="00075026"/>
    <w:rsid w:val="00095ABB"/>
    <w:rsid w:val="000973AB"/>
    <w:rsid w:val="000A0217"/>
    <w:rsid w:val="000B0493"/>
    <w:rsid w:val="000B1DD5"/>
    <w:rsid w:val="000D2137"/>
    <w:rsid w:val="000E3019"/>
    <w:rsid w:val="000F060A"/>
    <w:rsid w:val="00102881"/>
    <w:rsid w:val="00102941"/>
    <w:rsid w:val="00107249"/>
    <w:rsid w:val="00107AB9"/>
    <w:rsid w:val="00120B4A"/>
    <w:rsid w:val="00124E67"/>
    <w:rsid w:val="00132615"/>
    <w:rsid w:val="00132788"/>
    <w:rsid w:val="00134AEF"/>
    <w:rsid w:val="00142B39"/>
    <w:rsid w:val="0015760A"/>
    <w:rsid w:val="001669C7"/>
    <w:rsid w:val="0018013F"/>
    <w:rsid w:val="001806B1"/>
    <w:rsid w:val="00181557"/>
    <w:rsid w:val="00194171"/>
    <w:rsid w:val="001A3DC7"/>
    <w:rsid w:val="001A7AF0"/>
    <w:rsid w:val="001B208D"/>
    <w:rsid w:val="001B350D"/>
    <w:rsid w:val="001C4623"/>
    <w:rsid w:val="001C4934"/>
    <w:rsid w:val="001C69BC"/>
    <w:rsid w:val="001E48FF"/>
    <w:rsid w:val="001F0C9A"/>
    <w:rsid w:val="001F17E9"/>
    <w:rsid w:val="001F524A"/>
    <w:rsid w:val="00200D89"/>
    <w:rsid w:val="00201F19"/>
    <w:rsid w:val="0020544C"/>
    <w:rsid w:val="002059A1"/>
    <w:rsid w:val="00213AE9"/>
    <w:rsid w:val="00215C76"/>
    <w:rsid w:val="00222600"/>
    <w:rsid w:val="0023457F"/>
    <w:rsid w:val="00250810"/>
    <w:rsid w:val="0025578B"/>
    <w:rsid w:val="00260A4C"/>
    <w:rsid w:val="002668CE"/>
    <w:rsid w:val="00270F8B"/>
    <w:rsid w:val="002741FB"/>
    <w:rsid w:val="00275E91"/>
    <w:rsid w:val="00280DA0"/>
    <w:rsid w:val="00281ED1"/>
    <w:rsid w:val="002873BB"/>
    <w:rsid w:val="002921B3"/>
    <w:rsid w:val="002940EC"/>
    <w:rsid w:val="00294CF7"/>
    <w:rsid w:val="002A5DBA"/>
    <w:rsid w:val="002C7987"/>
    <w:rsid w:val="002D2A8B"/>
    <w:rsid w:val="002E2544"/>
    <w:rsid w:val="002F018D"/>
    <w:rsid w:val="002F02BD"/>
    <w:rsid w:val="002F0F7E"/>
    <w:rsid w:val="002F3BE6"/>
    <w:rsid w:val="00303973"/>
    <w:rsid w:val="00303CFE"/>
    <w:rsid w:val="00307CD3"/>
    <w:rsid w:val="00311AF0"/>
    <w:rsid w:val="0031560E"/>
    <w:rsid w:val="00332853"/>
    <w:rsid w:val="00334973"/>
    <w:rsid w:val="00343FB3"/>
    <w:rsid w:val="00346CF1"/>
    <w:rsid w:val="00347E51"/>
    <w:rsid w:val="00351402"/>
    <w:rsid w:val="00351DE0"/>
    <w:rsid w:val="0035797E"/>
    <w:rsid w:val="00360E93"/>
    <w:rsid w:val="00361F28"/>
    <w:rsid w:val="00362CF2"/>
    <w:rsid w:val="003668D9"/>
    <w:rsid w:val="00367C03"/>
    <w:rsid w:val="00367C3A"/>
    <w:rsid w:val="00371A73"/>
    <w:rsid w:val="00371A8C"/>
    <w:rsid w:val="00374EB3"/>
    <w:rsid w:val="003778BD"/>
    <w:rsid w:val="00380ADD"/>
    <w:rsid w:val="00396B31"/>
    <w:rsid w:val="003A199A"/>
    <w:rsid w:val="003A243D"/>
    <w:rsid w:val="003A4062"/>
    <w:rsid w:val="003A7B87"/>
    <w:rsid w:val="003B20D9"/>
    <w:rsid w:val="003B7260"/>
    <w:rsid w:val="003C63E0"/>
    <w:rsid w:val="003C6533"/>
    <w:rsid w:val="003D04E2"/>
    <w:rsid w:val="003D32F4"/>
    <w:rsid w:val="003D4DE2"/>
    <w:rsid w:val="003D7D16"/>
    <w:rsid w:val="003E0110"/>
    <w:rsid w:val="003E0973"/>
    <w:rsid w:val="003E5F45"/>
    <w:rsid w:val="00403031"/>
    <w:rsid w:val="00405151"/>
    <w:rsid w:val="004158D2"/>
    <w:rsid w:val="00420411"/>
    <w:rsid w:val="004315A4"/>
    <w:rsid w:val="00431640"/>
    <w:rsid w:val="00442780"/>
    <w:rsid w:val="00451791"/>
    <w:rsid w:val="004547AE"/>
    <w:rsid w:val="00455D83"/>
    <w:rsid w:val="00457CEE"/>
    <w:rsid w:val="004659F7"/>
    <w:rsid w:val="0047073F"/>
    <w:rsid w:val="004979FC"/>
    <w:rsid w:val="004A2681"/>
    <w:rsid w:val="004A5E9C"/>
    <w:rsid w:val="004A63FD"/>
    <w:rsid w:val="004A6FCE"/>
    <w:rsid w:val="004B3072"/>
    <w:rsid w:val="004B44EE"/>
    <w:rsid w:val="004C5B39"/>
    <w:rsid w:val="004D072B"/>
    <w:rsid w:val="004D52B7"/>
    <w:rsid w:val="004D5A62"/>
    <w:rsid w:val="004E7017"/>
    <w:rsid w:val="004F1796"/>
    <w:rsid w:val="004F3A37"/>
    <w:rsid w:val="004F454C"/>
    <w:rsid w:val="004F528C"/>
    <w:rsid w:val="005026DE"/>
    <w:rsid w:val="00504863"/>
    <w:rsid w:val="00505834"/>
    <w:rsid w:val="00510608"/>
    <w:rsid w:val="00512541"/>
    <w:rsid w:val="00515BC4"/>
    <w:rsid w:val="00516BB0"/>
    <w:rsid w:val="00516F95"/>
    <w:rsid w:val="00523F22"/>
    <w:rsid w:val="00524857"/>
    <w:rsid w:val="00524C45"/>
    <w:rsid w:val="00535C2E"/>
    <w:rsid w:val="00537006"/>
    <w:rsid w:val="00540F54"/>
    <w:rsid w:val="005410BC"/>
    <w:rsid w:val="0054142F"/>
    <w:rsid w:val="0054180E"/>
    <w:rsid w:val="00547199"/>
    <w:rsid w:val="00552C4F"/>
    <w:rsid w:val="005558D0"/>
    <w:rsid w:val="00563222"/>
    <w:rsid w:val="005652DF"/>
    <w:rsid w:val="00572512"/>
    <w:rsid w:val="00572648"/>
    <w:rsid w:val="00573A43"/>
    <w:rsid w:val="005779BE"/>
    <w:rsid w:val="00597B7F"/>
    <w:rsid w:val="005A3129"/>
    <w:rsid w:val="005A41C7"/>
    <w:rsid w:val="005A7F5D"/>
    <w:rsid w:val="005B231C"/>
    <w:rsid w:val="005B2959"/>
    <w:rsid w:val="005D1E82"/>
    <w:rsid w:val="005D2880"/>
    <w:rsid w:val="005E46ED"/>
    <w:rsid w:val="005E77F6"/>
    <w:rsid w:val="005F42A7"/>
    <w:rsid w:val="00604434"/>
    <w:rsid w:val="00614BA8"/>
    <w:rsid w:val="006347D2"/>
    <w:rsid w:val="00635454"/>
    <w:rsid w:val="00644163"/>
    <w:rsid w:val="006674B6"/>
    <w:rsid w:val="0067018B"/>
    <w:rsid w:val="006812F1"/>
    <w:rsid w:val="00697580"/>
    <w:rsid w:val="006B7F2B"/>
    <w:rsid w:val="006C3722"/>
    <w:rsid w:val="006C56DC"/>
    <w:rsid w:val="006D0175"/>
    <w:rsid w:val="006D69DE"/>
    <w:rsid w:val="006E15B0"/>
    <w:rsid w:val="006E1D39"/>
    <w:rsid w:val="006E2853"/>
    <w:rsid w:val="006E690B"/>
    <w:rsid w:val="006F0A75"/>
    <w:rsid w:val="006F6DBC"/>
    <w:rsid w:val="00705C8F"/>
    <w:rsid w:val="00706615"/>
    <w:rsid w:val="00717035"/>
    <w:rsid w:val="00722C00"/>
    <w:rsid w:val="00723DE1"/>
    <w:rsid w:val="007300DA"/>
    <w:rsid w:val="007411DA"/>
    <w:rsid w:val="0074789E"/>
    <w:rsid w:val="00747C35"/>
    <w:rsid w:val="00747CE0"/>
    <w:rsid w:val="00750B04"/>
    <w:rsid w:val="007540DE"/>
    <w:rsid w:val="00757920"/>
    <w:rsid w:val="00757CF7"/>
    <w:rsid w:val="00764F18"/>
    <w:rsid w:val="00774D1B"/>
    <w:rsid w:val="007754B5"/>
    <w:rsid w:val="00775E05"/>
    <w:rsid w:val="00780A87"/>
    <w:rsid w:val="0078126D"/>
    <w:rsid w:val="00783536"/>
    <w:rsid w:val="00785DF0"/>
    <w:rsid w:val="00790745"/>
    <w:rsid w:val="0079258F"/>
    <w:rsid w:val="007B121F"/>
    <w:rsid w:val="007B295D"/>
    <w:rsid w:val="007C2DE7"/>
    <w:rsid w:val="007C490E"/>
    <w:rsid w:val="007D49F7"/>
    <w:rsid w:val="007E0BE5"/>
    <w:rsid w:val="007E10DD"/>
    <w:rsid w:val="007E25FF"/>
    <w:rsid w:val="007E6704"/>
    <w:rsid w:val="007E7C96"/>
    <w:rsid w:val="007F1F34"/>
    <w:rsid w:val="007F3ADE"/>
    <w:rsid w:val="0080745B"/>
    <w:rsid w:val="008103F8"/>
    <w:rsid w:val="00821B72"/>
    <w:rsid w:val="00827999"/>
    <w:rsid w:val="00831247"/>
    <w:rsid w:val="00842E7C"/>
    <w:rsid w:val="00850634"/>
    <w:rsid w:val="00857E2C"/>
    <w:rsid w:val="00861A82"/>
    <w:rsid w:val="008664F2"/>
    <w:rsid w:val="00867E02"/>
    <w:rsid w:val="00872833"/>
    <w:rsid w:val="00880F2F"/>
    <w:rsid w:val="00883CB0"/>
    <w:rsid w:val="00885E54"/>
    <w:rsid w:val="008864F3"/>
    <w:rsid w:val="0088666D"/>
    <w:rsid w:val="008A4DD8"/>
    <w:rsid w:val="008B13EB"/>
    <w:rsid w:val="008B58F5"/>
    <w:rsid w:val="008B69F4"/>
    <w:rsid w:val="008C282D"/>
    <w:rsid w:val="008D3E9A"/>
    <w:rsid w:val="008D73FB"/>
    <w:rsid w:val="008E4D8D"/>
    <w:rsid w:val="008E6615"/>
    <w:rsid w:val="008E7ACC"/>
    <w:rsid w:val="008F1884"/>
    <w:rsid w:val="008F3287"/>
    <w:rsid w:val="008F49DC"/>
    <w:rsid w:val="0090277D"/>
    <w:rsid w:val="00925312"/>
    <w:rsid w:val="00930011"/>
    <w:rsid w:val="00934AB0"/>
    <w:rsid w:val="00936D4D"/>
    <w:rsid w:val="00937B2D"/>
    <w:rsid w:val="0094158D"/>
    <w:rsid w:val="009467AC"/>
    <w:rsid w:val="00953324"/>
    <w:rsid w:val="00966111"/>
    <w:rsid w:val="00980006"/>
    <w:rsid w:val="0098328C"/>
    <w:rsid w:val="00984F46"/>
    <w:rsid w:val="009878DB"/>
    <w:rsid w:val="00993D45"/>
    <w:rsid w:val="009A26E2"/>
    <w:rsid w:val="009A6591"/>
    <w:rsid w:val="009A7B0A"/>
    <w:rsid w:val="009B2285"/>
    <w:rsid w:val="009B5EE8"/>
    <w:rsid w:val="009B765B"/>
    <w:rsid w:val="009D0B92"/>
    <w:rsid w:val="009D445D"/>
    <w:rsid w:val="009E37BC"/>
    <w:rsid w:val="009E7420"/>
    <w:rsid w:val="009E78B4"/>
    <w:rsid w:val="00A1530B"/>
    <w:rsid w:val="00A1543B"/>
    <w:rsid w:val="00A15CD8"/>
    <w:rsid w:val="00A32624"/>
    <w:rsid w:val="00A336FE"/>
    <w:rsid w:val="00A4150F"/>
    <w:rsid w:val="00A535D8"/>
    <w:rsid w:val="00A610D2"/>
    <w:rsid w:val="00A654A0"/>
    <w:rsid w:val="00A7139C"/>
    <w:rsid w:val="00A76583"/>
    <w:rsid w:val="00A84217"/>
    <w:rsid w:val="00A845EA"/>
    <w:rsid w:val="00A92AD9"/>
    <w:rsid w:val="00AA04F8"/>
    <w:rsid w:val="00AA1C1C"/>
    <w:rsid w:val="00AA3677"/>
    <w:rsid w:val="00AA482C"/>
    <w:rsid w:val="00AB3009"/>
    <w:rsid w:val="00AC354A"/>
    <w:rsid w:val="00AD045C"/>
    <w:rsid w:val="00AE1531"/>
    <w:rsid w:val="00AE1F90"/>
    <w:rsid w:val="00AE47A3"/>
    <w:rsid w:val="00AF50AC"/>
    <w:rsid w:val="00B0352B"/>
    <w:rsid w:val="00B05984"/>
    <w:rsid w:val="00B06CB6"/>
    <w:rsid w:val="00B1132C"/>
    <w:rsid w:val="00B15931"/>
    <w:rsid w:val="00B203CF"/>
    <w:rsid w:val="00B265B6"/>
    <w:rsid w:val="00B34448"/>
    <w:rsid w:val="00B3467F"/>
    <w:rsid w:val="00B418C1"/>
    <w:rsid w:val="00B4257D"/>
    <w:rsid w:val="00B43F36"/>
    <w:rsid w:val="00B46668"/>
    <w:rsid w:val="00B513E1"/>
    <w:rsid w:val="00B601F1"/>
    <w:rsid w:val="00B60771"/>
    <w:rsid w:val="00B6434D"/>
    <w:rsid w:val="00B66ACD"/>
    <w:rsid w:val="00B72909"/>
    <w:rsid w:val="00B75372"/>
    <w:rsid w:val="00B7662E"/>
    <w:rsid w:val="00B80BC8"/>
    <w:rsid w:val="00B83ED2"/>
    <w:rsid w:val="00B97CCB"/>
    <w:rsid w:val="00BA33AE"/>
    <w:rsid w:val="00BA6877"/>
    <w:rsid w:val="00BB2518"/>
    <w:rsid w:val="00BB6966"/>
    <w:rsid w:val="00BB6C76"/>
    <w:rsid w:val="00BB74D5"/>
    <w:rsid w:val="00BB7B6A"/>
    <w:rsid w:val="00BC0424"/>
    <w:rsid w:val="00BC6280"/>
    <w:rsid w:val="00BD25E9"/>
    <w:rsid w:val="00BE6A81"/>
    <w:rsid w:val="00BE7E19"/>
    <w:rsid w:val="00BF4AC5"/>
    <w:rsid w:val="00C0139D"/>
    <w:rsid w:val="00C02A0D"/>
    <w:rsid w:val="00C03A6D"/>
    <w:rsid w:val="00C05259"/>
    <w:rsid w:val="00C06DF6"/>
    <w:rsid w:val="00C17D70"/>
    <w:rsid w:val="00C20127"/>
    <w:rsid w:val="00C23769"/>
    <w:rsid w:val="00C370C0"/>
    <w:rsid w:val="00C4039D"/>
    <w:rsid w:val="00C61F9E"/>
    <w:rsid w:val="00C67A31"/>
    <w:rsid w:val="00C720F1"/>
    <w:rsid w:val="00C732D7"/>
    <w:rsid w:val="00C7463C"/>
    <w:rsid w:val="00C7557B"/>
    <w:rsid w:val="00C80A3B"/>
    <w:rsid w:val="00C84B76"/>
    <w:rsid w:val="00C84DC1"/>
    <w:rsid w:val="00C85F78"/>
    <w:rsid w:val="00C9141A"/>
    <w:rsid w:val="00C929DE"/>
    <w:rsid w:val="00C92A28"/>
    <w:rsid w:val="00CA25EC"/>
    <w:rsid w:val="00CA7CE0"/>
    <w:rsid w:val="00CC23E9"/>
    <w:rsid w:val="00CC74B3"/>
    <w:rsid w:val="00CC7F17"/>
    <w:rsid w:val="00CD2663"/>
    <w:rsid w:val="00CD3F50"/>
    <w:rsid w:val="00CD5C5E"/>
    <w:rsid w:val="00CD710B"/>
    <w:rsid w:val="00CF05D2"/>
    <w:rsid w:val="00CF1D3F"/>
    <w:rsid w:val="00CF29DC"/>
    <w:rsid w:val="00CF4A8F"/>
    <w:rsid w:val="00CF50A5"/>
    <w:rsid w:val="00CF6668"/>
    <w:rsid w:val="00D012D9"/>
    <w:rsid w:val="00D04408"/>
    <w:rsid w:val="00D05E44"/>
    <w:rsid w:val="00D145DE"/>
    <w:rsid w:val="00D16D33"/>
    <w:rsid w:val="00D1757B"/>
    <w:rsid w:val="00D42982"/>
    <w:rsid w:val="00D54EA7"/>
    <w:rsid w:val="00D554A3"/>
    <w:rsid w:val="00D63492"/>
    <w:rsid w:val="00D63988"/>
    <w:rsid w:val="00D63FB2"/>
    <w:rsid w:val="00D71913"/>
    <w:rsid w:val="00D76C92"/>
    <w:rsid w:val="00D77DC4"/>
    <w:rsid w:val="00D86D56"/>
    <w:rsid w:val="00DB3578"/>
    <w:rsid w:val="00DD1EF2"/>
    <w:rsid w:val="00DE06DA"/>
    <w:rsid w:val="00DE3923"/>
    <w:rsid w:val="00DE6189"/>
    <w:rsid w:val="00DF6AC4"/>
    <w:rsid w:val="00E07D85"/>
    <w:rsid w:val="00E25553"/>
    <w:rsid w:val="00E32085"/>
    <w:rsid w:val="00E3442C"/>
    <w:rsid w:val="00E513B3"/>
    <w:rsid w:val="00E565AB"/>
    <w:rsid w:val="00E57608"/>
    <w:rsid w:val="00E65CCF"/>
    <w:rsid w:val="00E700C5"/>
    <w:rsid w:val="00E75364"/>
    <w:rsid w:val="00E9482A"/>
    <w:rsid w:val="00E94A73"/>
    <w:rsid w:val="00E95016"/>
    <w:rsid w:val="00E977CA"/>
    <w:rsid w:val="00EB65FC"/>
    <w:rsid w:val="00EB6E30"/>
    <w:rsid w:val="00EC169B"/>
    <w:rsid w:val="00EC464D"/>
    <w:rsid w:val="00EC476E"/>
    <w:rsid w:val="00EC4B7B"/>
    <w:rsid w:val="00ED0E5B"/>
    <w:rsid w:val="00ED11A8"/>
    <w:rsid w:val="00EE3A51"/>
    <w:rsid w:val="00EE4472"/>
    <w:rsid w:val="00EF331B"/>
    <w:rsid w:val="00EF3B82"/>
    <w:rsid w:val="00F029AC"/>
    <w:rsid w:val="00F043D5"/>
    <w:rsid w:val="00F04CA0"/>
    <w:rsid w:val="00F12202"/>
    <w:rsid w:val="00F13AE6"/>
    <w:rsid w:val="00F14C60"/>
    <w:rsid w:val="00F154E9"/>
    <w:rsid w:val="00F20131"/>
    <w:rsid w:val="00F22112"/>
    <w:rsid w:val="00F33194"/>
    <w:rsid w:val="00F37D17"/>
    <w:rsid w:val="00F42854"/>
    <w:rsid w:val="00F436DB"/>
    <w:rsid w:val="00F456CC"/>
    <w:rsid w:val="00F53509"/>
    <w:rsid w:val="00F66B6E"/>
    <w:rsid w:val="00F70411"/>
    <w:rsid w:val="00F71208"/>
    <w:rsid w:val="00F761AA"/>
    <w:rsid w:val="00F83107"/>
    <w:rsid w:val="00F91912"/>
    <w:rsid w:val="00F91B52"/>
    <w:rsid w:val="00FA2871"/>
    <w:rsid w:val="00FB4E8B"/>
    <w:rsid w:val="00FC09B3"/>
    <w:rsid w:val="00FC0BBC"/>
    <w:rsid w:val="00FC4B3F"/>
    <w:rsid w:val="00FD38B5"/>
    <w:rsid w:val="00FD4109"/>
    <w:rsid w:val="00FE304E"/>
    <w:rsid w:val="00FE52EB"/>
    <w:rsid w:val="00FE59E2"/>
    <w:rsid w:val="00FE6C6F"/>
    <w:rsid w:val="00FF4717"/>
    <w:rsid w:val="00FF6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A3F19"/>
  <w15:docId w15:val="{54B0AE56-4C69-4A3C-A26C-22390E33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6ACD"/>
    <w:pPr>
      <w:tabs>
        <w:tab w:val="left" w:pos="384"/>
      </w:tabs>
      <w:ind w:left="384" w:hanging="384"/>
    </w:pPr>
  </w:style>
  <w:style w:type="paragraph" w:styleId="Header">
    <w:name w:val="header"/>
    <w:basedOn w:val="Normal"/>
    <w:link w:val="HeaderChar"/>
    <w:uiPriority w:val="99"/>
    <w:unhideWhenUsed/>
    <w:rsid w:val="0054142F"/>
    <w:pPr>
      <w:tabs>
        <w:tab w:val="center" w:pos="4680"/>
        <w:tab w:val="right" w:pos="9360"/>
      </w:tabs>
    </w:pPr>
  </w:style>
  <w:style w:type="character" w:customStyle="1" w:styleId="HeaderChar">
    <w:name w:val="Header Char"/>
    <w:basedOn w:val="DefaultParagraphFont"/>
    <w:link w:val="Header"/>
    <w:uiPriority w:val="99"/>
    <w:rsid w:val="0054142F"/>
  </w:style>
  <w:style w:type="paragraph" w:styleId="Footer">
    <w:name w:val="footer"/>
    <w:basedOn w:val="Normal"/>
    <w:link w:val="FooterChar"/>
    <w:uiPriority w:val="99"/>
    <w:unhideWhenUsed/>
    <w:rsid w:val="0054142F"/>
    <w:pPr>
      <w:tabs>
        <w:tab w:val="center" w:pos="4680"/>
        <w:tab w:val="right" w:pos="9360"/>
      </w:tabs>
    </w:pPr>
  </w:style>
  <w:style w:type="character" w:customStyle="1" w:styleId="FooterChar">
    <w:name w:val="Footer Char"/>
    <w:basedOn w:val="DefaultParagraphFont"/>
    <w:link w:val="Footer"/>
    <w:uiPriority w:val="99"/>
    <w:rsid w:val="0054142F"/>
  </w:style>
  <w:style w:type="paragraph" w:styleId="BalloonText">
    <w:name w:val="Balloon Text"/>
    <w:basedOn w:val="Normal"/>
    <w:link w:val="BalloonTextChar"/>
    <w:uiPriority w:val="99"/>
    <w:semiHidden/>
    <w:unhideWhenUsed/>
    <w:rsid w:val="004E7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017"/>
    <w:rPr>
      <w:rFonts w:ascii="Lucida Grande" w:hAnsi="Lucida Grande" w:cs="Lucida Grande"/>
      <w:sz w:val="18"/>
      <w:szCs w:val="18"/>
    </w:rPr>
  </w:style>
  <w:style w:type="character" w:styleId="PageNumber">
    <w:name w:val="page number"/>
    <w:basedOn w:val="DefaultParagraphFont"/>
    <w:uiPriority w:val="99"/>
    <w:semiHidden/>
    <w:unhideWhenUsed/>
    <w:rsid w:val="007540DE"/>
  </w:style>
  <w:style w:type="character" w:styleId="CommentReference">
    <w:name w:val="annotation reference"/>
    <w:basedOn w:val="DefaultParagraphFont"/>
    <w:uiPriority w:val="99"/>
    <w:semiHidden/>
    <w:unhideWhenUsed/>
    <w:rsid w:val="008C282D"/>
    <w:rPr>
      <w:sz w:val="18"/>
      <w:szCs w:val="18"/>
    </w:rPr>
  </w:style>
  <w:style w:type="paragraph" w:styleId="CommentText">
    <w:name w:val="annotation text"/>
    <w:basedOn w:val="Normal"/>
    <w:link w:val="CommentTextChar"/>
    <w:uiPriority w:val="99"/>
    <w:semiHidden/>
    <w:unhideWhenUsed/>
    <w:rsid w:val="008C282D"/>
    <w:rPr>
      <w:szCs w:val="24"/>
    </w:rPr>
  </w:style>
  <w:style w:type="character" w:customStyle="1" w:styleId="CommentTextChar">
    <w:name w:val="Comment Text Char"/>
    <w:basedOn w:val="DefaultParagraphFont"/>
    <w:link w:val="CommentText"/>
    <w:uiPriority w:val="99"/>
    <w:semiHidden/>
    <w:rsid w:val="008C282D"/>
    <w:rPr>
      <w:szCs w:val="24"/>
    </w:rPr>
  </w:style>
  <w:style w:type="paragraph" w:styleId="CommentSubject">
    <w:name w:val="annotation subject"/>
    <w:basedOn w:val="CommentText"/>
    <w:next w:val="CommentText"/>
    <w:link w:val="CommentSubjectChar"/>
    <w:uiPriority w:val="99"/>
    <w:semiHidden/>
    <w:unhideWhenUsed/>
    <w:rsid w:val="008C282D"/>
    <w:rPr>
      <w:b/>
      <w:bCs/>
      <w:sz w:val="20"/>
      <w:szCs w:val="20"/>
    </w:rPr>
  </w:style>
  <w:style w:type="character" w:customStyle="1" w:styleId="CommentSubjectChar">
    <w:name w:val="Comment Subject Char"/>
    <w:basedOn w:val="CommentTextChar"/>
    <w:link w:val="CommentSubject"/>
    <w:uiPriority w:val="99"/>
    <w:semiHidden/>
    <w:rsid w:val="008C282D"/>
    <w:rPr>
      <w:b/>
      <w:bCs/>
      <w:sz w:val="20"/>
      <w:szCs w:val="20"/>
    </w:rPr>
  </w:style>
  <w:style w:type="paragraph" w:styleId="ListParagraph">
    <w:name w:val="List Paragraph"/>
    <w:basedOn w:val="Normal"/>
    <w:uiPriority w:val="34"/>
    <w:qFormat/>
    <w:rsid w:val="00697580"/>
    <w:pPr>
      <w:ind w:left="720"/>
      <w:contextualSpacing/>
    </w:pPr>
  </w:style>
  <w:style w:type="character" w:styleId="PlaceholderText">
    <w:name w:val="Placeholder Text"/>
    <w:basedOn w:val="DefaultParagraphFont"/>
    <w:uiPriority w:val="99"/>
    <w:semiHidden/>
    <w:rsid w:val="007C490E"/>
    <w:rPr>
      <w:color w:val="808080"/>
    </w:rPr>
  </w:style>
  <w:style w:type="paragraph" w:styleId="Revision">
    <w:name w:val="Revision"/>
    <w:hidden/>
    <w:uiPriority w:val="99"/>
    <w:semiHidden/>
    <w:rsid w:val="00280DA0"/>
  </w:style>
  <w:style w:type="character" w:styleId="LineNumber">
    <w:name w:val="line number"/>
    <w:basedOn w:val="DefaultParagraphFont"/>
    <w:uiPriority w:val="99"/>
    <w:semiHidden/>
    <w:unhideWhenUsed/>
    <w:rsid w:val="006812F1"/>
  </w:style>
  <w:style w:type="character" w:styleId="Hyperlink">
    <w:name w:val="Hyperlink"/>
    <w:basedOn w:val="DefaultParagraphFont"/>
    <w:uiPriority w:val="99"/>
    <w:unhideWhenUsed/>
    <w:rsid w:val="00B43F36"/>
    <w:rPr>
      <w:color w:val="0563C1" w:themeColor="hyperlink"/>
      <w:u w:val="single"/>
    </w:rPr>
  </w:style>
  <w:style w:type="character" w:styleId="UnresolvedMention">
    <w:name w:val="Unresolved Mention"/>
    <w:basedOn w:val="DefaultParagraphFont"/>
    <w:uiPriority w:val="99"/>
    <w:semiHidden/>
    <w:unhideWhenUsed/>
    <w:rsid w:val="00B43F36"/>
    <w:rPr>
      <w:color w:val="605E5C"/>
      <w:shd w:val="clear" w:color="auto" w:fill="E1DFDD"/>
    </w:rPr>
  </w:style>
  <w:style w:type="paragraph" w:customStyle="1" w:styleId="refauthorsname">
    <w:name w:val="ref__authors__name"/>
    <w:basedOn w:val="Normal"/>
    <w:rsid w:val="008F3287"/>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8F3287"/>
  </w:style>
  <w:style w:type="character" w:customStyle="1" w:styleId="refseries">
    <w:name w:val="ref__series"/>
    <w:basedOn w:val="DefaultParagraphFont"/>
    <w:rsid w:val="008F3287"/>
  </w:style>
  <w:style w:type="character" w:customStyle="1" w:styleId="refseriesdate">
    <w:name w:val="ref__seriesdate"/>
    <w:basedOn w:val="DefaultParagraphFont"/>
    <w:rsid w:val="008F3287"/>
  </w:style>
  <w:style w:type="character" w:customStyle="1" w:styleId="refseriesvolume">
    <w:name w:val="ref__seriesvolume"/>
    <w:basedOn w:val="DefaultParagraphFont"/>
    <w:rsid w:val="008F3287"/>
  </w:style>
  <w:style w:type="character" w:customStyle="1" w:styleId="refseriespages">
    <w:name w:val="ref__seriespages"/>
    <w:basedOn w:val="DefaultParagraphFont"/>
    <w:rsid w:val="008F3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6998">
      <w:bodyDiv w:val="1"/>
      <w:marLeft w:val="0"/>
      <w:marRight w:val="0"/>
      <w:marTop w:val="0"/>
      <w:marBottom w:val="0"/>
      <w:divBdr>
        <w:top w:val="none" w:sz="0" w:space="0" w:color="auto"/>
        <w:left w:val="none" w:sz="0" w:space="0" w:color="auto"/>
        <w:bottom w:val="none" w:sz="0" w:space="0" w:color="auto"/>
        <w:right w:val="none" w:sz="0" w:space="0" w:color="auto"/>
      </w:divBdr>
    </w:div>
    <w:div w:id="455372733">
      <w:bodyDiv w:val="1"/>
      <w:marLeft w:val="0"/>
      <w:marRight w:val="0"/>
      <w:marTop w:val="0"/>
      <w:marBottom w:val="0"/>
      <w:divBdr>
        <w:top w:val="none" w:sz="0" w:space="0" w:color="auto"/>
        <w:left w:val="none" w:sz="0" w:space="0" w:color="auto"/>
        <w:bottom w:val="none" w:sz="0" w:space="0" w:color="auto"/>
        <w:right w:val="none" w:sz="0" w:space="0" w:color="auto"/>
      </w:divBdr>
    </w:div>
    <w:div w:id="838082567">
      <w:bodyDiv w:val="1"/>
      <w:marLeft w:val="0"/>
      <w:marRight w:val="0"/>
      <w:marTop w:val="0"/>
      <w:marBottom w:val="0"/>
      <w:divBdr>
        <w:top w:val="none" w:sz="0" w:space="0" w:color="auto"/>
        <w:left w:val="none" w:sz="0" w:space="0" w:color="auto"/>
        <w:bottom w:val="none" w:sz="0" w:space="0" w:color="auto"/>
        <w:right w:val="none" w:sz="0" w:space="0" w:color="auto"/>
      </w:divBdr>
    </w:div>
    <w:div w:id="903024082">
      <w:bodyDiv w:val="1"/>
      <w:marLeft w:val="0"/>
      <w:marRight w:val="0"/>
      <w:marTop w:val="0"/>
      <w:marBottom w:val="0"/>
      <w:divBdr>
        <w:top w:val="none" w:sz="0" w:space="0" w:color="auto"/>
        <w:left w:val="none" w:sz="0" w:space="0" w:color="auto"/>
        <w:bottom w:val="none" w:sz="0" w:space="0" w:color="auto"/>
        <w:right w:val="none" w:sz="0" w:space="0" w:color="auto"/>
      </w:divBdr>
    </w:div>
    <w:div w:id="920874797">
      <w:bodyDiv w:val="1"/>
      <w:marLeft w:val="0"/>
      <w:marRight w:val="0"/>
      <w:marTop w:val="0"/>
      <w:marBottom w:val="0"/>
      <w:divBdr>
        <w:top w:val="none" w:sz="0" w:space="0" w:color="auto"/>
        <w:left w:val="none" w:sz="0" w:space="0" w:color="auto"/>
        <w:bottom w:val="none" w:sz="0" w:space="0" w:color="auto"/>
        <w:right w:val="none" w:sz="0" w:space="0" w:color="auto"/>
      </w:divBdr>
    </w:div>
    <w:div w:id="1015762479">
      <w:bodyDiv w:val="1"/>
      <w:marLeft w:val="0"/>
      <w:marRight w:val="0"/>
      <w:marTop w:val="0"/>
      <w:marBottom w:val="0"/>
      <w:divBdr>
        <w:top w:val="none" w:sz="0" w:space="0" w:color="auto"/>
        <w:left w:val="none" w:sz="0" w:space="0" w:color="auto"/>
        <w:bottom w:val="none" w:sz="0" w:space="0" w:color="auto"/>
        <w:right w:val="none" w:sz="0" w:space="0" w:color="auto"/>
      </w:divBdr>
    </w:div>
    <w:div w:id="1807577483">
      <w:bodyDiv w:val="1"/>
      <w:marLeft w:val="0"/>
      <w:marRight w:val="0"/>
      <w:marTop w:val="0"/>
      <w:marBottom w:val="0"/>
      <w:divBdr>
        <w:top w:val="none" w:sz="0" w:space="0" w:color="auto"/>
        <w:left w:val="none" w:sz="0" w:space="0" w:color="auto"/>
        <w:bottom w:val="none" w:sz="0" w:space="0" w:color="auto"/>
        <w:right w:val="none" w:sz="0" w:space="0" w:color="auto"/>
      </w:divBdr>
    </w:div>
    <w:div w:id="1860779618">
      <w:bodyDiv w:val="1"/>
      <w:marLeft w:val="0"/>
      <w:marRight w:val="0"/>
      <w:marTop w:val="0"/>
      <w:marBottom w:val="0"/>
      <w:divBdr>
        <w:top w:val="none" w:sz="0" w:space="0" w:color="auto"/>
        <w:left w:val="none" w:sz="0" w:space="0" w:color="auto"/>
        <w:bottom w:val="none" w:sz="0" w:space="0" w:color="auto"/>
        <w:right w:val="none" w:sz="0" w:space="0" w:color="auto"/>
      </w:divBdr>
    </w:div>
    <w:div w:id="21355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mfit.github.io/lmfit-p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aid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BA75-27B2-9B41-B912-24939100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4876</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Bigelow</dc:creator>
  <cp:keywords/>
  <dc:description/>
  <cp:lastModifiedBy>Verguet, Stephane</cp:lastModifiedBy>
  <cp:revision>41</cp:revision>
  <cp:lastPrinted>2018-11-05T23:13:00Z</cp:lastPrinted>
  <dcterms:created xsi:type="dcterms:W3CDTF">2018-11-05T15:56:00Z</dcterms:created>
  <dcterms:modified xsi:type="dcterms:W3CDTF">2019-07-29T00:07:00Z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id="fkCcrOyW"/&gt;&lt;style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ies>
</file>