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4274E"/>
          <w:sz w:val="40"/>
          <w:szCs w:val="40"/>
        </w:rPr>
        <w:t xml:space="preserve">빠방 전략 벤치마크 보고서</w:t>
      </w:r>
    </w:p>
    <w:p>
      <w:pPr>
        <w:spacing w:after="60"/>
        <w:jc w:val="center"/>
      </w:pPr>
      <w:r>
        <w:rPr>
          <w:color w:val="666666"/>
          <w:sz w:val="24"/>
          <w:szCs w:val="24"/>
        </w:rPr>
        <w:t xml:space="preserve">타업종·타국 SaaS 비교 분석</w:t>
      </w:r>
    </w:p>
    <w:p>
      <w:pPr>
        <w:pBdr>
          <w:bottom w:val="single" w:color="14274E" w:sz="6" w:space="8"/>
        </w:pBdr>
        <w:spacing w:after="300"/>
        <w:jc w:val="center"/>
      </w:pPr>
      <w:r>
        <w:rPr>
          <w:color w:val="666666"/>
          <w:sz w:val="20"/>
          <w:szCs w:val="20"/>
        </w:rPr>
        <w:t xml:space="preserve">2026. 7. 30  ·  빠방 (플러스불당공인중개사사무소)</w:t>
      </w:r>
    </w:p>
    <w:p>
      <w:pPr>
        <w:pStyle w:val="Heading1"/>
        <w:spacing w:after="160" w:before="360"/>
      </w:pPr>
      <w:r>
        <w:rPr>
          <w:b/>
          <w:bCs/>
          <w:color w:val="14274E"/>
        </w:rPr>
        <w:t xml:space="preserve">0. 핵심 결론 (3줄 요약)</w:t>
      </w:r>
    </w:p>
    <w:p>
      <w:pPr>
        <w:pStyle w:val="ListParagraph"/>
        <w:numPr>
          <w:ilvl w:val="0"/>
          <w:numId w:val="2"/>
        </w:numPr>
        <w:spacing w:after="80" w:line="288"/>
      </w:pPr>
      <w:r>
        <w:rPr>
          <w:b/>
          <w:bCs/>
          <w:sz w:val="21"/>
          <w:szCs w:val="21"/>
        </w:rPr>
        <w:t xml:space="preserve">가격: </w:t>
      </w:r>
      <w:r>
        <w:rPr>
          <w:sz w:val="21"/>
          <w:szCs w:val="21"/>
        </w:rPr>
        <w:t xml:space="preserve">한국 중개사무소는 "광고비엔 월 수십만 원, 업무도구엔 월 2~5만 원"의 이중 지불 감각을 갖고 있다. 좌석당 과금 대신 인원 구간형 사무소 플랫 요금(Follow Up Boss 방식)이 맞고, 현실적 가격대는 사무소당 월 33,000~99,000원이다.</w:t>
      </w:r>
    </w:p>
    <w:p>
      <w:pPr>
        <w:pStyle w:val="ListParagraph"/>
        <w:numPr>
          <w:ilvl w:val="0"/>
          <w:numId w:val="2"/>
        </w:numPr>
        <w:spacing w:after="80" w:line="288"/>
      </w:pPr>
      <w:r>
        <w:rPr>
          <w:b/>
          <w:bCs/>
          <w:sz w:val="21"/>
          <w:szCs w:val="21"/>
        </w:rPr>
        <w:t xml:space="preserve">콜드스타트: </w:t>
      </w:r>
      <w:r>
        <w:rPr>
          <w:sz w:val="21"/>
          <w:szCs w:val="21"/>
        </w:rPr>
        <w:t xml:space="preserve">캐시노트(카톡 위에 얹기·입소문)와 이에라부BB(업자간 유통망)의 교훈 → 빠방의 공동중개 기능 자체가 바이럴 엔진이다. 파트너 사무소를 무료로 끌어들이는 구조로 설계하라.</w:t>
      </w:r>
    </w:p>
    <w:p>
      <w:pPr>
        <w:pStyle w:val="ListParagraph"/>
        <w:numPr>
          <w:ilvl w:val="0"/>
          <w:numId w:val="2"/>
        </w:numPr>
        <w:spacing w:after="80" w:line="288"/>
      </w:pPr>
      <w:r>
        <w:rPr>
          <w:b/>
          <w:bCs/>
          <w:sz w:val="21"/>
          <w:szCs w:val="21"/>
        </w:rPr>
        <w:t xml:space="preserve">리스크: </w:t>
      </w:r>
      <w:r>
        <w:rPr>
          <w:sz w:val="21"/>
          <w:szCs w:val="21"/>
        </w:rPr>
        <w:t xml:space="preserve">로톡은 수수료를 한 푼도 안 받고도 변협과 8년을 싸웠다. 협회 법정단체화가 진행 중인 지금, 빠방은 "소비자 매칭·중개보수 경쟁"에는 절대 발을 넣지 말고 "사무소 백오피스 SaaS"로 포지셔닝해야 안전하다. 특히 "역경매"라는 워딩 자체가 위험하다.</w:t>
      </w:r>
    </w:p>
    <w:p>
      <w:pPr>
        <w:pStyle w:val="Heading1"/>
        <w:spacing w:after="160" w:before="360"/>
      </w:pPr>
      <w:r>
        <w:rPr>
          <w:b/>
          <w:bCs/>
          <w:color w:val="14274E"/>
        </w:rPr>
        <w:t xml:space="preserve">1. 빠방에 바로 가져올 기능 톱 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2650"/>
        <w:gridCol w:w="2650"/>
        <w:gridCol w:w="3800"/>
      </w:tblGrid>
      <w:tr>
        <w:tc>
          <w:tcPr>
            <w:tcW w:type="dxa" w:w="600"/>
            <w:shd w:fill="E8EDF5" w:val="clear"/>
            <w:tcMar>
              <w:top w:type="dxa" w:w="60"/>
              <w:left w:type="dxa" w:w="100"/>
              <w:bottom w:type="dxa" w:w="60"/>
              <w:right w:type="dxa" w:w="100"/>
            </w:tcMar>
          </w:tcPr>
          <w:p>
            <w:pPr>
              <w:spacing w:line="264"/>
            </w:pPr>
            <w:r>
              <w:rPr>
                <w:b/>
                <w:bCs/>
                <w:sz w:val="18"/>
                <w:szCs w:val="18"/>
              </w:rPr>
              <w:t xml:space="preserve">#</w:t>
            </w:r>
          </w:p>
        </w:tc>
        <w:tc>
          <w:tcPr>
            <w:tcW w:type="dxa" w:w="2650"/>
            <w:shd w:fill="E8EDF5" w:val="clear"/>
            <w:tcMar>
              <w:top w:type="dxa" w:w="60"/>
              <w:left w:type="dxa" w:w="100"/>
              <w:bottom w:type="dxa" w:w="60"/>
              <w:right w:type="dxa" w:w="100"/>
            </w:tcMar>
          </w:tcPr>
          <w:p>
            <w:pPr>
              <w:spacing w:line="264"/>
            </w:pPr>
            <w:r>
              <w:rPr>
                <w:b/>
                <w:bCs/>
                <w:sz w:val="18"/>
                <w:szCs w:val="18"/>
              </w:rPr>
              <w:t xml:space="preserve">기능</w:t>
            </w:r>
          </w:p>
        </w:tc>
        <w:tc>
          <w:tcPr>
            <w:tcW w:type="dxa" w:w="2650"/>
            <w:shd w:fill="E8EDF5" w:val="clear"/>
            <w:tcMar>
              <w:top w:type="dxa" w:w="60"/>
              <w:left w:type="dxa" w:w="100"/>
              <w:bottom w:type="dxa" w:w="60"/>
              <w:right w:type="dxa" w:w="100"/>
            </w:tcMar>
          </w:tcPr>
          <w:p>
            <w:pPr>
              <w:spacing w:line="264"/>
            </w:pPr>
            <w:r>
              <w:rPr>
                <w:b/>
                <w:bCs/>
                <w:sz w:val="18"/>
                <w:szCs w:val="18"/>
              </w:rPr>
              <w:t xml:space="preserve">출처</w:t>
            </w:r>
          </w:p>
        </w:tc>
        <w:tc>
          <w:tcPr>
            <w:tcW w:type="dxa" w:w="3800"/>
            <w:shd w:fill="E8EDF5" w:val="clear"/>
            <w:tcMar>
              <w:top w:type="dxa" w:w="60"/>
              <w:left w:type="dxa" w:w="100"/>
              <w:bottom w:type="dxa" w:w="60"/>
              <w:right w:type="dxa" w:w="100"/>
            </w:tcMar>
          </w:tcPr>
          <w:p>
            <w:pPr>
              <w:spacing w:line="264"/>
            </w:pPr>
            <w:r>
              <w:rPr>
                <w:b/>
                <w:bCs/>
                <w:sz w:val="18"/>
                <w:szCs w:val="18"/>
              </w:rPr>
              <w:t xml:space="preserve">빠방에 맞는 이유</w:t>
            </w:r>
          </w:p>
        </w:tc>
      </w:tr>
      <w:tr>
        <w:tc>
          <w:tcPr>
            <w:tcW w:type="dxa" w:w="600"/>
            <w:tcMar>
              <w:top w:type="dxa" w:w="60"/>
              <w:left w:type="dxa" w:w="100"/>
              <w:bottom w:type="dxa" w:w="60"/>
              <w:right w:type="dxa" w:w="100"/>
            </w:tcMar>
          </w:tcPr>
          <w:p>
            <w:pPr>
              <w:spacing w:line="264"/>
            </w:pPr>
            <w:r>
              <w:rPr>
                <w:b w:val="false"/>
                <w:bCs w:val="false"/>
                <w:sz w:val="18"/>
                <w:szCs w:val="18"/>
              </w:rPr>
              <w:t xml:space="preserve">1</w:t>
            </w:r>
          </w:p>
        </w:tc>
        <w:tc>
          <w:tcPr>
            <w:tcW w:type="dxa" w:w="2650"/>
            <w:tcMar>
              <w:top w:type="dxa" w:w="60"/>
              <w:left w:type="dxa" w:w="100"/>
              <w:bottom w:type="dxa" w:w="60"/>
              <w:right w:type="dxa" w:w="100"/>
            </w:tcMar>
          </w:tcPr>
          <w:p>
            <w:pPr>
              <w:spacing w:line="264"/>
            </w:pPr>
            <w:r>
              <w:rPr>
                <w:b w:val="false"/>
                <w:bCs w:val="false"/>
                <w:sz w:val="18"/>
                <w:szCs w:val="18"/>
              </w:rPr>
              <w:t xml:space="preserve">매물 원클릭 다중 포털 송출(컨버터)</w:t>
            </w:r>
          </w:p>
        </w:tc>
        <w:tc>
          <w:tcPr>
            <w:tcW w:type="dxa" w:w="2650"/>
            <w:tcMar>
              <w:top w:type="dxa" w:w="60"/>
              <w:left w:type="dxa" w:w="100"/>
              <w:bottom w:type="dxa" w:w="60"/>
              <w:right w:type="dxa" w:w="100"/>
            </w:tcMar>
          </w:tcPr>
          <w:p>
            <w:pPr>
              <w:spacing w:line="264"/>
            </w:pPr>
            <w:r>
              <w:rPr>
                <w:b w:val="false"/>
                <w:bCs w:val="false"/>
                <w:sz w:val="18"/>
                <w:szCs w:val="18"/>
              </w:rPr>
              <w:t xml:space="preserve">일본 이에라부CLOUD 물건컨버터 — 한 번 입력하면 여러 포털에 동시 게재</w:t>
            </w:r>
          </w:p>
        </w:tc>
        <w:tc>
          <w:tcPr>
            <w:tcW w:type="dxa" w:w="3800"/>
            <w:tcMar>
              <w:top w:type="dxa" w:w="60"/>
              <w:left w:type="dxa" w:w="100"/>
              <w:bottom w:type="dxa" w:w="60"/>
              <w:right w:type="dxa" w:w="100"/>
            </w:tcMar>
          </w:tcPr>
          <w:p>
            <w:pPr>
              <w:spacing w:line="264"/>
            </w:pPr>
            <w:r>
              <w:rPr>
                <w:b w:val="false"/>
                <w:bCs w:val="false"/>
                <w:sz w:val="18"/>
                <w:szCs w:val="18"/>
              </w:rPr>
              <w:t xml:space="preserve">한국 중개사는 네이버(정보사 경유)+직방+다방에 같은 매물을 3번 입력한다. 빠방 매물장이 이미 정본 DB이므로 광고 송출 포맷 변환·복사만 해줘도 "매물장을 빠방으로 옮길 이유"가 생긴다. 포털 API가 닫혀 있어도 광고문안+사진 패키지 내보내기부터 시작 가능</w:t>
            </w:r>
          </w:p>
        </w:tc>
      </w:tr>
      <w:tr>
        <w:tc>
          <w:tcPr>
            <w:tcW w:type="dxa" w:w="600"/>
            <w:tcMar>
              <w:top w:type="dxa" w:w="60"/>
              <w:left w:type="dxa" w:w="100"/>
              <w:bottom w:type="dxa" w:w="60"/>
              <w:right w:type="dxa" w:w="100"/>
            </w:tcMar>
          </w:tcPr>
          <w:p>
            <w:pPr>
              <w:spacing w:line="264"/>
            </w:pPr>
            <w:r>
              <w:rPr>
                <w:b w:val="false"/>
                <w:bCs w:val="false"/>
                <w:sz w:val="18"/>
                <w:szCs w:val="18"/>
              </w:rPr>
              <w:t xml:space="preserve">2</w:t>
            </w:r>
          </w:p>
        </w:tc>
        <w:tc>
          <w:tcPr>
            <w:tcW w:type="dxa" w:w="2650"/>
            <w:tcMar>
              <w:top w:type="dxa" w:w="60"/>
              <w:left w:type="dxa" w:w="100"/>
              <w:bottom w:type="dxa" w:w="60"/>
              <w:right w:type="dxa" w:w="100"/>
            </w:tcMar>
          </w:tcPr>
          <w:p>
            <w:pPr>
              <w:spacing w:line="264"/>
            </w:pPr>
            <w:r>
              <w:rPr>
                <w:b w:val="false"/>
                <w:bCs w:val="false"/>
                <w:sz w:val="18"/>
                <w:szCs w:val="18"/>
              </w:rPr>
              <w:t xml:space="preserve">액션 플랜(자동 팔로업 시퀀스)</w:t>
            </w:r>
          </w:p>
        </w:tc>
        <w:tc>
          <w:tcPr>
            <w:tcW w:type="dxa" w:w="2650"/>
            <w:tcMar>
              <w:top w:type="dxa" w:w="60"/>
              <w:left w:type="dxa" w:w="100"/>
              <w:bottom w:type="dxa" w:w="60"/>
              <w:right w:type="dxa" w:w="100"/>
            </w:tcMar>
          </w:tcPr>
          <w:p>
            <w:pPr>
              <w:spacing w:line="264"/>
            </w:pPr>
            <w:r>
              <w:rPr>
                <w:b w:val="false"/>
                <w:bCs w:val="false"/>
                <w:sz w:val="18"/>
                <w:szCs w:val="18"/>
              </w:rPr>
              <w:t xml:space="preserve">Follow Up Boss — 리드 유입 시 D+1 문자, D+3 전화 태스크 자동 생성</w:t>
            </w:r>
          </w:p>
        </w:tc>
        <w:tc>
          <w:tcPr>
            <w:tcW w:type="dxa" w:w="3800"/>
            <w:tcMar>
              <w:top w:type="dxa" w:w="60"/>
              <w:left w:type="dxa" w:w="100"/>
              <w:bottom w:type="dxa" w:w="60"/>
              <w:right w:type="dxa" w:w="100"/>
            </w:tcMar>
          </w:tcPr>
          <w:p>
            <w:pPr>
              <w:spacing w:line="264"/>
            </w:pPr>
            <w:r>
              <w:rPr>
                <w:b w:val="false"/>
                <w:bCs w:val="false"/>
                <w:sz w:val="18"/>
                <w:szCs w:val="18"/>
              </w:rPr>
              <w:t xml:space="preserve">가져간 뒤 방치되는 고객이 매출 누수의 핵심. 고객 상태별 자동 리마인더·알림톡 태스크를 만들면 기존 일정·푸시 인프라를 그대로 재활용</w:t>
            </w:r>
          </w:p>
        </w:tc>
      </w:tr>
      <w:tr>
        <w:tc>
          <w:tcPr>
            <w:tcW w:type="dxa" w:w="600"/>
            <w:tcMar>
              <w:top w:type="dxa" w:w="60"/>
              <w:left w:type="dxa" w:w="100"/>
              <w:bottom w:type="dxa" w:w="60"/>
              <w:right w:type="dxa" w:w="100"/>
            </w:tcMar>
          </w:tcPr>
          <w:p>
            <w:pPr>
              <w:spacing w:line="264"/>
            </w:pPr>
            <w:r>
              <w:rPr>
                <w:b w:val="false"/>
                <w:bCs w:val="false"/>
                <w:sz w:val="18"/>
                <w:szCs w:val="18"/>
              </w:rPr>
              <w:t xml:space="preserve">3</w:t>
            </w:r>
          </w:p>
        </w:tc>
        <w:tc>
          <w:tcPr>
            <w:tcW w:type="dxa" w:w="2650"/>
            <w:tcMar>
              <w:top w:type="dxa" w:w="60"/>
              <w:left w:type="dxa" w:w="100"/>
              <w:bottom w:type="dxa" w:w="60"/>
              <w:right w:type="dxa" w:w="100"/>
            </w:tcMar>
          </w:tcPr>
          <w:p>
            <w:pPr>
              <w:spacing w:line="264"/>
            </w:pPr>
            <w:r>
              <w:rPr>
                <w:b w:val="false"/>
                <w:bCs w:val="false"/>
                <w:sz w:val="18"/>
                <w:szCs w:val="18"/>
              </w:rPr>
              <w:t xml:space="preserve">리드 배정·클레임 + 담당자별 성과 대시보드</w:t>
            </w:r>
          </w:p>
        </w:tc>
        <w:tc>
          <w:tcPr>
            <w:tcW w:type="dxa" w:w="2650"/>
            <w:tcMar>
              <w:top w:type="dxa" w:w="60"/>
              <w:left w:type="dxa" w:w="100"/>
              <w:bottom w:type="dxa" w:w="60"/>
              <w:right w:type="dxa" w:w="100"/>
            </w:tcMar>
          </w:tcPr>
          <w:p>
            <w:pPr>
              <w:spacing w:line="264"/>
            </w:pPr>
            <w:r>
              <w:rPr>
                <w:b w:val="false"/>
                <w:bCs w:val="false"/>
                <w:sz w:val="18"/>
                <w:szCs w:val="18"/>
              </w:rPr>
              <w:t xml:space="preserve">BoldTrail(구 kvCORE)·Lofty의 라운드로빈 배정·팀 리포팅</w:t>
            </w:r>
          </w:p>
        </w:tc>
        <w:tc>
          <w:tcPr>
            <w:tcW w:type="dxa" w:w="3800"/>
            <w:tcMar>
              <w:top w:type="dxa" w:w="60"/>
              <w:left w:type="dxa" w:w="100"/>
              <w:bottom w:type="dxa" w:w="60"/>
              <w:right w:type="dxa" w:w="100"/>
            </w:tcMar>
          </w:tcPr>
          <w:p>
            <w:pPr>
              <w:spacing w:line="264"/>
            </w:pPr>
            <w:r>
              <w:rPr>
                <w:b w:val="false"/>
                <w:bCs w:val="false"/>
                <w:sz w:val="18"/>
                <w:szCs w:val="18"/>
              </w:rPr>
              <w:t xml:space="preserve">빠방 사무소 구조(대표 등록→담당자 픽업)와 정확히 일치. "미배정 24시간 경과 알림", "담당자별 전환율·정산 기여" 대시보드를 얹으면 대표(구매 결정자)가 돈을 낼 이유가 된다</w:t>
            </w:r>
          </w:p>
        </w:tc>
      </w:tr>
      <w:tr>
        <w:tc>
          <w:tcPr>
            <w:tcW w:type="dxa" w:w="600"/>
            <w:tcMar>
              <w:top w:type="dxa" w:w="60"/>
              <w:left w:type="dxa" w:w="100"/>
              <w:bottom w:type="dxa" w:w="60"/>
              <w:right w:type="dxa" w:w="100"/>
            </w:tcMar>
          </w:tcPr>
          <w:p>
            <w:pPr>
              <w:spacing w:line="264"/>
            </w:pPr>
            <w:r>
              <w:rPr>
                <w:b w:val="false"/>
                <w:bCs w:val="false"/>
                <w:sz w:val="18"/>
                <w:szCs w:val="18"/>
              </w:rPr>
              <w:t xml:space="preserve">4</w:t>
            </w:r>
          </w:p>
        </w:tc>
        <w:tc>
          <w:tcPr>
            <w:tcW w:type="dxa" w:w="2650"/>
            <w:tcMar>
              <w:top w:type="dxa" w:w="60"/>
              <w:left w:type="dxa" w:w="100"/>
              <w:bottom w:type="dxa" w:w="60"/>
              <w:right w:type="dxa" w:w="100"/>
            </w:tcMar>
          </w:tcPr>
          <w:p>
            <w:pPr>
              <w:spacing w:line="264"/>
            </w:pPr>
            <w:r>
              <w:rPr>
                <w:b w:val="false"/>
                <w:bCs w:val="false"/>
                <w:sz w:val="18"/>
                <w:szCs w:val="18"/>
              </w:rPr>
              <w:t xml:space="preserve">업자간 매물 유통망</w:t>
            </w:r>
          </w:p>
        </w:tc>
        <w:tc>
          <w:tcPr>
            <w:tcW w:type="dxa" w:w="2650"/>
            <w:tcMar>
              <w:top w:type="dxa" w:w="60"/>
              <w:left w:type="dxa" w:w="100"/>
              <w:bottom w:type="dxa" w:w="60"/>
              <w:right w:type="dxa" w:w="100"/>
            </w:tcMar>
          </w:tcPr>
          <w:p>
            <w:pPr>
              <w:spacing w:line="264"/>
            </w:pPr>
            <w:r>
              <w:rPr>
                <w:b w:val="false"/>
                <w:bCs w:val="false"/>
                <w:sz w:val="18"/>
                <w:szCs w:val="18"/>
              </w:rPr>
              <w:t xml:space="preserve">이에라부BB — 가맹 사무소끼리 매물을 서로 조회·공동중개</w:t>
            </w:r>
          </w:p>
        </w:tc>
        <w:tc>
          <w:tcPr>
            <w:tcW w:type="dxa" w:w="3800"/>
            <w:tcMar>
              <w:top w:type="dxa" w:w="60"/>
              <w:left w:type="dxa" w:w="100"/>
              <w:bottom w:type="dxa" w:w="60"/>
              <w:right w:type="dxa" w:w="100"/>
            </w:tcMar>
          </w:tcPr>
          <w:p>
            <w:pPr>
              <w:spacing w:line="264"/>
            </w:pPr>
            <w:r>
              <w:rPr>
                <w:b w:val="false"/>
                <w:bCs w:val="false"/>
                <w:sz w:val="18"/>
                <w:szCs w:val="18"/>
              </w:rPr>
              <w:t xml:space="preserve">공동중개를 "사무소 안"에서 "사무소 간 네트워크"로 확장. 파트너를 초대할수록 네트워크 가치가 커지는 구조 = 기능이자 콜드스타트 엔진</w:t>
            </w:r>
          </w:p>
        </w:tc>
      </w:tr>
      <w:tr>
        <w:tc>
          <w:tcPr>
            <w:tcW w:type="dxa" w:w="600"/>
            <w:tcMar>
              <w:top w:type="dxa" w:w="60"/>
              <w:left w:type="dxa" w:w="100"/>
              <w:bottom w:type="dxa" w:w="60"/>
              <w:right w:type="dxa" w:w="100"/>
            </w:tcMar>
          </w:tcPr>
          <w:p>
            <w:pPr>
              <w:spacing w:line="264"/>
            </w:pPr>
            <w:r>
              <w:rPr>
                <w:b w:val="false"/>
                <w:bCs w:val="false"/>
                <w:sz w:val="18"/>
                <w:szCs w:val="18"/>
              </w:rPr>
              <w:t xml:space="preserve">5</w:t>
            </w:r>
          </w:p>
        </w:tc>
        <w:tc>
          <w:tcPr>
            <w:tcW w:type="dxa" w:w="2650"/>
            <w:tcMar>
              <w:top w:type="dxa" w:w="60"/>
              <w:left w:type="dxa" w:w="100"/>
              <w:bottom w:type="dxa" w:w="60"/>
              <w:right w:type="dxa" w:w="100"/>
            </w:tcMar>
          </w:tcPr>
          <w:p>
            <w:pPr>
              <w:spacing w:line="264"/>
            </w:pPr>
            <w:r>
              <w:rPr>
                <w:b w:val="false"/>
                <w:bCs w:val="false"/>
                <w:sz w:val="18"/>
                <w:szCs w:val="18"/>
              </w:rPr>
              <w:t xml:space="preserve">카톡/푸시 일일 경영 브리핑</w:t>
            </w:r>
          </w:p>
        </w:tc>
        <w:tc>
          <w:tcPr>
            <w:tcW w:type="dxa" w:w="2650"/>
            <w:tcMar>
              <w:top w:type="dxa" w:w="60"/>
              <w:left w:type="dxa" w:w="100"/>
              <w:bottom w:type="dxa" w:w="60"/>
              <w:right w:type="dxa" w:w="100"/>
            </w:tcMar>
          </w:tcPr>
          <w:p>
            <w:pPr>
              <w:spacing w:line="264"/>
            </w:pPr>
            <w:r>
              <w:rPr>
                <w:b w:val="false"/>
                <w:bCs w:val="false"/>
                <w:sz w:val="18"/>
                <w:szCs w:val="18"/>
              </w:rPr>
              <w:t xml:space="preserve">캐시노트 — 일간 리포트를 무료로 카톡에 꽂아 습관을 만든 뒤 분석은 유료화</w:t>
            </w:r>
          </w:p>
        </w:tc>
        <w:tc>
          <w:tcPr>
            <w:tcW w:type="dxa" w:w="3800"/>
            <w:tcMar>
              <w:top w:type="dxa" w:w="60"/>
              <w:left w:type="dxa" w:w="100"/>
              <w:bottom w:type="dxa" w:w="60"/>
              <w:right w:type="dxa" w:w="100"/>
            </w:tcMar>
          </w:tcPr>
          <w:p>
            <w:pPr>
              <w:spacing w:line="264"/>
            </w:pPr>
            <w:r>
              <w:rPr>
                <w:b w:val="false"/>
                <w:bCs w:val="false"/>
                <w:sz w:val="18"/>
                <w:szCs w:val="18"/>
              </w:rPr>
              <w:t xml:space="preserve">"오늘 미팅 3건·신규 고객 2건·이번 달 정산 예정액"을 매일 아침 대표에게 발송. 개발비 거의 없이 매일 앱을 열게 하는 리텐션 훅</w:t>
            </w:r>
          </w:p>
        </w:tc>
      </w:tr>
    </w:tbl>
    <w:p>
      <w:pPr>
        <w:pStyle w:val="Heading1"/>
        <w:spacing w:after="160" w:before="360"/>
      </w:pPr>
      <w:r>
        <w:rPr>
          <w:b/>
          <w:bCs/>
          <w:color w:val="14274E"/>
        </w:rPr>
        <w:t xml:space="preserve">2. 가격 전략 제안</w:t>
      </w:r>
    </w:p>
    <w:p>
      <w:pPr>
        <w:pStyle w:val="Heading2"/>
        <w:spacing w:after="120" w:before="240"/>
      </w:pPr>
      <w:r>
        <w:rPr>
          <w:b/>
          <w:bCs/>
          <w:color w:val="14274E"/>
        </w:rPr>
        <w:t xml:space="preserve">벤치마크 시세</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2600"/>
      </w:tblGrid>
      <w:tr>
        <w:tc>
          <w:tcPr>
            <w:tcW w:type="dxa" w:w="2400"/>
            <w:shd w:fill="E8EDF5" w:val="clear"/>
            <w:tcMar>
              <w:top w:type="dxa" w:w="60"/>
              <w:left w:type="dxa" w:w="100"/>
              <w:bottom w:type="dxa" w:w="60"/>
              <w:right w:type="dxa" w:w="100"/>
            </w:tcMar>
          </w:tcPr>
          <w:p>
            <w:pPr>
              <w:spacing w:line="264"/>
            </w:pPr>
            <w:r>
              <w:rPr>
                <w:b/>
                <w:bCs/>
                <w:sz w:val="18"/>
                <w:szCs w:val="18"/>
              </w:rPr>
              <w:t xml:space="preserve">서비스</w:t>
            </w:r>
          </w:p>
        </w:tc>
        <w:tc>
          <w:tcPr>
            <w:tcW w:type="dxa" w:w="4700"/>
            <w:shd w:fill="E8EDF5" w:val="clear"/>
            <w:tcMar>
              <w:top w:type="dxa" w:w="60"/>
              <w:left w:type="dxa" w:w="100"/>
              <w:bottom w:type="dxa" w:w="60"/>
              <w:right w:type="dxa" w:w="100"/>
            </w:tcMar>
          </w:tcPr>
          <w:p>
            <w:pPr>
              <w:spacing w:line="264"/>
            </w:pPr>
            <w:r>
              <w:rPr>
                <w:b/>
                <w:bCs/>
                <w:sz w:val="18"/>
                <w:szCs w:val="18"/>
              </w:rPr>
              <w:t xml:space="preserve">가격</w:t>
            </w:r>
          </w:p>
        </w:tc>
        <w:tc>
          <w:tcPr>
            <w:tcW w:type="dxa" w:w="2600"/>
            <w:shd w:fill="E8EDF5" w:val="clear"/>
            <w:tcMar>
              <w:top w:type="dxa" w:w="60"/>
              <w:left w:type="dxa" w:w="100"/>
              <w:bottom w:type="dxa" w:w="60"/>
              <w:right w:type="dxa" w:w="100"/>
            </w:tcMar>
          </w:tcPr>
          <w:p>
            <w:pPr>
              <w:spacing w:line="264"/>
            </w:pPr>
            <w:r>
              <w:rPr>
                <w:b/>
                <w:bCs/>
                <w:sz w:val="18"/>
                <w:szCs w:val="18"/>
              </w:rPr>
              <w:t xml:space="preserve">모델</w:t>
            </w:r>
          </w:p>
        </w:tc>
      </w:tr>
      <w:tr>
        <w:tc>
          <w:tcPr>
            <w:tcW w:type="dxa" w:w="2400"/>
            <w:tcMar>
              <w:top w:type="dxa" w:w="60"/>
              <w:left w:type="dxa" w:w="100"/>
              <w:bottom w:type="dxa" w:w="60"/>
              <w:right w:type="dxa" w:w="100"/>
            </w:tcMar>
          </w:tcPr>
          <w:p>
            <w:pPr>
              <w:spacing w:line="264"/>
            </w:pPr>
            <w:r>
              <w:rPr>
                <w:b w:val="false"/>
                <w:bCs w:val="false"/>
                <w:sz w:val="18"/>
                <w:szCs w:val="18"/>
              </w:rPr>
              <w:t xml:space="preserve">Follow Up Boss</w:t>
            </w:r>
          </w:p>
        </w:tc>
        <w:tc>
          <w:tcPr>
            <w:tcW w:type="dxa" w:w="4700"/>
            <w:tcMar>
              <w:top w:type="dxa" w:w="60"/>
              <w:left w:type="dxa" w:w="100"/>
              <w:bottom w:type="dxa" w:w="60"/>
              <w:right w:type="dxa" w:w="100"/>
            </w:tcMar>
          </w:tcPr>
          <w:p>
            <w:pPr>
              <w:spacing w:line="264"/>
            </w:pPr>
            <w:r>
              <w:rPr>
                <w:b w:val="false"/>
                <w:bCs w:val="false"/>
                <w:sz w:val="18"/>
                <w:szCs w:val="18"/>
              </w:rPr>
              <w:t xml:space="preserve">Grow $69/인/월, Pro $499/월(10인), Platform $1,000/월(30인)</w:t>
            </w:r>
          </w:p>
        </w:tc>
        <w:tc>
          <w:tcPr>
            <w:tcW w:type="dxa" w:w="2600"/>
            <w:tcMar>
              <w:top w:type="dxa" w:w="60"/>
              <w:left w:type="dxa" w:w="100"/>
              <w:bottom w:type="dxa" w:w="60"/>
              <w:right w:type="dxa" w:w="100"/>
            </w:tcMar>
          </w:tcPr>
          <w:p>
            <w:pPr>
              <w:spacing w:line="264"/>
            </w:pPr>
            <w:r>
              <w:rPr>
                <w:b w:val="false"/>
                <w:bCs w:val="false"/>
                <w:sz w:val="18"/>
                <w:szCs w:val="18"/>
              </w:rPr>
              <w:t xml:space="preserve">인원 구간형 플랫</w:t>
            </w:r>
          </w:p>
        </w:tc>
      </w:tr>
      <w:tr>
        <w:tc>
          <w:tcPr>
            <w:tcW w:type="dxa" w:w="2400"/>
            <w:tcMar>
              <w:top w:type="dxa" w:w="60"/>
              <w:left w:type="dxa" w:w="100"/>
              <w:bottom w:type="dxa" w:w="60"/>
              <w:right w:type="dxa" w:w="100"/>
            </w:tcMar>
          </w:tcPr>
          <w:p>
            <w:pPr>
              <w:spacing w:line="264"/>
            </w:pPr>
            <w:r>
              <w:rPr>
                <w:b w:val="false"/>
                <w:bCs w:val="false"/>
                <w:sz w:val="18"/>
                <w:szCs w:val="18"/>
              </w:rPr>
              <w:t xml:space="preserve">BoldTrail/kvCORE</w:t>
            </w:r>
          </w:p>
        </w:tc>
        <w:tc>
          <w:tcPr>
            <w:tcW w:type="dxa" w:w="4700"/>
            <w:tcMar>
              <w:top w:type="dxa" w:w="60"/>
              <w:left w:type="dxa" w:w="100"/>
              <w:bottom w:type="dxa" w:w="60"/>
              <w:right w:type="dxa" w:w="100"/>
            </w:tcMar>
          </w:tcPr>
          <w:p>
            <w:pPr>
              <w:spacing w:line="264"/>
            </w:pPr>
            <w:r>
              <w:rPr>
                <w:b w:val="false"/>
                <w:bCs w:val="false"/>
                <w:sz w:val="18"/>
                <w:szCs w:val="18"/>
              </w:rPr>
              <w:t xml:space="preserve">솔로 ~$499/월, 팀 $500~1,500, 셋업비 $500~2,000</w:t>
            </w:r>
          </w:p>
        </w:tc>
        <w:tc>
          <w:tcPr>
            <w:tcW w:type="dxa" w:w="2600"/>
            <w:tcMar>
              <w:top w:type="dxa" w:w="60"/>
              <w:left w:type="dxa" w:w="100"/>
              <w:bottom w:type="dxa" w:w="60"/>
              <w:right w:type="dxa" w:w="100"/>
            </w:tcMar>
          </w:tcPr>
          <w:p>
            <w:pPr>
              <w:spacing w:line="264"/>
            </w:pPr>
            <w:r>
              <w:rPr>
                <w:b w:val="false"/>
                <w:bCs w:val="false"/>
                <w:sz w:val="18"/>
                <w:szCs w:val="18"/>
              </w:rPr>
              <w:t xml:space="preserve">견적형</w:t>
            </w:r>
          </w:p>
        </w:tc>
      </w:tr>
      <w:tr>
        <w:tc>
          <w:tcPr>
            <w:tcW w:type="dxa" w:w="2400"/>
            <w:tcMar>
              <w:top w:type="dxa" w:w="60"/>
              <w:left w:type="dxa" w:w="100"/>
              <w:bottom w:type="dxa" w:w="60"/>
              <w:right w:type="dxa" w:w="100"/>
            </w:tcMar>
          </w:tcPr>
          <w:p>
            <w:pPr>
              <w:spacing w:line="264"/>
            </w:pPr>
            <w:r>
              <w:rPr>
                <w:b w:val="false"/>
                <w:bCs w:val="false"/>
                <w:sz w:val="18"/>
                <w:szCs w:val="18"/>
              </w:rPr>
              <w:t xml:space="preserve">Lofty</w:t>
            </w:r>
          </w:p>
        </w:tc>
        <w:tc>
          <w:tcPr>
            <w:tcW w:type="dxa" w:w="4700"/>
            <w:tcMar>
              <w:top w:type="dxa" w:w="60"/>
              <w:left w:type="dxa" w:w="100"/>
              <w:bottom w:type="dxa" w:w="60"/>
              <w:right w:type="dxa" w:w="100"/>
            </w:tcMar>
          </w:tcPr>
          <w:p>
            <w:pPr>
              <w:spacing w:line="264"/>
            </w:pPr>
            <w:r>
              <w:rPr>
                <w:b w:val="false"/>
                <w:bCs w:val="false"/>
                <w:sz w:val="18"/>
                <w:szCs w:val="18"/>
              </w:rPr>
              <w:t xml:space="preserve">Core $449/월 ~ Enterprise $1,500/월</w:t>
            </w:r>
          </w:p>
        </w:tc>
        <w:tc>
          <w:tcPr>
            <w:tcW w:type="dxa" w:w="2600"/>
            <w:tcMar>
              <w:top w:type="dxa" w:w="60"/>
              <w:left w:type="dxa" w:w="100"/>
              <w:bottom w:type="dxa" w:w="60"/>
              <w:right w:type="dxa" w:w="100"/>
            </w:tcMar>
          </w:tcPr>
          <w:p>
            <w:pPr>
              <w:spacing w:line="264"/>
            </w:pPr>
            <w:r>
              <w:rPr>
                <w:b w:val="false"/>
                <w:bCs w:val="false"/>
                <w:sz w:val="18"/>
                <w:szCs w:val="18"/>
              </w:rPr>
              <w:t xml:space="preserve">팀 단위</w:t>
            </w:r>
          </w:p>
        </w:tc>
      </w:tr>
      <w:tr>
        <w:tc>
          <w:tcPr>
            <w:tcW w:type="dxa" w:w="2400"/>
            <w:tcMar>
              <w:top w:type="dxa" w:w="60"/>
              <w:left w:type="dxa" w:w="100"/>
              <w:bottom w:type="dxa" w:w="60"/>
              <w:right w:type="dxa" w:w="100"/>
            </w:tcMar>
          </w:tcPr>
          <w:p>
            <w:pPr>
              <w:spacing w:line="264"/>
            </w:pPr>
            <w:r>
              <w:rPr>
                <w:b w:val="false"/>
                <w:bCs w:val="false"/>
                <w:sz w:val="18"/>
                <w:szCs w:val="18"/>
              </w:rPr>
              <w:t xml:space="preserve">이에라부CLOUD</w:t>
            </w:r>
          </w:p>
        </w:tc>
        <w:tc>
          <w:tcPr>
            <w:tcW w:type="dxa" w:w="4700"/>
            <w:tcMar>
              <w:top w:type="dxa" w:w="60"/>
              <w:left w:type="dxa" w:w="100"/>
              <w:bottom w:type="dxa" w:w="60"/>
              <w:right w:type="dxa" w:w="100"/>
            </w:tcMar>
          </w:tcPr>
          <w:p>
            <w:pPr>
              <w:spacing w:line="264"/>
            </w:pPr>
            <w:r>
              <w:rPr>
                <w:b w:val="false"/>
                <w:bCs w:val="false"/>
                <w:sz w:val="18"/>
                <w:szCs w:val="18"/>
              </w:rPr>
              <w:t xml:space="preserve">월 8,000엔~(단품) / 50,000엔~(올인원)</w:t>
            </w:r>
          </w:p>
        </w:tc>
        <w:tc>
          <w:tcPr>
            <w:tcW w:type="dxa" w:w="2600"/>
            <w:tcMar>
              <w:top w:type="dxa" w:w="60"/>
              <w:left w:type="dxa" w:w="100"/>
              <w:bottom w:type="dxa" w:w="60"/>
              <w:right w:type="dxa" w:w="100"/>
            </w:tcMar>
          </w:tcPr>
          <w:p>
            <w:pPr>
              <w:spacing w:line="264"/>
            </w:pPr>
            <w:r>
              <w:rPr>
                <w:b w:val="false"/>
                <w:bCs w:val="false"/>
                <w:sz w:val="18"/>
                <w:szCs w:val="18"/>
              </w:rPr>
              <w:t xml:space="preserve">모듈형</w:t>
            </w:r>
          </w:p>
        </w:tc>
      </w:tr>
      <w:tr>
        <w:tc>
          <w:tcPr>
            <w:tcW w:type="dxa" w:w="2400"/>
            <w:tcMar>
              <w:top w:type="dxa" w:w="60"/>
              <w:left w:type="dxa" w:w="100"/>
              <w:bottom w:type="dxa" w:w="60"/>
              <w:right w:type="dxa" w:w="100"/>
            </w:tcMar>
          </w:tcPr>
          <w:p>
            <w:pPr>
              <w:spacing w:line="264"/>
            </w:pPr>
            <w:r>
              <w:rPr>
                <w:b w:val="false"/>
                <w:bCs w:val="false"/>
                <w:sz w:val="18"/>
                <w:szCs w:val="18"/>
              </w:rPr>
              <w:t xml:space="preserve">이실장 플러스</w:t>
            </w:r>
          </w:p>
        </w:tc>
        <w:tc>
          <w:tcPr>
            <w:tcW w:type="dxa" w:w="4700"/>
            <w:tcMar>
              <w:top w:type="dxa" w:w="60"/>
              <w:left w:type="dxa" w:w="100"/>
              <w:bottom w:type="dxa" w:w="60"/>
              <w:right w:type="dxa" w:w="100"/>
            </w:tcMar>
          </w:tcPr>
          <w:p>
            <w:pPr>
              <w:spacing w:line="264"/>
            </w:pPr>
            <w:r>
              <w:rPr>
                <w:b w:val="false"/>
                <w:bCs w:val="false"/>
                <w:sz w:val="18"/>
                <w:szCs w:val="18"/>
              </w:rPr>
              <w:t xml:space="preserve">6개월 132,000원(월 2.2만, 수도권)</w:t>
            </w:r>
          </w:p>
        </w:tc>
        <w:tc>
          <w:tcPr>
            <w:tcW w:type="dxa" w:w="2600"/>
            <w:tcMar>
              <w:top w:type="dxa" w:w="60"/>
              <w:left w:type="dxa" w:w="100"/>
              <w:bottom w:type="dxa" w:w="60"/>
              <w:right w:type="dxa" w:w="100"/>
            </w:tcMar>
          </w:tcPr>
          <w:p>
            <w:pPr>
              <w:spacing w:line="264"/>
            </w:pPr>
            <w:r>
              <w:rPr>
                <w:b w:val="false"/>
                <w:bCs w:val="false"/>
                <w:sz w:val="18"/>
                <w:szCs w:val="18"/>
              </w:rPr>
              <w:t xml:space="preserve">초저가 단품</w:t>
            </w:r>
          </w:p>
        </w:tc>
      </w:tr>
      <w:tr>
        <w:tc>
          <w:tcPr>
            <w:tcW w:type="dxa" w:w="2400"/>
            <w:tcMar>
              <w:top w:type="dxa" w:w="60"/>
              <w:left w:type="dxa" w:w="100"/>
              <w:bottom w:type="dxa" w:w="60"/>
              <w:right w:type="dxa" w:w="100"/>
            </w:tcMar>
          </w:tcPr>
          <w:p>
            <w:pPr>
              <w:spacing w:line="264"/>
            </w:pPr>
            <w:r>
              <w:rPr>
                <w:b w:val="false"/>
                <w:bCs w:val="false"/>
                <w:sz w:val="18"/>
                <w:szCs w:val="18"/>
              </w:rPr>
              <w:t xml:space="preserve">캐시노트</w:t>
            </w:r>
          </w:p>
        </w:tc>
        <w:tc>
          <w:tcPr>
            <w:tcW w:type="dxa" w:w="4700"/>
            <w:tcMar>
              <w:top w:type="dxa" w:w="60"/>
              <w:left w:type="dxa" w:w="100"/>
              <w:bottom w:type="dxa" w:w="60"/>
              <w:right w:type="dxa" w:w="100"/>
            </w:tcMar>
          </w:tcPr>
          <w:p>
            <w:pPr>
              <w:spacing w:line="264"/>
            </w:pPr>
            <w:r>
              <w:rPr>
                <w:b w:val="false"/>
                <w:bCs w:val="false"/>
                <w:sz w:val="18"/>
                <w:szCs w:val="18"/>
              </w:rPr>
              <w:t xml:space="preserve">기본 무료 / 스탠다드 월 33,000원</w:t>
            </w:r>
          </w:p>
        </w:tc>
        <w:tc>
          <w:tcPr>
            <w:tcW w:type="dxa" w:w="2600"/>
            <w:tcMar>
              <w:top w:type="dxa" w:w="60"/>
              <w:left w:type="dxa" w:w="100"/>
              <w:bottom w:type="dxa" w:w="60"/>
              <w:right w:type="dxa" w:w="100"/>
            </w:tcMar>
          </w:tcPr>
          <w:p>
            <w:pPr>
              <w:spacing w:line="264"/>
            </w:pPr>
            <w:r>
              <w:rPr>
                <w:b w:val="false"/>
                <w:bCs w:val="false"/>
                <w:sz w:val="18"/>
                <w:szCs w:val="18"/>
              </w:rPr>
              <w:t xml:space="preserve">프리미엄(freemium)</w:t>
            </w:r>
          </w:p>
        </w:tc>
      </w:tr>
      <w:tr>
        <w:tc>
          <w:tcPr>
            <w:tcW w:type="dxa" w:w="2400"/>
            <w:tcMar>
              <w:top w:type="dxa" w:w="60"/>
              <w:left w:type="dxa" w:w="100"/>
              <w:bottom w:type="dxa" w:w="60"/>
              <w:right w:type="dxa" w:w="100"/>
            </w:tcMar>
          </w:tcPr>
          <w:p>
            <w:pPr>
              <w:spacing w:line="264"/>
            </w:pPr>
            <w:r>
              <w:rPr>
                <w:b w:val="false"/>
                <w:bCs w:val="false"/>
                <w:sz w:val="18"/>
                <w:szCs w:val="18"/>
              </w:rPr>
              <w:t xml:space="preserve">자비스</w:t>
            </w:r>
          </w:p>
        </w:tc>
        <w:tc>
          <w:tcPr>
            <w:tcW w:type="dxa" w:w="4700"/>
            <w:tcMar>
              <w:top w:type="dxa" w:w="60"/>
              <w:left w:type="dxa" w:w="100"/>
              <w:bottom w:type="dxa" w:w="60"/>
              <w:right w:type="dxa" w:w="100"/>
            </w:tcMar>
          </w:tcPr>
          <w:p>
            <w:pPr>
              <w:spacing w:line="264"/>
            </w:pPr>
            <w:r>
              <w:rPr>
                <w:b w:val="false"/>
                <w:bCs w:val="false"/>
                <w:sz w:val="18"/>
                <w:szCs w:val="18"/>
              </w:rPr>
              <w:t xml:space="preserve">기장 월 5~8만원~</w:t>
            </w:r>
          </w:p>
        </w:tc>
        <w:tc>
          <w:tcPr>
            <w:tcW w:type="dxa" w:w="2600"/>
            <w:tcMar>
              <w:top w:type="dxa" w:w="60"/>
              <w:left w:type="dxa" w:w="100"/>
              <w:bottom w:type="dxa" w:w="60"/>
              <w:right w:type="dxa" w:w="100"/>
            </w:tcMar>
          </w:tcPr>
          <w:p>
            <w:pPr>
              <w:spacing w:line="264"/>
            </w:pPr>
            <w:r>
              <w:rPr>
                <w:b w:val="false"/>
                <w:bCs w:val="false"/>
                <w:sz w:val="18"/>
                <w:szCs w:val="18"/>
              </w:rPr>
              <w:t xml:space="preserve">인원 연동</w:t>
            </w:r>
          </w:p>
        </w:tc>
      </w:tr>
      <w:tr>
        <w:tc>
          <w:tcPr>
            <w:tcW w:type="dxa" w:w="2400"/>
            <w:tcMar>
              <w:top w:type="dxa" w:w="60"/>
              <w:left w:type="dxa" w:w="100"/>
              <w:bottom w:type="dxa" w:w="60"/>
              <w:right w:type="dxa" w:w="100"/>
            </w:tcMar>
          </w:tcPr>
          <w:p>
            <w:pPr>
              <w:spacing w:line="264"/>
            </w:pPr>
            <w:r>
              <w:rPr>
                <w:b w:val="false"/>
                <w:bCs w:val="false"/>
                <w:sz w:val="18"/>
                <w:szCs w:val="18"/>
              </w:rPr>
              <w:t xml:space="preserve">다방프로 광고</w:t>
            </w:r>
          </w:p>
        </w:tc>
        <w:tc>
          <w:tcPr>
            <w:tcW w:type="dxa" w:w="4700"/>
            <w:tcMar>
              <w:top w:type="dxa" w:w="60"/>
              <w:left w:type="dxa" w:w="100"/>
              <w:bottom w:type="dxa" w:w="60"/>
              <w:right w:type="dxa" w:w="100"/>
            </w:tcMar>
          </w:tcPr>
          <w:p>
            <w:pPr>
              <w:spacing w:line="264"/>
            </w:pPr>
            <w:r>
              <w:rPr>
                <w:b w:val="false"/>
                <w:bCs w:val="false"/>
                <w:sz w:val="18"/>
                <w:szCs w:val="18"/>
              </w:rPr>
              <w:t xml:space="preserve">10칸 19.8만원 등</w:t>
            </w:r>
          </w:p>
        </w:tc>
        <w:tc>
          <w:tcPr>
            <w:tcW w:type="dxa" w:w="2600"/>
            <w:tcMar>
              <w:top w:type="dxa" w:w="60"/>
              <w:left w:type="dxa" w:w="100"/>
              <w:bottom w:type="dxa" w:w="60"/>
              <w:right w:type="dxa" w:w="100"/>
            </w:tcMar>
          </w:tcPr>
          <w:p>
            <w:pPr>
              <w:spacing w:line="264"/>
            </w:pPr>
            <w:r>
              <w:rPr>
                <w:b w:val="false"/>
                <w:bCs w:val="false"/>
                <w:sz w:val="18"/>
                <w:szCs w:val="18"/>
              </w:rPr>
              <w:t xml:space="preserve">광고 슬롯</w:t>
            </w:r>
          </w:p>
        </w:tc>
      </w:tr>
      <w:tr>
        <w:tc>
          <w:tcPr>
            <w:tcW w:type="dxa" w:w="2400"/>
            <w:tcMar>
              <w:top w:type="dxa" w:w="60"/>
              <w:left w:type="dxa" w:w="100"/>
              <w:bottom w:type="dxa" w:w="60"/>
              <w:right w:type="dxa" w:w="100"/>
            </w:tcMar>
          </w:tcPr>
          <w:p>
            <w:pPr>
              <w:spacing w:line="264"/>
            </w:pPr>
            <w:r>
              <w:rPr>
                <w:b w:val="false"/>
                <w:bCs w:val="false"/>
                <w:sz w:val="18"/>
                <w:szCs w:val="18"/>
              </w:rPr>
              <w:t xml:space="preserve">로톡</w:t>
            </w:r>
          </w:p>
        </w:tc>
        <w:tc>
          <w:tcPr>
            <w:tcW w:type="dxa" w:w="4700"/>
            <w:tcMar>
              <w:top w:type="dxa" w:w="60"/>
              <w:left w:type="dxa" w:w="100"/>
              <w:bottom w:type="dxa" w:w="60"/>
              <w:right w:type="dxa" w:w="100"/>
            </w:tcMar>
          </w:tcPr>
          <w:p>
            <w:pPr>
              <w:spacing w:line="264"/>
            </w:pPr>
            <w:r>
              <w:rPr>
                <w:b w:val="false"/>
                <w:bCs w:val="false"/>
                <w:sz w:val="18"/>
                <w:szCs w:val="18"/>
              </w:rPr>
              <w:t xml:space="preserve">변호사 월정액 광고비만, 수임 수수료 0원</w:t>
            </w:r>
          </w:p>
        </w:tc>
        <w:tc>
          <w:tcPr>
            <w:tcW w:type="dxa" w:w="2600"/>
            <w:tcMar>
              <w:top w:type="dxa" w:w="60"/>
              <w:left w:type="dxa" w:w="100"/>
              <w:bottom w:type="dxa" w:w="60"/>
              <w:right w:type="dxa" w:w="100"/>
            </w:tcMar>
          </w:tcPr>
          <w:p>
            <w:pPr>
              <w:spacing w:line="264"/>
            </w:pPr>
            <w:r>
              <w:rPr>
                <w:b w:val="false"/>
                <w:bCs w:val="false"/>
                <w:sz w:val="18"/>
                <w:szCs w:val="18"/>
              </w:rPr>
              <w:t xml:space="preserve">정액 광고</w:t>
            </w:r>
          </w:p>
        </w:tc>
      </w:tr>
    </w:tbl>
    <w:p>
      <w:pPr>
        <w:pStyle w:val="Heading2"/>
        <w:spacing w:after="120" w:before="240"/>
      </w:pPr>
      <w:r>
        <w:rPr>
          <w:b/>
          <w:bCs/>
          <w:color w:val="14274E"/>
        </w:rPr>
        <w:t xml:space="preserve">제안: 3단 구조 (사무소 단위, 인원 구간형 플랫)</w:t>
      </w:r>
    </w:p>
    <w:p>
      <w:pPr>
        <w:spacing w:after="120" w:line="300"/>
      </w:pPr>
      <w:r>
        <w:rPr>
          <w:sz w:val="21"/>
          <w:szCs w:val="21"/>
        </w:rPr>
        <w:t xml:space="preserve">미국식 좌석당 $69는 한국에서 안 통한다. 한국 시세의 준거점은 이실장(월 2.2만)·캐시노트(월 3.3만)·자비스(월 5~8만)다. 반면 광고비로는 이미 월 20~50만을 쓰므로, "광고비를 아껴주는 도구"로 프레이밍하면 상단이 열린다.</w:t>
      </w:r>
    </w:p>
    <w:p>
      <w:pPr>
        <w:pStyle w:val="ListParagraph"/>
        <w:numPr>
          <w:ilvl w:val="0"/>
          <w:numId w:val="2"/>
        </w:numPr>
        <w:spacing w:after="80" w:line="288"/>
      </w:pPr>
      <w:r>
        <w:rPr>
          <w:b/>
          <w:bCs/>
          <w:sz w:val="21"/>
          <w:szCs w:val="21"/>
        </w:rPr>
        <w:t xml:space="preserve">무료 (1인 사무소/입문): </w:t>
      </w:r>
      <w:r>
        <w:rPr>
          <w:sz w:val="21"/>
          <w:szCs w:val="21"/>
        </w:rPr>
        <w:t xml:space="preserve">매물장·고객장 기록 + 일일 브리핑. 사용자 1명, 자동화·정산·공동중개망 제외. 기록은 무료 — 데이터가 쌓일수록 이탈 불가(캐시노트 패턴). 초기엔 무료 티어가 콜드스타트 무기다.</w:t>
      </w:r>
    </w:p>
    <w:p>
      <w:pPr>
        <w:pStyle w:val="ListParagraph"/>
        <w:numPr>
          <w:ilvl w:val="0"/>
          <w:numId w:val="2"/>
        </w:numPr>
        <w:spacing w:after="80" w:line="288"/>
      </w:pPr>
      <w:r>
        <w:rPr>
          <w:b/>
          <w:bCs/>
          <w:sz w:val="21"/>
          <w:szCs w:val="21"/>
        </w:rPr>
        <w:t xml:space="preserve">오피스 월 33,000원 (VAT 포함, 3인까지): </w:t>
      </w:r>
      <w:r>
        <w:rPr>
          <w:sz w:val="21"/>
          <w:szCs w:val="21"/>
        </w:rPr>
        <w:t xml:space="preserve">다중 사용자·자동 팔로업·정산·일정·메신저. 캐시노트 스탠다드와 같은 가격점 = 소상공인이 심리 저항 없이 내는 검증된 가격.</w:t>
      </w:r>
    </w:p>
    <w:p>
      <w:pPr>
        <w:pStyle w:val="ListParagraph"/>
        <w:numPr>
          <w:ilvl w:val="0"/>
          <w:numId w:val="2"/>
        </w:numPr>
        <w:spacing w:after="80" w:line="288"/>
      </w:pPr>
      <w:r>
        <w:rPr>
          <w:b/>
          <w:bCs/>
          <w:sz w:val="21"/>
          <w:szCs w:val="21"/>
        </w:rPr>
        <w:t xml:space="preserve">오피스 플러스 월 77,000~99,000원 (7인까지): </w:t>
      </w:r>
      <w:r>
        <w:rPr>
          <w:sz w:val="21"/>
          <w:szCs w:val="21"/>
        </w:rPr>
        <w:t xml:space="preserve">성과 대시보드·공동중개 네트워크·포털 송출 컨버터·API. "추가 좌석당 얼마"를 없애 대표가 직원 추가를 망설이지 않게 한다.</w:t>
      </w:r>
    </w:p>
    <w:p>
      <w:pPr>
        <w:pStyle w:val="ListParagraph"/>
        <w:numPr>
          <w:ilvl w:val="0"/>
          <w:numId w:val="2"/>
        </w:numPr>
        <w:spacing w:after="80" w:line="288"/>
      </w:pPr>
      <w:r>
        <w:rPr>
          <w:b/>
          <w:bCs/>
          <w:sz w:val="21"/>
          <w:szCs w:val="21"/>
        </w:rPr>
        <w:t xml:space="preserve">원칙: </w:t>
      </w:r>
      <w:r>
        <w:rPr>
          <w:sz w:val="21"/>
          <w:szCs w:val="21"/>
        </w:rPr>
        <w:t xml:space="preserve">연 결제 2개월 할인. 수수료·거래 연동 과금은 절대 금지 — 로톡이 8년 소송에서 살아남은 유일한 방패가 "수임료에서 1원도 안 받는다"였다.</w:t>
      </w:r>
    </w:p>
    <w:p>
      <w:pPr>
        <w:pStyle w:val="Heading2"/>
        <w:spacing w:after="120" w:before="240"/>
      </w:pPr>
      <w:r>
        <w:rPr>
          <w:b/>
          <w:bCs/>
          <w:color w:val="14274E"/>
        </w:rPr>
        <w:t xml:space="preserve">무료/유료 경계선 원칙</w:t>
      </w:r>
    </w:p>
    <w:p>
      <w:pPr>
        <w:spacing w:after="120" w:line="300"/>
      </w:pPr>
      <w:r>
        <w:rPr>
          <w:sz w:val="21"/>
          <w:szCs w:val="21"/>
        </w:rPr>
        <w:t xml:space="preserve">"혼자 기록 = 무료, 함께 일하기·자동으로 굴리기 = 유료." 협업(다중 계정), 자동화(팔로업·알림), 돈 계산(정산), 네트워크(공동중개망)가 유료 벽. 이 4개는 전부 사무소 대표가 가치를 즉시 체감하는 항목이다.</w:t>
      </w:r>
    </w:p>
    <w:p>
      <w:pPr>
        <w:pStyle w:val="Heading1"/>
        <w:spacing w:after="160" w:before="360"/>
      </w:pPr>
      <w:r>
        <w:rPr>
          <w:b/>
          <w:bCs/>
          <w:color w:val="14274E"/>
        </w:rPr>
        <w:t xml:space="preserve">3. 콜드스타트 전략: 첫 100 사무소</w:t>
      </w:r>
    </w:p>
    <w:p>
      <w:pPr>
        <w:pStyle w:val="Heading2"/>
        <w:spacing w:after="120" w:before="240"/>
      </w:pPr>
      <w:r>
        <w:rPr>
          <w:b/>
          <w:bCs/>
          <w:color w:val="14274E"/>
        </w:rPr>
        <w:t xml:space="preserve">벤치마크가 보여준 방법</w:t>
      </w:r>
    </w:p>
    <w:p>
      <w:pPr>
        <w:pStyle w:val="ListParagraph"/>
        <w:numPr>
          <w:ilvl w:val="0"/>
          <w:numId w:val="2"/>
        </w:numPr>
        <w:spacing w:after="80" w:line="288"/>
      </w:pPr>
      <w:r>
        <w:rPr>
          <w:b/>
          <w:bCs/>
          <w:sz w:val="21"/>
          <w:szCs w:val="21"/>
        </w:rPr>
        <w:t xml:space="preserve">캐시노트: </w:t>
      </w:r>
      <w:r>
        <w:rPr>
          <w:sz w:val="21"/>
          <w:szCs w:val="21"/>
        </w:rPr>
        <w:t xml:space="preserve">앱 설치를 요구하지 않고 카카오톡 위에 서비스를 얹어 시작, 4개월 만에 1만 사업장·마케팅 없이 입소문 확산</w:t>
      </w:r>
    </w:p>
    <w:p>
      <w:pPr>
        <w:pStyle w:val="ListParagraph"/>
        <w:numPr>
          <w:ilvl w:val="0"/>
          <w:numId w:val="2"/>
        </w:numPr>
        <w:spacing w:after="80" w:line="288"/>
      </w:pPr>
      <w:r>
        <w:rPr>
          <w:b/>
          <w:bCs/>
          <w:sz w:val="21"/>
          <w:szCs w:val="21"/>
        </w:rPr>
        <w:t xml:space="preserve">로톡: </w:t>
      </w:r>
      <w:r>
        <w:rPr>
          <w:sz w:val="21"/>
          <w:szCs w:val="21"/>
        </w:rPr>
        <w:t xml:space="preserve">전문가(공급자) 무료 등록으로 프로필을 먼저 채우고, 광고는 원하는 변호사만 유료</w:t>
      </w:r>
    </w:p>
    <w:p>
      <w:pPr>
        <w:pStyle w:val="ListParagraph"/>
        <w:numPr>
          <w:ilvl w:val="0"/>
          <w:numId w:val="2"/>
        </w:numPr>
        <w:spacing w:after="80" w:line="288"/>
      </w:pPr>
      <w:r>
        <w:rPr>
          <w:b/>
          <w:bCs/>
          <w:sz w:val="21"/>
          <w:szCs w:val="21"/>
        </w:rPr>
        <w:t xml:space="preserve">삼쩜삼: </w:t>
      </w:r>
      <w:r>
        <w:rPr>
          <w:sz w:val="21"/>
          <w:szCs w:val="21"/>
        </w:rPr>
        <w:t xml:space="preserve">"예상 환급액 무료 조회 → 입금 후 후결제"로 가치 선체험</w:t>
      </w:r>
    </w:p>
    <w:p>
      <w:pPr>
        <w:pStyle w:val="ListParagraph"/>
        <w:numPr>
          <w:ilvl w:val="0"/>
          <w:numId w:val="2"/>
        </w:numPr>
        <w:spacing w:after="80" w:line="288"/>
      </w:pPr>
      <w:r>
        <w:rPr>
          <w:b/>
          <w:bCs/>
          <w:sz w:val="21"/>
          <w:szCs w:val="21"/>
        </w:rPr>
        <w:t xml:space="preserve">FUB/BoldTrail: </w:t>
      </w:r>
      <w:r>
        <w:rPr>
          <w:sz w:val="21"/>
          <w:szCs w:val="21"/>
        </w:rPr>
        <w:t xml:space="preserve">기존 CRM 데이터 이관 대행이 온보딩 표준</w:t>
      </w:r>
    </w:p>
    <w:p>
      <w:pPr>
        <w:pStyle w:val="Heading2"/>
        <w:spacing w:after="120" w:before="240"/>
      </w:pPr>
      <w:r>
        <w:rPr>
          <w:b/>
          <w:bCs/>
          <w:color w:val="14274E"/>
        </w:rPr>
        <w:t xml:space="preserve">빠방 적용안 (우선순위 순)</w:t>
      </w:r>
    </w:p>
    <w:p>
      <w:pPr>
        <w:pStyle w:val="ListParagraph"/>
        <w:numPr>
          <w:ilvl w:val="0"/>
          <w:numId w:val="2"/>
        </w:numPr>
        <w:spacing w:after="80" w:line="288"/>
      </w:pPr>
      <w:r>
        <w:rPr>
          <w:b/>
          <w:bCs/>
          <w:sz w:val="21"/>
          <w:szCs w:val="21"/>
        </w:rPr>
        <w:t xml:space="preserve">1. 공동중개 = 바이럴 루프: </w:t>
      </w:r>
      <w:r>
        <w:rPr>
          <w:sz w:val="21"/>
          <w:szCs w:val="21"/>
        </w:rPr>
        <w:t xml:space="preserve">플러스불당이 공동중개하는 파트너 사무소를 빠방으로 초대(초대받은 쪽은 무료). 매물 공유·공동중개 정산이 빠방 안에서 돌게 하면, 파트너의 파트너로 퍼진다.</w:t>
      </w:r>
    </w:p>
    <w:p>
      <w:pPr>
        <w:pStyle w:val="ListParagraph"/>
        <w:numPr>
          <w:ilvl w:val="0"/>
          <w:numId w:val="2"/>
        </w:numPr>
        <w:spacing w:after="80" w:line="288"/>
      </w:pPr>
      <w:r>
        <w:rPr>
          <w:b/>
          <w:bCs/>
          <w:sz w:val="21"/>
          <w:szCs w:val="21"/>
        </w:rPr>
        <w:t xml:space="preserve">2. 텔레그램봇 자산 활용: </w:t>
      </w:r>
      <w:r>
        <w:rPr>
          <w:sz w:val="21"/>
          <w:szCs w:val="21"/>
        </w:rPr>
        <w:t xml:space="preserve">설치 장벽 없는 채널(카톡 알림톡/텔레그램)로 일일 브리핑·매물 등록을 먼저 제공하고 웹앱은 나중에 열게 함 — 캐시노트 공식.</w:t>
      </w:r>
    </w:p>
    <w:p>
      <w:pPr>
        <w:pStyle w:val="ListParagraph"/>
        <w:numPr>
          <w:ilvl w:val="0"/>
          <w:numId w:val="2"/>
        </w:numPr>
        <w:spacing w:after="80" w:line="288"/>
      </w:pPr>
      <w:r>
        <w:rPr>
          <w:b/>
          <w:bCs/>
          <w:sz w:val="21"/>
          <w:szCs w:val="21"/>
        </w:rPr>
        <w:t xml:space="preserve">3. "엑셀·노션 이관 대행" 무료 제공: </w:t>
      </w:r>
      <w:r>
        <w:rPr>
          <w:sz w:val="21"/>
          <w:szCs w:val="21"/>
        </w:rPr>
        <w:t xml:space="preserve">중개사무소의 진짜 락인은 기존 매물장 엑셀이다. 첫 100 사무소는 이관을 대신 해주는 화이트글러브 온보딩.</w:t>
      </w:r>
    </w:p>
    <w:p>
      <w:pPr>
        <w:pStyle w:val="ListParagraph"/>
        <w:numPr>
          <w:ilvl w:val="0"/>
          <w:numId w:val="2"/>
        </w:numPr>
        <w:spacing w:after="80" w:line="288"/>
      </w:pPr>
      <w:r>
        <w:rPr>
          <w:b/>
          <w:bCs/>
          <w:sz w:val="21"/>
          <w:szCs w:val="21"/>
        </w:rPr>
        <w:t xml:space="preserve">4. 파운더 스토리 영업: </w:t>
      </w:r>
      <w:r>
        <w:rPr>
          <w:sz w:val="21"/>
          <w:szCs w:val="21"/>
        </w:rPr>
        <w:t xml:space="preserve">"현직 중개법인 대표가 자기 사무소 쓰려고 만든 도구"는 로톡·삼쩜삼이 갖지 못한 신뢰 자산. 지역 중개사 모임·카페·협회 지회 교육에서 실사용 화면으로 시연.</w:t>
      </w:r>
    </w:p>
    <w:p>
      <w:pPr>
        <w:pStyle w:val="ListParagraph"/>
        <w:numPr>
          <w:ilvl w:val="0"/>
          <w:numId w:val="2"/>
        </w:numPr>
        <w:spacing w:after="80" w:line="288"/>
      </w:pPr>
      <w:r>
        <w:rPr>
          <w:b/>
          <w:bCs/>
          <w:sz w:val="21"/>
          <w:szCs w:val="21"/>
        </w:rPr>
        <w:t xml:space="preserve">5. 파운딩 멤버 가격: </w:t>
      </w:r>
      <w:r>
        <w:rPr>
          <w:sz w:val="21"/>
          <w:szCs w:val="21"/>
        </w:rPr>
        <w:t xml:space="preserve">첫 100 사무소 평생 50% 등 + 사례 공개 동의를 조건으로.</w:t>
      </w:r>
    </w:p>
    <w:p>
      <w:pPr>
        <w:pStyle w:val="Heading1"/>
        <w:spacing w:after="160" w:before="360"/>
      </w:pPr>
      <w:r>
        <w:rPr>
          <w:b/>
          <w:bCs/>
          <w:color w:val="14274E"/>
        </w:rPr>
        <w:t xml:space="preserve">4. 리스크: 협회·규제 충돌 지점</w:t>
      </w:r>
    </w:p>
    <w:p>
      <w:pPr>
        <w:pStyle w:val="Heading2"/>
        <w:spacing w:after="120" w:before="240"/>
      </w:pPr>
      <w:r>
        <w:rPr>
          <w:b/>
          <w:bCs/>
          <w:color w:val="14274E"/>
        </w:rPr>
        <w:t xml:space="preserve">로톡 사태의 실제 전개</w:t>
      </w:r>
    </w:p>
    <w:p>
      <w:pPr>
        <w:spacing w:after="120" w:line="300"/>
      </w:pPr>
      <w:r>
        <w:rPr>
          <w:sz w:val="21"/>
          <w:szCs w:val="21"/>
        </w:rPr>
        <w:t xml:space="preserve">변협은 8년간 로톡 가입 변호사를 징계 위협했고, 헌재는 2022년 변협 광고규정 일부를 위헌으로, 공정위는 변협을 제재했지만 2024년 서울고법에서 공정위 처분이 취소(변협 승소)되는 등 끝까지 소모전이었다. 그 사이 로앤컴퍼니는 직원 절반 희망퇴직·사옥 매각까지 갔다. 삼쩜삼도 세무사회로부터 국세청·공정위·개보위 연쇄 고발을 당했다.</w:t>
      </w:r>
    </w:p>
    <w:p>
      <w:pPr>
        <w:spacing w:after="120" w:line="300"/>
      </w:pPr>
      <w:r>
        <w:rPr>
          <w:b/>
          <w:bCs/>
          <w:sz w:val="21"/>
          <w:szCs w:val="21"/>
        </w:rPr>
        <w:t xml:space="preserve">교훈: "합법 여부"와 무관하게, 협회의 밥그릇(고객 접점·보수)을 건드리는 순간 수년짜리 소모전이 시작된다.</w:t>
      </w:r>
    </w:p>
    <w:p>
      <w:pPr>
        <w:pStyle w:val="Heading2"/>
        <w:spacing w:after="120" w:before="240"/>
      </w:pPr>
      <w:r>
        <w:rPr>
          <w:b/>
          <w:bCs/>
          <w:color w:val="14274E"/>
        </w:rPr>
        <w:t xml:space="preserve">빠방의 위험 지도</w:t>
      </w:r>
    </w:p>
    <w:p>
      <w:pPr>
        <w:pStyle w:val="ListParagraph"/>
        <w:numPr>
          <w:ilvl w:val="0"/>
          <w:numId w:val="2"/>
        </w:numPr>
        <w:spacing w:after="80" w:line="288"/>
      </w:pPr>
      <w:r>
        <w:rPr>
          <w:b/>
          <w:bCs/>
          <w:sz w:val="21"/>
          <w:szCs w:val="21"/>
        </w:rPr>
        <w:t xml:space="preserve">지금 당장 위험한 것 — "역경매"라는 정체성: </w:t>
      </w:r>
      <w:r>
        <w:rPr>
          <w:sz w:val="21"/>
          <w:szCs w:val="21"/>
        </w:rPr>
        <w:t xml:space="preserve">중개보수를 경쟁 입찰시키는 소비자향 역경매는 협회가 가장 민감한 "반값중개" 이슈의 정중앙이다. 공인중개사협회 법정단체화 개정안이 국회 소위를 통과해 협회가 회원 징계·단속 권한을 갖는 방향으로 가고 있고, 업계는 이를 "제2의 로톡 사태" 우려로 부른다.</w:t>
      </w:r>
    </w:p>
    <w:p>
      <w:pPr>
        <w:pStyle w:val="ListParagraph"/>
        <w:numPr>
          <w:ilvl w:val="0"/>
          <w:numId w:val="2"/>
        </w:numPr>
        <w:spacing w:after="80" w:line="288"/>
      </w:pPr>
      <w:r>
        <w:rPr>
          <w:b/>
          <w:bCs/>
          <w:sz w:val="21"/>
          <w:szCs w:val="21"/>
        </w:rPr>
        <w:t xml:space="preserve">안전지대: </w:t>
      </w:r>
      <w:r>
        <w:rPr>
          <w:sz w:val="21"/>
          <w:szCs w:val="21"/>
        </w:rPr>
        <w:t xml:space="preserve">사무소 내부용 SaaS(매물장·CRM·정산·메신저)는 협회와 충돌할 표면 자체가 없다. B2B 백오피스가 본체, 소비자 접점은 최소화가 생존 공식.</w:t>
      </w:r>
    </w:p>
    <w:p>
      <w:pPr>
        <w:pStyle w:val="ListParagraph"/>
        <w:numPr>
          <w:ilvl w:val="0"/>
          <w:numId w:val="2"/>
        </w:numPr>
        <w:spacing w:after="80" w:line="288"/>
      </w:pPr>
      <w:r>
        <w:rPr>
          <w:b/>
          <w:bCs/>
          <w:sz w:val="21"/>
          <w:szCs w:val="21"/>
        </w:rPr>
        <w:t xml:space="preserve">가드레일: </w:t>
      </w:r>
      <w:r>
        <w:rPr>
          <w:sz w:val="21"/>
          <w:szCs w:val="21"/>
        </w:rPr>
        <w:t xml:space="preserve">(1) 과금은 정액 구독만, 거래·보수 연동 수수료 금지 (2) 소비자향 화면에서 중개보수 할인 소구 금지 (3) 매물 광고 노출 시 공인중개사법 표시광고 의무 준수 (4) 공동중개망이 커지면 협회 "한방"의 경쟁자로 비칠 수 있으니, 지회 제휴·협회 교육 채널로 먼저 들어가는 상생 프레임 선점.</w:t>
      </w:r>
    </w:p>
    <w:p>
      <w:pPr>
        <w:pStyle w:val="Heading1"/>
        <w:spacing w:after="160" w:before="360"/>
      </w:pPr>
      <w:r>
        <w:rPr>
          <w:b/>
          <w:bCs/>
          <w:color w:val="14274E"/>
        </w:rPr>
        <w:t xml:space="preserve">5. "전문가 집단" 브랜딩 → 빠방 인증·프로필 적용</w:t>
      </w:r>
    </w:p>
    <w:p>
      <w:pPr>
        <w:pStyle w:val="Heading2"/>
        <w:spacing w:after="120" w:before="240"/>
      </w:pPr>
      <w:r>
        <w:rPr>
          <w:b/>
          <w:bCs/>
          <w:color w:val="14274E"/>
        </w:rPr>
        <w:t xml:space="preserve">변호사·세무사 SaaS의 신뢰 연출</w:t>
      </w:r>
    </w:p>
    <w:p>
      <w:pPr>
        <w:pStyle w:val="ListParagraph"/>
        <w:numPr>
          <w:ilvl w:val="0"/>
          <w:numId w:val="2"/>
        </w:numPr>
        <w:spacing w:after="80" w:line="288"/>
      </w:pPr>
      <w:r>
        <w:rPr>
          <w:b/>
          <w:bCs/>
          <w:sz w:val="21"/>
          <w:szCs w:val="21"/>
        </w:rPr>
        <w:t xml:space="preserve">로톡: </w:t>
      </w:r>
      <w:r>
        <w:rPr>
          <w:sz w:val="21"/>
          <w:szCs w:val="21"/>
        </w:rPr>
        <w:t xml:space="preserve">변협 등록이 확인된 변호사만 입점, 정액 상담료 공개, 상담 후기 누적 표시 — "자격 검증 + 가격 투명성 + 실적 공개" 3종 세트</w:t>
      </w:r>
    </w:p>
    <w:p>
      <w:pPr>
        <w:pStyle w:val="ListParagraph"/>
        <w:numPr>
          <w:ilvl w:val="0"/>
          <w:numId w:val="2"/>
        </w:numPr>
        <w:spacing w:after="80" w:line="288"/>
      </w:pPr>
      <w:r>
        <w:rPr>
          <w:b/>
          <w:bCs/>
          <w:sz w:val="21"/>
          <w:szCs w:val="21"/>
        </w:rPr>
        <w:t xml:space="preserve">삼쩜삼 TA: </w:t>
      </w:r>
      <w:r>
        <w:rPr>
          <w:sz w:val="21"/>
          <w:szCs w:val="21"/>
        </w:rPr>
        <w:t xml:space="preserve">세무사 매칭에서 소비자가 직접 선택하는 구조로 알선 논란을 회피</w:t>
      </w:r>
    </w:p>
    <w:p>
      <w:pPr>
        <w:pStyle w:val="ListParagraph"/>
        <w:numPr>
          <w:ilvl w:val="0"/>
          <w:numId w:val="2"/>
        </w:numPr>
        <w:spacing w:after="80" w:line="288"/>
      </w:pPr>
      <w:r>
        <w:rPr>
          <w:b/>
          <w:bCs/>
          <w:sz w:val="21"/>
          <w:szCs w:val="21"/>
        </w:rPr>
        <w:t xml:space="preserve">캐시노트: </w:t>
      </w:r>
      <w:r>
        <w:rPr>
          <w:sz w:val="21"/>
          <w:szCs w:val="21"/>
        </w:rPr>
        <w:t xml:space="preserve">데이터(매출 리포트)를 매일 보여줘 "숫자로 증명하는" 신뢰</w:t>
      </w:r>
    </w:p>
    <w:p>
      <w:pPr>
        <w:pStyle w:val="Heading2"/>
        <w:spacing w:after="120" w:before="240"/>
      </w:pPr>
      <w:r>
        <w:rPr>
          <w:b/>
          <w:bCs/>
          <w:color w:val="14274E"/>
        </w:rPr>
        <w:t xml:space="preserve">빠방 적용 아이디어 (직원 노출 금지 정책과 정합)</w:t>
      </w:r>
    </w:p>
    <w:p>
      <w:pPr>
        <w:spacing w:after="120" w:line="300"/>
      </w:pPr>
      <w:r>
        <w:rPr>
          <w:sz w:val="21"/>
          <w:szCs w:val="21"/>
        </w:rPr>
        <w:t xml:space="preserve">신뢰 단위를 개인이 아닌 사무소로 설계:</w:t>
      </w:r>
    </w:p>
    <w:p>
      <w:pPr>
        <w:pStyle w:val="ListParagraph"/>
        <w:numPr>
          <w:ilvl w:val="0"/>
          <w:numId w:val="2"/>
        </w:numPr>
        <w:spacing w:after="80" w:line="288"/>
      </w:pPr>
      <w:r>
        <w:rPr>
          <w:b/>
          <w:bCs/>
          <w:sz w:val="21"/>
          <w:szCs w:val="21"/>
        </w:rPr>
        <w:t xml:space="preserve">1. 검증 배지: </w:t>
      </w:r>
      <w:r>
        <w:rPr>
          <w:sz w:val="21"/>
          <w:szCs w:val="21"/>
        </w:rPr>
        <w:t xml:space="preserve">개설등록번호·사업자등록 대조 확인 시 "등록 검증 사무소" 배지 — 2026-07-30 자동 인증(국세청+국토부 이중 검증)으로 구현 완료.</w:t>
      </w:r>
    </w:p>
    <w:p>
      <w:pPr>
        <w:pStyle w:val="ListParagraph"/>
        <w:numPr>
          <w:ilvl w:val="0"/>
          <w:numId w:val="2"/>
        </w:numPr>
        <w:spacing w:after="80" w:line="288"/>
      </w:pPr>
      <w:r>
        <w:rPr>
          <w:b/>
          <w:bCs/>
          <w:sz w:val="21"/>
          <w:szCs w:val="21"/>
        </w:rPr>
        <w:t xml:space="preserve">2. 실적 배지: </w:t>
      </w:r>
      <w:r>
        <w:rPr>
          <w:sz w:val="21"/>
          <w:szCs w:val="21"/>
        </w:rPr>
        <w:t xml:space="preserve">"이번 분기 거래 완료 N건", "평균 응답 O시간" — 자기 신고가 아니라 빠방 정산·메신저 로그에서 자동 산출되므로 위조 불가라는 점 자체가 차별화 문구.</w:t>
      </w:r>
    </w:p>
    <w:p>
      <w:pPr>
        <w:pStyle w:val="ListParagraph"/>
        <w:numPr>
          <w:ilvl w:val="0"/>
          <w:numId w:val="2"/>
        </w:numPr>
        <w:spacing w:after="80" w:line="288"/>
      </w:pPr>
      <w:r>
        <w:rPr>
          <w:b/>
          <w:bCs/>
          <w:sz w:val="21"/>
          <w:szCs w:val="21"/>
        </w:rPr>
        <w:t xml:space="preserve">3. 공동중개 평판: </w:t>
      </w:r>
      <w:r>
        <w:rPr>
          <w:sz w:val="21"/>
          <w:szCs w:val="21"/>
        </w:rPr>
        <w:t xml:space="preserve">사무소 간 거래 후 상호 평가(소비자 리뷰가 아닌 동업자 평판) — 협회 갈등 소지 없이 B2B 네트워크 안에서만 작동하는 신뢰 장치.</w:t>
      </w:r>
    </w:p>
    <w:p>
      <w:pPr>
        <w:pStyle w:val="ListParagraph"/>
        <w:numPr>
          <w:ilvl w:val="0"/>
          <w:numId w:val="2"/>
        </w:numPr>
        <w:spacing w:after="80" w:line="288"/>
      </w:pPr>
      <w:r>
        <w:rPr>
          <w:b/>
          <w:bCs/>
          <w:sz w:val="21"/>
          <w:szCs w:val="21"/>
        </w:rPr>
        <w:t xml:space="preserve">4. 투명 정산 인증: </w:t>
      </w:r>
      <w:r>
        <w:rPr>
          <w:sz w:val="21"/>
          <w:szCs w:val="21"/>
        </w:rPr>
        <w:t xml:space="preserve">"전자 정산서 발행 사무소" 배지 — 공동중개 상대에게 신뢰 신호가 되고, 빠방 정산 기능 사용을 유도하는 락인 장치를 겸한다.</w:t>
      </w:r>
    </w:p>
    <w:p>
      <w:pPr>
        <w:pBdr>
          <w:top w:val="single" w:color="CCCCCC" w:sz="4" w:space="8"/>
        </w:pBdr>
        <w:spacing w:after="60" w:before="300"/>
      </w:pPr>
      <w:r>
        <w:rPr>
          <w:color w:val="666666"/>
          <w:sz w:val="17"/>
          <w:szCs w:val="17"/>
        </w:rPr>
        <w:t xml:space="preserve">출처: 상세 출처 링크 목록은 레포 docs/benchmark-saas-2026-07-30.md 참조 (로앤컴퍼니·헌재/서울고법 판결 보도·캐시노트·자비스·Follow Up Boss·kvCORE·Lofty·이에라부·직방·다방·이실장·협회 법정단체화 보도 등 25건)</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2026-07-31T01:29:44.343Z</dcterms:created>
  <dcterms:modified xsi:type="dcterms:W3CDTF">2026-07-31T01:29:44.344Z</dcterms:modified>
</cp:coreProperties>
</file>

<file path=docProps/custom.xml><?xml version="1.0" encoding="utf-8"?>
<Properties xmlns="http://schemas.openxmlformats.org/officeDocument/2006/custom-properties" xmlns:vt="http://schemas.openxmlformats.org/officeDocument/2006/docPropsVTypes"/>
</file>