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r w:rsidR="00F22621">
            <w:fldChar w:fldCharType="begin"/>
          </w:r>
          <w:r w:rsidR="00DC7877">
            <w:instrText xml:space="preserve"> CITATION Tom09 \l 2057 </w:instrText>
          </w:r>
          <w:r w:rsidR="00F22621">
            <w:fldChar w:fldCharType="separate"/>
          </w:r>
          <w:r w:rsidR="00877BF9" w:rsidRPr="00877BF9">
            <w:rPr>
              <w:noProof/>
            </w:rPr>
            <w:t>(Tomlinson, et al., 2009)</w:t>
          </w:r>
          <w:r w:rsidR="00F22621">
            <w:rPr>
              <w:noProof/>
            </w:rPr>
            <w:fldChar w:fldCharType="end"/>
          </w:r>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customers which are common across the business may exist in a permanent table which can be included on a form definition file.</w:t>
      </w:r>
    </w:p>
    <w:p w:rsidR="005B19C0" w:rsidRDefault="005B19C0" w:rsidP="005B19C0">
      <w:pPr>
        <w:pStyle w:val="Heading1"/>
      </w:pPr>
      <w:r>
        <w:t>Android Client App</w:t>
      </w:r>
    </w:p>
    <w:p w:rsidR="005B19C0" w:rsidRDefault="005B19C0" w:rsidP="005B19C0">
      <w:r>
        <w:t>The client app performs the following:</w:t>
      </w:r>
    </w:p>
    <w:p w:rsidR="005B19C0" w:rsidRDefault="00B062C5" w:rsidP="005B19C0">
      <w:pPr>
        <w:pStyle w:val="ListParagraph"/>
        <w:numPr>
          <w:ilvl w:val="0"/>
          <w:numId w:val="2"/>
        </w:numPr>
      </w:pPr>
      <w:r>
        <w:t>Receives and st</w:t>
      </w:r>
      <w:r w:rsidR="005B19C0">
        <w:t>ores form definition files</w:t>
      </w:r>
    </w:p>
    <w:p w:rsidR="005B19C0" w:rsidRDefault="005B19C0" w:rsidP="005B19C0">
      <w:pPr>
        <w:pStyle w:val="ListParagraph"/>
        <w:numPr>
          <w:ilvl w:val="0"/>
          <w:numId w:val="2"/>
        </w:numPr>
      </w:pPr>
      <w:r>
        <w:t>Renders the form definition files to the screen</w:t>
      </w:r>
    </w:p>
    <w:p w:rsidR="005B19C0" w:rsidRDefault="005B19C0" w:rsidP="005B19C0">
      <w:pPr>
        <w:pStyle w:val="ListParagraph"/>
        <w:numPr>
          <w:ilvl w:val="0"/>
          <w:numId w:val="2"/>
        </w:numPr>
      </w:pPr>
      <w:r>
        <w:lastRenderedPageBreak/>
        <w:t>Saves filled out forms to storage</w:t>
      </w:r>
    </w:p>
    <w:p w:rsidR="005B19C0" w:rsidRDefault="005B19C0" w:rsidP="005B19C0">
      <w:pPr>
        <w:pStyle w:val="ListParagraph"/>
        <w:numPr>
          <w:ilvl w:val="0"/>
          <w:numId w:val="2"/>
        </w:numPr>
      </w:pPr>
      <w:r>
        <w:t>Sends filled out forms to the Desktop Management Application</w:t>
      </w:r>
    </w:p>
    <w:p w:rsidR="00B062C5" w:rsidRDefault="00B062C5" w:rsidP="00B062C5">
      <w:pPr>
        <w:pStyle w:val="Heading2"/>
      </w:pPr>
      <w:r>
        <w:t>Normal Operation</w:t>
      </w:r>
    </w:p>
    <w:p w:rsidR="00B062C5" w:rsidRPr="00B062C5" w:rsidRDefault="00B062C5" w:rsidP="00B062C5">
      <w:r>
        <w:t>User is told by the system administrator that a form is available to be download</w:t>
      </w:r>
      <w:r w:rsidR="00DC7877">
        <w:t>ed. The user</w:t>
      </w:r>
      <w:r w:rsidR="00074A4E">
        <w:t xml:space="preserve"> then starts his application. If an Internet connection is available, the application will start downloading the form.</w:t>
      </w:r>
      <w:bookmarkStart w:id="0" w:name="_GoBack"/>
      <w:bookmarkEnd w:id="0"/>
    </w:p>
    <w:p w:rsidR="005B19C0" w:rsidRDefault="005B19C0" w:rsidP="005B19C0">
      <w:pPr>
        <w:pStyle w:val="Heading1"/>
      </w:pPr>
      <w:r>
        <w:t>Android Client Data Storage</w:t>
      </w:r>
    </w:p>
    <w:p w:rsidR="005B19C0" w:rsidRDefault="005B19C0" w:rsidP="005B19C0">
      <w:r>
        <w:t xml:space="preserve">This component is responsible for storing the definition </w:t>
      </w:r>
      <w:r w:rsidR="000E5E71">
        <w:t>files as well as data from filled out forms.</w:t>
      </w:r>
    </w:p>
    <w:p w:rsidR="000E5E71" w:rsidRDefault="000E5E71" w:rsidP="00547064">
      <w:pPr>
        <w:pStyle w:val="Heading1"/>
      </w:pPr>
      <w:r>
        <w:t xml:space="preserve">Use-Case </w:t>
      </w:r>
      <w:r w:rsidRPr="00547064">
        <w:t>Diagram</w:t>
      </w:r>
    </w:p>
    <w:p w:rsidR="00051704" w:rsidRDefault="00051704" w:rsidP="00051704">
      <w:pPr>
        <w:keepNext/>
      </w:pPr>
      <w:r>
        <w:rPr>
          <w:noProof/>
          <w:lang w:eastAsia="en-GB"/>
        </w:rPr>
        <w:drawing>
          <wp:inline distT="0" distB="0" distL="0" distR="0">
            <wp:extent cx="5731510" cy="4362671"/>
            <wp:effectExtent l="19050" t="0" r="254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stretch>
                      <a:fillRect/>
                    </a:stretch>
                  </pic:blipFill>
                  <pic:spPr>
                    <a:xfrm>
                      <a:off x="0" y="0"/>
                      <a:ext cx="5731510" cy="4362671"/>
                    </a:xfrm>
                    <a:prstGeom prst="rect">
                      <a:avLst/>
                    </a:prstGeom>
                  </pic:spPr>
                </pic:pic>
              </a:graphicData>
            </a:graphic>
          </wp:inline>
        </w:drawing>
      </w:r>
    </w:p>
    <w:p w:rsidR="00051704" w:rsidRDefault="00051704" w:rsidP="00051704">
      <w:pPr>
        <w:pStyle w:val="Caption"/>
      </w:pPr>
      <w:r>
        <w:t xml:space="preserve">Figure </w:t>
      </w:r>
      <w:fldSimple w:instr=" SEQ Figure \* ARABIC ">
        <w:r>
          <w:rPr>
            <w:noProof/>
          </w:rPr>
          <w:t>1</w:t>
        </w:r>
      </w:fldSimple>
      <w:r>
        <w:t>: Use case diagram for form management system</w:t>
      </w:r>
    </w:p>
    <w:tbl>
      <w:tblPr>
        <w:tblStyle w:val="TableGrid"/>
        <w:tblW w:w="0" w:type="auto"/>
        <w:tblLook w:val="04A0"/>
      </w:tblPr>
      <w:tblGrid>
        <w:gridCol w:w="3936"/>
        <w:gridCol w:w="685"/>
        <w:gridCol w:w="4621"/>
      </w:tblGrid>
      <w:tr w:rsidR="004A5FAC" w:rsidTr="004A5FAC">
        <w:tc>
          <w:tcPr>
            <w:tcW w:w="3936" w:type="dxa"/>
          </w:tcPr>
          <w:p w:rsidR="004A5FAC" w:rsidRDefault="004A5FAC" w:rsidP="004A5FAC">
            <w:r>
              <w:t>Use Case Name: Manage Client Forms</w:t>
            </w:r>
          </w:p>
        </w:tc>
        <w:tc>
          <w:tcPr>
            <w:tcW w:w="5306" w:type="dxa"/>
            <w:gridSpan w:val="2"/>
          </w:tcPr>
          <w:p w:rsidR="004A5FAC" w:rsidRDefault="004A5FAC" w:rsidP="004A5FAC">
            <w:r>
              <w:t>ID: 1</w:t>
            </w:r>
          </w:p>
        </w:tc>
      </w:tr>
      <w:tr w:rsidR="004A5FAC" w:rsidTr="00A32A94">
        <w:tc>
          <w:tcPr>
            <w:tcW w:w="4621" w:type="dxa"/>
            <w:gridSpan w:val="2"/>
          </w:tcPr>
          <w:p w:rsidR="004A5FAC" w:rsidRDefault="004A5FAC" w:rsidP="004A5FAC">
            <w:r>
              <w:t>Primary Actor: Client User</w:t>
            </w:r>
          </w:p>
        </w:tc>
        <w:tc>
          <w:tcPr>
            <w:tcW w:w="4621" w:type="dxa"/>
          </w:tcPr>
          <w:p w:rsidR="004A5FAC" w:rsidRDefault="004A5FAC" w:rsidP="004A5FAC"/>
        </w:tc>
      </w:tr>
      <w:tr w:rsidR="004A5FAC" w:rsidTr="004A5FAC">
        <w:tc>
          <w:tcPr>
            <w:tcW w:w="9242" w:type="dxa"/>
            <w:gridSpan w:val="3"/>
          </w:tcPr>
          <w:p w:rsidR="004A5FAC" w:rsidRDefault="004A5FAC" w:rsidP="004A5FAC">
            <w:r>
              <w:t>Description: This describes the process for maintaining and using forms on the mobile device.</w:t>
            </w:r>
          </w:p>
        </w:tc>
      </w:tr>
      <w:tr w:rsidR="004A5FAC" w:rsidTr="004A5FAC">
        <w:tc>
          <w:tcPr>
            <w:tcW w:w="9242" w:type="dxa"/>
            <w:gridSpan w:val="3"/>
          </w:tcPr>
          <w:p w:rsidR="004A5FAC" w:rsidRDefault="004A5FAC" w:rsidP="004A5FAC">
            <w:r>
              <w:t>Trigger: Client user launches client application to download forms, fill in a form, or send a filled-in form.</w:t>
            </w:r>
          </w:p>
        </w:tc>
      </w:tr>
      <w:tr w:rsidR="004A5FAC" w:rsidTr="004A5FAC">
        <w:tc>
          <w:tcPr>
            <w:tcW w:w="9242" w:type="dxa"/>
            <w:gridSpan w:val="3"/>
          </w:tcPr>
          <w:p w:rsidR="004A5FAC" w:rsidRDefault="004A5FAC" w:rsidP="004A5FAC">
            <w:r>
              <w:t>Relationtionships: Client User</w:t>
            </w:r>
          </w:p>
        </w:tc>
      </w:tr>
      <w:tr w:rsidR="004A5FAC" w:rsidTr="004A5FAC">
        <w:tc>
          <w:tcPr>
            <w:tcW w:w="9242" w:type="dxa"/>
            <w:gridSpan w:val="3"/>
          </w:tcPr>
          <w:p w:rsidR="004A5FAC" w:rsidRDefault="005B3AB2" w:rsidP="004A5FAC">
            <w:r>
              <w:t>Normal Flow of Events:</w:t>
            </w:r>
          </w:p>
        </w:tc>
      </w:tr>
      <w:tr w:rsidR="004A5FAC" w:rsidTr="004A5FAC">
        <w:tc>
          <w:tcPr>
            <w:tcW w:w="9242" w:type="dxa"/>
            <w:gridSpan w:val="3"/>
          </w:tcPr>
          <w:p w:rsidR="004A5FAC" w:rsidRDefault="004A5FAC" w:rsidP="004A5FAC"/>
        </w:tc>
      </w:tr>
      <w:tr w:rsidR="004A5FAC" w:rsidTr="004A5FAC">
        <w:tc>
          <w:tcPr>
            <w:tcW w:w="9242" w:type="dxa"/>
            <w:gridSpan w:val="3"/>
          </w:tcPr>
          <w:p w:rsidR="004A5FAC" w:rsidRDefault="004A5FAC" w:rsidP="004A5FAC"/>
        </w:tc>
      </w:tr>
    </w:tbl>
    <w:p w:rsidR="004A5FAC" w:rsidRPr="004A5FAC" w:rsidRDefault="004A5FAC" w:rsidP="004A5FAC"/>
    <w:p w:rsidR="00547064" w:rsidRDefault="00547064" w:rsidP="00547064">
      <w:pPr>
        <w:pStyle w:val="Heading1"/>
      </w:pPr>
      <w:r>
        <w:t>Use Case Descriptions</w:t>
      </w:r>
    </w:p>
    <w:p w:rsidR="00547064" w:rsidRPr="00547064" w:rsidRDefault="00547064" w:rsidP="00547064"/>
    <w:p w:rsidR="00877BF9" w:rsidRPr="00F43576" w:rsidRDefault="00877BF9" w:rsidP="00F43576">
      <w:pPr>
        <w:pStyle w:val="Heading1"/>
      </w:pPr>
      <w:r>
        <w:t>Bibliography</w:t>
      </w:r>
    </w:p>
    <w:p w:rsidR="00877BF9" w:rsidRDefault="00F22621" w:rsidP="00877BF9">
      <w:pPr>
        <w:pStyle w:val="Bibliography"/>
        <w:rPr>
          <w:noProof/>
        </w:rPr>
      </w:pPr>
      <w:r>
        <w:fldChar w:fldCharType="begin"/>
      </w:r>
      <w:r w:rsidR="00877BF9">
        <w:instrText xml:space="preserve"> BIBLIOGRAPHY  \l 2057 </w:instrText>
      </w:r>
      <w:r>
        <w:fldChar w:fldCharType="separate"/>
      </w:r>
      <w:r w:rsidR="00877BF9">
        <w:rPr>
          <w:noProof/>
        </w:rPr>
        <w:t xml:space="preserve">Tomlinson, Mark; Solomon, Wesley; Singh, Yages; Doherty, Tanya; Chopra, Mickey; Ijumba, Petrida; Tsai, Alexander C; Jackson, Debra;, 2009. The Use of Mobile Phones as a Data Collection Tool: A report from a household survey in South Africa. </w:t>
      </w:r>
      <w:r w:rsidR="00877BF9">
        <w:rPr>
          <w:i/>
          <w:iCs/>
          <w:noProof/>
        </w:rPr>
        <w:t xml:space="preserve">BMC Medical Informatics and Decision Making, </w:t>
      </w:r>
      <w:r w:rsidR="00877BF9">
        <w:rPr>
          <w:noProof/>
        </w:rPr>
        <w:t>9(51).</w:t>
      </w:r>
    </w:p>
    <w:p w:rsidR="00877BF9" w:rsidRPr="000C66DD" w:rsidRDefault="00F22621"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2634"/>
    <w:rsid w:val="00051704"/>
    <w:rsid w:val="00074A4E"/>
    <w:rsid w:val="00094751"/>
    <w:rsid w:val="000C66DD"/>
    <w:rsid w:val="000E5E71"/>
    <w:rsid w:val="001E2FE6"/>
    <w:rsid w:val="0024467C"/>
    <w:rsid w:val="0035795A"/>
    <w:rsid w:val="00397E3A"/>
    <w:rsid w:val="004A5FAC"/>
    <w:rsid w:val="00547064"/>
    <w:rsid w:val="005B19C0"/>
    <w:rsid w:val="005B3AB2"/>
    <w:rsid w:val="006555C4"/>
    <w:rsid w:val="006E27FA"/>
    <w:rsid w:val="007E3815"/>
    <w:rsid w:val="007F622C"/>
    <w:rsid w:val="00877BF9"/>
    <w:rsid w:val="00906F52"/>
    <w:rsid w:val="009434D3"/>
    <w:rsid w:val="00980123"/>
    <w:rsid w:val="009A672F"/>
    <w:rsid w:val="00A60361"/>
    <w:rsid w:val="00A8448D"/>
    <w:rsid w:val="00AC5CB8"/>
    <w:rsid w:val="00B062C5"/>
    <w:rsid w:val="00B20937"/>
    <w:rsid w:val="00B24D10"/>
    <w:rsid w:val="00B32FBD"/>
    <w:rsid w:val="00B62634"/>
    <w:rsid w:val="00C26478"/>
    <w:rsid w:val="00C66BFD"/>
    <w:rsid w:val="00CB0AB6"/>
    <w:rsid w:val="00CF61B7"/>
    <w:rsid w:val="00D27238"/>
    <w:rsid w:val="00D5693A"/>
    <w:rsid w:val="00DC2F70"/>
    <w:rsid w:val="00DC7877"/>
    <w:rsid w:val="00E17275"/>
    <w:rsid w:val="00E23AFC"/>
    <w:rsid w:val="00E448E1"/>
    <w:rsid w:val="00E453B1"/>
    <w:rsid w:val="00F05FEA"/>
    <w:rsid w:val="00F22621"/>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 w:type="paragraph" w:styleId="Caption">
    <w:name w:val="caption"/>
    <w:basedOn w:val="Normal"/>
    <w:next w:val="Normal"/>
    <w:uiPriority w:val="35"/>
    <w:unhideWhenUsed/>
    <w:qFormat/>
    <w:rsid w:val="00051704"/>
    <w:pPr>
      <w:spacing w:line="240" w:lineRule="auto"/>
    </w:pPr>
    <w:rPr>
      <w:b/>
      <w:bCs/>
      <w:color w:val="4F81BD" w:themeColor="accent1"/>
      <w:sz w:val="18"/>
      <w:szCs w:val="18"/>
    </w:rPr>
  </w:style>
  <w:style w:type="table" w:styleId="TableGrid">
    <w:name w:val="Table Grid"/>
    <w:basedOn w:val="TableNormal"/>
    <w:uiPriority w:val="59"/>
    <w:rsid w:val="004A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E417258A-96CA-4E20-8EE8-0B8C7A94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32</cp:revision>
  <dcterms:created xsi:type="dcterms:W3CDTF">2013-10-26T15:56:00Z</dcterms:created>
  <dcterms:modified xsi:type="dcterms:W3CDTF">2013-12-14T20:23:00Z</dcterms:modified>
</cp:coreProperties>
</file>