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color w:val="0b5394"/>
        </w:rPr>
      </w:pPr>
      <w:bookmarkStart w:colFirst="0" w:colLast="0" w:name="_zc6nfqiu7z27" w:id="0"/>
      <w:bookmarkEnd w:id="0"/>
      <w:r w:rsidDel="00000000" w:rsidR="00000000" w:rsidRPr="00000000">
        <w:rPr>
          <w:color w:val="0b5394"/>
          <w:rtl w:val="0"/>
        </w:rPr>
        <w:t xml:space="preserve">Teacher Guide: 91879 - Databases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resource should allow you to teach and assess AS 91879 (databases).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Students can access the ePub either via </w:t>
      </w:r>
      <w:hyperlink r:id="rId6">
        <w:r w:rsidDel="00000000" w:rsidR="00000000" w:rsidRPr="00000000">
          <w:rPr>
            <w:color w:val="1155cc"/>
            <w:u w:val="single"/>
            <w:rtl w:val="0"/>
          </w:rPr>
          <w:t xml:space="preserve">Thorium</w:t>
        </w:r>
      </w:hyperlink>
      <w:r w:rsidDel="00000000" w:rsidR="00000000" w:rsidRPr="00000000">
        <w:rPr>
          <w:rtl w:val="0"/>
        </w:rPr>
        <w:t xml:space="preserve"> or </w:t>
      </w:r>
      <w:hyperlink r:id="rId7">
        <w:r w:rsidDel="00000000" w:rsidR="00000000" w:rsidRPr="00000000">
          <w:rPr>
            <w:color w:val="1155cc"/>
            <w:u w:val="single"/>
            <w:rtl w:val="0"/>
          </w:rPr>
          <w:t xml:space="preserve">ePub Reader</w:t>
        </w:r>
      </w:hyperlink>
      <w:r w:rsidDel="00000000" w:rsidR="00000000" w:rsidRPr="00000000">
        <w:rPr>
          <w:rtl w:val="0"/>
        </w:rPr>
        <w:t xml:space="preserve">.  First open the software, then open the ePub.  Those on a mac should also be able to open the material in iBooks.</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Prerequisites: </w:t>
            </w:r>
            <w:r w:rsidDel="00000000" w:rsidR="00000000" w:rsidRPr="00000000">
              <w:rPr>
                <w:rtl w:val="0"/>
              </w:rPr>
              <w:t xml:space="preserve">It is assumed that students working through this eBook have previously completed the eBook that shows how to create a basic website (or similar).   Students should be comfortable using HTML and CSS and should, ideally have a previous project where they can recycle the code to create their basic website.</w:t>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folder called “91879_Teacher_Only_Answers” contains </w:t>
      </w:r>
      <w:r w:rsidDel="00000000" w:rsidR="00000000" w:rsidRPr="00000000">
        <w:rPr>
          <w:b w:val="1"/>
          <w:rtl w:val="0"/>
        </w:rPr>
        <w:t xml:space="preserve">two</w:t>
      </w:r>
      <w:r w:rsidDel="00000000" w:rsidR="00000000" w:rsidRPr="00000000">
        <w:rPr>
          <w:rtl w:val="0"/>
        </w:rPr>
        <w:t xml:space="preserve"> sites.  The one called ‘11_Vanilla_Reading’ is the first version of the site.  The second, called ‘11_Vanilla_Reading_v2’ includes the optional material at the end of the book (populating a dropdown directly from the database and further refining the search area).  </w:t>
      </w:r>
    </w:p>
    <w:p w:rsidR="00000000" w:rsidDel="00000000" w:rsidP="00000000" w:rsidRDefault="00000000" w:rsidRPr="00000000" w14:paraId="0000000A">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Important</w:t>
            </w:r>
            <w:r w:rsidDel="00000000" w:rsidR="00000000" w:rsidRPr="00000000">
              <w:rPr>
                <w:rtl w:val="0"/>
              </w:rPr>
              <w:t xml:space="preserve">: The ‘model answers’ show one possible design for the site.  I would expect student practice work to look quite different.  Students should be encouraged to choose their own colours, images and fonts.  They are also welcome to change the site layout if they wish (as long as their proposed layout is a workable solution).  They can also be encouraged to populate their database with books that they have reviewed.  They can either enter this manually or edit / add additional rows into the spreadsheet in the support files area.  If they go this route, they might need to add extra options in their ‘genre’ search.</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the support files area, there is an evidence template.  I’ll be encouraging my students to make copies of this template and complete it both for the practice and assessment tasks.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 their documentation students should make notes / justify any major decisions / changes related to how their outcome has been refined.  They don’t need to screenshot every single step of the process but they should be able to show how they have refined their site by provided ‘before’ and ‘after’ screenshots at key points.  If they ask which way to do something, please encourage them to trial both ways and then choose the best option - they will want to take screenshots showing they have done this as it forms part of the evidence needed to get an M / E grade.  The emphasis in the documentation is to show that the outcome has been tested and refined.  Justifications should be less than three sentences long!!  Most of the documentation will be taken up with large (hopefully easy to read) screenshots.  Feel free to remind students that they can submit screencast / video evidence if they prefer.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resource uses HTML, CSS, PHP and sql.  Students will need to have access to a suitable environment - either XAMPP / local host or a hosting area where they can upload their outcome and then test that it works.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the eBook, there are four checkpoints.  The suggested checkpoints are as follows:</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Checkpoint 1 - Recycled Site</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Checkpoint 2 - Database Setup </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Checkpoint 3a - ‘Show All’ Query</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Checkpoint 3b - Query testing</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Checkpoint 4 - Complete practice outcome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Hopefully most students will manage to complete checkpoint 4 before they attempt the assessment.  Ideally we would want to give them feedback on what they have so that if there are any issues, they can be fixed / avoided in the assessment.</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rlab.org/software/thorium-reader/" TargetMode="External"/><Relationship Id="rId7" Type="http://schemas.openxmlformats.org/officeDocument/2006/relationships/hyperlink" Target="http://www.epubfilereader.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