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svg" ContentType="image/svg+xml"/>
  <Override PartName="/word/media/rId3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Treatments</w:t>
      </w:r>
      <w:r>
        <w:t xml:space="preserve"> </w:t>
      </w:r>
      <w:r>
        <w:t xml:space="preserve">for</w:t>
      </w:r>
      <w:r>
        <w:t xml:space="preserve"> </w:t>
      </w:r>
      <w:r>
        <w:t xml:space="preserve">Amblyopia</w:t>
      </w:r>
      <w:r>
        <w:t xml:space="preserve"> </w:t>
      </w:r>
      <w:r>
        <w:t xml:space="preserve">with</w:t>
      </w:r>
      <w:r>
        <w:t xml:space="preserve"> </w:t>
      </w:r>
      <w:r>
        <w:t xml:space="preserve">a</w:t>
      </w:r>
      <w:r>
        <w:t xml:space="preserve"> </w:t>
      </w:r>
      <w:r>
        <w:t xml:space="preserve">Synaptic</w:t>
      </w:r>
      <w:r>
        <w:t xml:space="preserve"> </w:t>
      </w:r>
      <w:r>
        <w:t xml:space="preserve">Plasticity</w:t>
      </w:r>
      <w:r>
        <w:t xml:space="preserve"> </w:t>
      </w:r>
      <w:r>
        <w:t xml:space="preserve">Model</w:t>
      </w:r>
    </w:p>
    <w:p>
      <w:pPr>
        <w:pStyle w:val="Subtitle"/>
      </w:pPr>
    </w:p>
    <w:p>
      <w:pPr>
        <w:pStyle w:val="Author"/>
      </w:pPr>
      <w:r>
        <w:t xml:space="preserve">Brian</w:t>
      </w:r>
      <w:r>
        <w:t xml:space="preserve"> </w:t>
      </w:r>
      <w:r>
        <w:t xml:space="preserve">S.</w:t>
      </w:r>
      <w:r>
        <w:t xml:space="preserve"> </w:t>
      </w:r>
      <w:r>
        <w:t xml:space="preserve">Blais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eface"/>
    <w:p>
      <w:pPr>
        <w:pStyle w:val="Heading1"/>
      </w:pPr>
      <w:r>
        <w:t xml:space="preserve">Preface</w:t>
      </w:r>
    </w:p>
    <w:p>
      <w:pPr>
        <w:pStyle w:val="FirstParagraph"/>
      </w:pPr>
      <w:r>
        <w:t xml:space="preserve">These notes are produced with a combination of Obsidian (</w:t>
      </w:r>
      <w:hyperlink r:id="rId20">
        <w:r>
          <w:rPr>
            <w:rStyle w:val="Hyperlink"/>
          </w:rPr>
          <w:t xml:space="preserve">https://obsidian.md</w:t>
        </w:r>
      </w:hyperlink>
      <w:r>
        <w:t xml:space="preserve">), pandoc (</w:t>
      </w:r>
      <w:hyperlink r:id="rId21">
        <w:r>
          <w:rPr>
            <w:rStyle w:val="Hyperlink"/>
          </w:rPr>
          <w:t xml:space="preserve">https://pandoc.org</w:t>
        </w:r>
      </w:hyperlink>
      <w:r>
        <w:t xml:space="preserve">), and some self-styled python scripts ()</w:t>
      </w:r>
    </w:p>
    <w:bookmarkStart w:id="24" w:name="software-installation"/>
    <w:p>
      <w:pPr>
        <w:pStyle w:val="Heading2"/>
      </w:pPr>
      <w:r>
        <w:t xml:space="preserve">Software Installation</w:t>
      </w:r>
    </w:p>
    <w:p>
      <w:pPr>
        <w:pStyle w:val="FirstParagraph"/>
      </w:pPr>
      <w:r>
        <w:t xml:space="preserve">The software is Python-based with parts written in Cython.</w:t>
      </w:r>
    </w:p>
    <w:p>
      <w:pPr>
        <w:numPr>
          <w:ilvl w:val="0"/>
          <w:numId w:val="1001"/>
        </w:numPr>
        <w:pStyle w:val="Compact"/>
      </w:pPr>
      <w:r>
        <w:t xml:space="preserve">Download the Anaconda Distribution of Python:</w:t>
      </w:r>
    </w:p>
    <w:p>
      <w:pPr>
        <w:pStyle w:val="FirstParagraph"/>
      </w:pPr>
      <w:hyperlink r:id="rId22">
        <w:r>
          <w:rPr>
            <w:rStyle w:val="Hyperlink"/>
          </w:rPr>
          <w:t xml:space="preserve">https://www.anaconda.com/products/individual#downloads</w:t>
        </w:r>
      </w:hyperlink>
    </w:p>
    <w:p>
      <w:pPr>
        <w:numPr>
          <w:ilvl w:val="0"/>
          <w:numId w:val="1002"/>
        </w:numPr>
        <w:pStyle w:val="Compact"/>
      </w:pPr>
      <w:r>
        <w:t xml:space="preserve">Download and extract the</w:t>
      </w:r>
      <w:r>
        <w:t xml:space="preserve"> </w:t>
      </w:r>
      <w:r>
        <w:rPr>
          <w:iCs/>
          <w:i/>
        </w:rPr>
        <w:t xml:space="preserve">PlasticNet</w:t>
      </w:r>
      <w:r>
        <w:t xml:space="preserve"> </w:t>
      </w:r>
      <w:r>
        <w:t xml:space="preserve">package at:</w:t>
      </w:r>
    </w:p>
    <w:p>
      <w:pPr>
        <w:pStyle w:val="FirstParagraph"/>
      </w:pPr>
      <w:hyperlink r:id="rId23">
        <w:r>
          <w:rPr>
            <w:rStyle w:val="Hyperlink"/>
          </w:rPr>
          <w:t xml:space="preserve">https://github.com/bblais/Plasticnet/archive/refs/heads/master.zip</w:t>
        </w:r>
      </w:hyperlink>
    </w:p>
    <w:p>
      <w:pPr>
        <w:numPr>
          <w:ilvl w:val="0"/>
          <w:numId w:val="1003"/>
        </w:numPr>
        <w:pStyle w:val="Compact"/>
      </w:pPr>
      <w:r>
        <w:t xml:space="preserve">Run the script</w:t>
      </w:r>
      <w:r>
        <w:t xml:space="preserve"> </w:t>
      </w:r>
      <w:r>
        <w:rPr>
          <w:rStyle w:val="VerbatimChar"/>
        </w:rPr>
        <w:t xml:space="preserve">install.py</w:t>
      </w:r>
    </w:p>
    <w:bookmarkEnd w:id="24"/>
    <w:bookmarkStart w:id="26" w:name="printable-versions"/>
    <w:p>
      <w:pPr>
        <w:pStyle w:val="Heading2"/>
      </w:pPr>
      <w:r>
        <w:t xml:space="preserve">Printable Versions</w:t>
      </w:r>
    </w:p>
    <w:p>
      <w:pPr>
        <w:pStyle w:val="FirstParagraph"/>
      </w:pPr>
      <w:r>
        <w:t xml:space="preserve">Printable versions of this report can be found on the GitHub site for this project,</w:t>
      </w:r>
    </w:p>
    <w:p>
      <w:pPr>
        <w:numPr>
          <w:ilvl w:val="0"/>
          <w:numId w:val="1004"/>
        </w:numPr>
        <w:pStyle w:val="Compact"/>
      </w:pPr>
      <w:hyperlink r:id="rId25">
        <w:r>
          <w:rPr>
            <w:rStyle w:val="Hyperlink"/>
          </w:rPr>
          <w:t xml:space="preserve">Microsoft Word version</w:t>
        </w:r>
      </w:hyperlink>
    </w:p>
    <w:p>
      <w:pPr>
        <w:numPr>
          <w:ilvl w:val="0"/>
          <w:numId w:val="1004"/>
        </w:numPr>
        <w:pStyle w:val="Compact"/>
      </w:pPr>
      <w:hyperlink r:id="rId25">
        <w:r>
          <w:rPr>
            <w:rStyle w:val="Hyperlink"/>
          </w:rPr>
          <w:t xml:space="preserve">PDF version</w:t>
        </w:r>
      </w:hyperlink>
    </w:p>
    <w:bookmarkEnd w:id="26"/>
    <w:bookmarkEnd w:id="27"/>
    <w:bookmarkStart w:id="33" w:name="introduction"/>
    <w:p>
      <w:pPr>
        <w:pStyle w:val="Heading1"/>
      </w:pPr>
      <w:r>
        <w:rPr>
          <w:rStyle w:val="SectionNumber"/>
        </w:rPr>
        <w:t xml:space="preserve">1</w:t>
      </w:r>
      <w:r>
        <w:tab/>
      </w:r>
      <w:r>
        <w:t xml:space="preserve">Introduction</w:t>
      </w:r>
    </w:p>
    <w:p>
      <w:pPr>
        <w:pStyle w:val="FirstParagraph"/>
      </w:pPr>
      <w:r>
        <w:t xml:space="preserve">These notes are an exploration of the problem of modeling Amblyopia and its various treatments from an approach using synaptic plasticity models. The process will involve constructing a simplified mechanism for the development of amblyopic deficits and subsequently modeling both monocular and binocular treatment protocols. The goal is to understand the dynamics of the recovery from amblyopic deficits for the different treatment protocols, to compare the effectiveness of each protocol, and to explore their limitations. Ideally we would like to use these models to inform future protocol parameters and perhaps suggest novel treatments for amblyopia.</w:t>
      </w:r>
    </w:p>
    <w:p>
      <w:pPr>
        <w:pStyle w:val="BodyText"/>
      </w:pPr>
      <w:r>
        <w:t xml:space="preserve">In this part we will explore the clinical basis for amblyopia and its treatments. In the</w:t>
      </w:r>
      <w:r>
        <w:t xml:space="preserve"> </w:t>
      </w:r>
      <w:r>
        <w:t xml:space="preserve">(</w:t>
      </w:r>
      <w:r>
        <w:rPr>
          <w:bCs/>
          <w:b/>
        </w:rPr>
        <w:t xml:space="preserve">sec-models-of-development?</w:t>
      </w:r>
      <w:r>
        <w:t xml:space="preserve">)</w:t>
      </w:r>
      <w:r>
        <w:t xml:space="preserve"> </w:t>
      </w:r>
      <w:r>
        <w:t xml:space="preserve">and</w:t>
      </w:r>
      <w:r>
        <w:t xml:space="preserve"> </w:t>
      </w:r>
      <w:r>
        <w:t xml:space="preserve">(</w:t>
      </w:r>
      <w:r>
        <w:rPr>
          <w:bCs/>
          <w:b/>
        </w:rPr>
        <w:t xml:space="preserve">sec-models-of-treatments?</w:t>
      </w:r>
      <w:r>
        <w:t xml:space="preserve">)</w:t>
      </w:r>
      <w:r>
        <w:t xml:space="preserve"> </w:t>
      </w:r>
      <w:r>
        <w:t xml:space="preserve">we will explore the models that are used to describe the deficits from amblyopia and their treatment, respectively.</w:t>
      </w:r>
    </w:p>
    <w:bookmarkStart w:id="28" w:name="what-is-amblyopia"/>
    <w:p>
      <w:pPr>
        <w:pStyle w:val="Heading2"/>
      </w:pPr>
      <w:r>
        <w:rPr>
          <w:rStyle w:val="SectionNumber"/>
        </w:rPr>
        <w:t xml:space="preserve">1.1</w:t>
      </w:r>
      <w:r>
        <w:tab/>
      </w:r>
      <w:r>
        <w:t xml:space="preserve">What is Amblyopia?</w:t>
      </w:r>
    </w:p>
    <w:p>
      <w:pPr>
        <w:pStyle w:val="FirstParagraph"/>
      </w:pPr>
      <w:r>
        <w:t xml:space="preserve">Amblyopia is the most common cause of vision loss in children, caused by refractive errors or misalignment of the eyes</w:t>
      </w:r>
      <w:r>
        <w:t xml:space="preserve"> </w:t>
      </w:r>
      <w:r>
        <w:t xml:space="preserve">(Zárate and Tejedor, 2007)</w:t>
      </w:r>
      <w:r>
        <w:t xml:space="preserve">.</w:t>
      </w:r>
    </w:p>
    <w:p>
      <w:pPr>
        <w:numPr>
          <w:ilvl w:val="0"/>
          <w:numId w:val="1005"/>
        </w:numPr>
        <w:pStyle w:val="Compact"/>
      </w:pPr>
      <w:r>
        <w:t xml:space="preserve">Visual acuity</w:t>
      </w:r>
    </w:p>
    <w:p>
      <w:pPr>
        <w:numPr>
          <w:ilvl w:val="0"/>
          <w:numId w:val="1005"/>
        </w:numPr>
        <w:pStyle w:val="Compact"/>
      </w:pPr>
      <w:r>
        <w:t xml:space="preserve">Contrast sensitivity</w:t>
      </w:r>
    </w:p>
    <w:p>
      <w:pPr>
        <w:numPr>
          <w:ilvl w:val="0"/>
          <w:numId w:val="1005"/>
        </w:numPr>
        <w:pStyle w:val="Compact"/>
      </w:pPr>
      <w:r>
        <w:t xml:space="preserve">Color</w:t>
      </w:r>
    </w:p>
    <w:p>
      <w:pPr>
        <w:numPr>
          <w:ilvl w:val="0"/>
          <w:numId w:val="1005"/>
        </w:numPr>
        <w:pStyle w:val="Compact"/>
      </w:pPr>
      <w:r>
        <w:t xml:space="preserve">Depth (Stereopsis)</w:t>
      </w:r>
    </w:p>
    <w:p>
      <w:pPr>
        <w:numPr>
          <w:ilvl w:val="0"/>
          <w:numId w:val="1005"/>
        </w:numPr>
        <w:pStyle w:val="Compact"/>
      </w:pPr>
      <w:r>
        <w:t xml:space="preserve">Motion</w:t>
      </w:r>
    </w:p>
    <w:p>
      <w:pPr>
        <w:numPr>
          <w:ilvl w:val="0"/>
          <w:numId w:val="1005"/>
        </w:numPr>
        <w:pStyle w:val="Compact"/>
      </w:pPr>
      <w:r>
        <w:t xml:space="preserve">Visual fields</w:t>
      </w:r>
    </w:p>
    <w:bookmarkEnd w:id="28"/>
    <w:bookmarkStart w:id="31" w:name="how-is-it-treated"/>
    <w:p>
      <w:pPr>
        <w:pStyle w:val="Heading2"/>
      </w:pPr>
      <w:r>
        <w:rPr>
          <w:rStyle w:val="SectionNumber"/>
        </w:rPr>
        <w:t xml:space="preserve">1.2</w:t>
      </w:r>
      <w:r>
        <w:tab/>
      </w:r>
      <w:r>
        <w:t xml:space="preserve">How is it Treated?</w:t>
      </w:r>
    </w:p>
    <w:p>
      <w:pPr>
        <w:pStyle w:val="FirstParagraph"/>
      </w:pPr>
      <w:r>
        <w:t xml:space="preserve">The current primary treatment is described in the</w:t>
      </w:r>
      <w:r>
        <w:t xml:space="preserve"> </w:t>
      </w:r>
      <w:r>
        <w:rPr>
          <w:iCs/>
          <w:i/>
        </w:rPr>
        <w:t xml:space="preserve">Amblyopia Preferred Practice Method</w:t>
      </w:r>
      <w:r>
        <w:t xml:space="preserve"> </w:t>
      </w:r>
      <w:r>
        <w:t xml:space="preserve">(Wallace et al., 2018)</w:t>
      </w:r>
      <w:r>
        <w:t xml:space="preserve">. Treatments are divided into two broad categories, monocular and binocular treatments. Monocular treatments produce a competition between the two eyes by treating only the fellow eye to that the amblyopic eye recovers. Binocular treatments seek to stimulate both eyes in such a way that binocular mechanisms can produce a recovery in the amblyopic eye.</w:t>
      </w:r>
    </w:p>
    <w:bookmarkStart w:id="29" w:name="monocular-treatments"/>
    <w:p>
      <w:pPr>
        <w:pStyle w:val="Heading3"/>
      </w:pPr>
      <w:r>
        <w:rPr>
          <w:rStyle w:val="SectionNumber"/>
        </w:rPr>
        <w:t xml:space="preserve">1.2.1</w:t>
      </w:r>
      <w:r>
        <w:tab/>
      </w:r>
      <w:r>
        <w:t xml:space="preserve">Monocular Treatments</w:t>
      </w:r>
    </w:p>
    <w:p>
      <w:pPr>
        <w:pStyle w:val="FirstParagraph"/>
      </w:pPr>
      <w:r>
        <w:t xml:space="preserve">The most common treatment includes</w:t>
      </w:r>
    </w:p>
    <w:p>
      <w:pPr>
        <w:numPr>
          <w:ilvl w:val="0"/>
          <w:numId w:val="1006"/>
        </w:numPr>
        <w:pStyle w:val="Compact"/>
      </w:pPr>
      <w:r>
        <w:t xml:space="preserve">the optical correction of significant refractive errors</w:t>
      </w:r>
    </w:p>
    <w:p>
      <w:pPr>
        <w:numPr>
          <w:ilvl w:val="0"/>
          <w:numId w:val="1006"/>
        </w:numPr>
        <w:pStyle w:val="Compact"/>
      </w:pPr>
      <w:r>
        <w:t xml:space="preserve">patching the dominant eye which forces the visual input to come from only the amblyopic eye.</w:t>
      </w:r>
    </w:p>
    <w:p>
      <w:pPr>
        <w:pStyle w:val="FirstParagraph"/>
      </w:pPr>
      <w:r>
        <w:t xml:space="preserve">Although patching is the most common method of treatment, other methods are described including pharmacology and technology</w:t>
      </w:r>
      <w:r>
        <w:t xml:space="preserve"> </w:t>
      </w:r>
      <w:r>
        <w:t xml:space="preserve">(Gao et al., 2018; Glaser et al., 2002; Jonathan M. Holmes et al., 2016b; Jonathan M. Holmes et al., 2016a; Kelly et al., 2016; Li et al., 2015; Zárate and Tejedor, 2007)</w:t>
      </w:r>
      <w:r>
        <w:t xml:space="preserve">. These include,</w:t>
      </w:r>
    </w:p>
    <w:p>
      <w:pPr>
        <w:numPr>
          <w:ilvl w:val="0"/>
          <w:numId w:val="1007"/>
        </w:numPr>
        <w:pStyle w:val="Compact"/>
      </w:pPr>
      <w:r>
        <w:t xml:space="preserve">Pharmacological treatment with atropine drops in the fellow eye</w:t>
      </w:r>
    </w:p>
    <w:p>
      <w:pPr>
        <w:pStyle w:val="FirstParagraph"/>
      </w:pPr>
      <w:r>
        <w:t xml:space="preserve">Each of these treatments only directly applies to the fellow eye and the amblyopic eye is left untouched.</w:t>
      </w:r>
    </w:p>
    <w:bookmarkEnd w:id="29"/>
    <w:bookmarkStart w:id="30" w:name="binocular-treatments"/>
    <w:p>
      <w:pPr>
        <w:pStyle w:val="Heading3"/>
      </w:pPr>
      <w:r>
        <w:rPr>
          <w:rStyle w:val="SectionNumber"/>
        </w:rPr>
        <w:t xml:space="preserve">1.2.2</w:t>
      </w:r>
      <w:r>
        <w:tab/>
      </w:r>
      <w:r>
        <w:t xml:space="preserve">Binocular Treatments</w:t>
      </w:r>
    </w:p>
    <w:p>
      <w:pPr>
        <w:pStyle w:val="FirstParagraph"/>
      </w:pPr>
      <w:r>
        <w:t xml:space="preserve">There are some treatments which are administered to both eyes, making them binocular treatments. The one that we will be addressing here use virtual reality headsets</w:t>
      </w:r>
      <w:r>
        <w:t xml:space="preserve">(Xiao et al., 2020, 2022)</w:t>
      </w:r>
      <w:r>
        <w:t xml:space="preserve">,</w:t>
      </w:r>
    </w:p>
    <w:p>
      <w:pPr>
        <w:numPr>
          <w:ilvl w:val="0"/>
          <w:numId w:val="1008"/>
        </w:numPr>
        <w:pStyle w:val="Compact"/>
      </w:pPr>
      <w:r>
        <w:t xml:space="preserve">Virtual reality input to both eyes, with contrast modification and/or dichoptic masks</w:t>
      </w:r>
    </w:p>
    <w:bookmarkEnd w:id="30"/>
    <w:bookmarkEnd w:id="31"/>
    <w:bookmarkStart w:id="32" w:name="mechanisms-for-amblyopia"/>
    <w:p>
      <w:pPr>
        <w:pStyle w:val="Heading2"/>
      </w:pPr>
      <w:r>
        <w:rPr>
          <w:rStyle w:val="SectionNumber"/>
        </w:rPr>
        <w:t xml:space="preserve">1.3</w:t>
      </w:r>
      <w:r>
        <w:tab/>
      </w:r>
      <w:r>
        <w:t xml:space="preserve">Mechanisms for Amblyopia</w:t>
      </w:r>
    </w:p>
    <w:p>
      <w:pPr>
        <w:pStyle w:val="FirstParagraph"/>
      </w:pPr>
      <w:r>
        <w:t xml:space="preserve">Since the unequal visual input to the brain can cause alterations in the synaptic pathways leading to a disparity in ocular dominance</w:t>
      </w:r>
      <w:r>
        <w:t xml:space="preserve"> </w:t>
      </w:r>
      <w:r>
        <w:t xml:space="preserve">(Birch, 2013)</w:t>
      </w:r>
      <w:r>
        <w:t xml:space="preserve">, it is important to understand the possible synaptic effects amblyopia can produce and how potential treatments will either help or hinder the recovery.</w:t>
      </w:r>
    </w:p>
    <w:bookmarkEnd w:id="32"/>
    <w:bookmarkEnd w:id="33"/>
    <w:bookmarkStart w:id="43" w:name="methods"/>
    <w:p>
      <w:pPr>
        <w:pStyle w:val="Heading1"/>
      </w:pPr>
      <w:r>
        <w:rPr>
          <w:rStyle w:val="SectionNumber"/>
        </w:rPr>
        <w:t xml:space="preserve">2</w:t>
      </w:r>
      <w:r>
        <w:tab/>
      </w:r>
      <w:r>
        <w:t xml:space="preserve">Methods</w:t>
      </w:r>
    </w:p>
    <w:p>
      <w:pPr>
        <w:pStyle w:val="FirstParagraph"/>
      </w:pPr>
      <w:r>
        <w:t xml:space="preserve">In this paper we use a specific model of neural plasticity, the BCM model</w:t>
      </w:r>
      <w:r>
        <w:t xml:space="preserve">(Bienenstock et al., 1982)</w:t>
      </w:r>
      <w:r>
        <w:t xml:space="preserve">, to describe the dynamics of the recovery from amblyopia under a number of treatment protocols. Section</w:t>
      </w:r>
      <w:r>
        <w:t xml:space="preserve"> </w:t>
      </w:r>
      <w:hyperlink w:anchor="introduction">
        <w:r>
          <w:rPr>
            <w:rStyle w:val="Hyperlink"/>
          </w:rPr>
          <w:t xml:space="preserve">1</w:t>
        </w:r>
      </w:hyperlink>
      <w:r>
        <w:t xml:space="preserve">.</w:t>
      </w:r>
    </w:p>
    <w:bookmarkStart w:id="42" w:name="natural-image-input-environment"/>
    <w:p>
      <w:pPr>
        <w:pStyle w:val="Heading2"/>
      </w:pPr>
      <w:r>
        <w:rPr>
          <w:rStyle w:val="SectionNumber"/>
        </w:rPr>
        <w:t xml:space="preserve">2.1</w:t>
      </w:r>
      <w:r>
        <w:tab/>
      </w:r>
      <w:r>
        <w:t xml:space="preserve">Natural Image Input Environment</w:t>
      </w:r>
    </w:p>
    <w:p>
      <w:pPr>
        <w:pStyle w:val="FirstParagraph"/>
      </w:pPr>
      <w:r>
        <w:t xml:space="preserve">In order to approximate the visual system, we start with the following basic properties of the retina, LGN and cortex. There are approximately 1000 photoreceptors feeding into 1 ganglion cell</w:t>
      </w:r>
      <w:r>
        <w:t xml:space="preserve"> </w:t>
      </w:r>
      <w:r>
        <w:t xml:space="preserve">(Jeon et al., 1998; Sterling et al., 1988)</w:t>
      </w:r>
      <w:r>
        <w:t xml:space="preserve">. The retina/LGN responses show a center-surround organization, but with a center diameter less than 1</w:t>
      </w:r>
      <m:oMath>
        <m:sSup>
          <m:e>
            <m:r>
              <m:t>​</m:t>
            </m:r>
          </m:e>
          <m:sup>
            <m:r>
              <m:t>o</m:t>
            </m:r>
          </m:sup>
        </m:sSup>
      </m:oMath>
      <w:r>
        <w:t xml:space="preserve"> </w:t>
      </w:r>
      <w:r>
        <w:t xml:space="preserve">(Hubel, 1995)</w:t>
      </w:r>
    </w:p>
    <w:p>
      <w:pPr>
        <w:pStyle w:val="BodyText"/>
      </w:pPr>
      <w:r>
        <w:t xml:space="preserve">We use natural scene stimuli for the simulated inputs to the visual system. We start with images taken with a digital camera, with dimensions 1200 pixels by 1600 pixels and 40</w:t>
      </w:r>
      <m:oMath>
        <m:sSup>
          <m:e>
            <m:r>
              <m:t>​</m:t>
            </m:r>
          </m:e>
          <m:sup>
            <m:r>
              <m:t>o</m:t>
            </m:r>
          </m:sup>
        </m:sSup>
      </m:oMath>
      <w:r>
        <w:t xml:space="preserve"> </w:t>
      </w:r>
      <w:r>
        <w:t xml:space="preserve">by 60</w:t>
      </w:r>
      <m:oMath>
        <m:sSup>
          <m:e>
            <m:r>
              <m:t>​</m:t>
            </m:r>
          </m:e>
          <m:sup>
            <m:r>
              <m:t>o</m:t>
            </m:r>
          </m:sup>
        </m:sSup>
      </m:oMath>
      <w:r>
        <w:t xml:space="preserve"> </w:t>
      </w:r>
      <w:r>
        <w:t xml:space="preserve">real-world angular dimensions (Figure</w:t>
      </w:r>
      <w:r>
        <w:t xml:space="preserve"> </w:t>
      </w:r>
      <w:hyperlink w:anchor="fig:orig">
        <w:r>
          <w:rPr>
            <w:rStyle w:val="Hyperlink"/>
          </w:rPr>
          <w:t xml:space="preserve">1</w:t>
        </w:r>
      </w:hyperlink>
      <w:r>
        <w:t xml:space="preserve">). Photoreceptors have a logarithmic response to the stimulus, so we apply the natural logarithm to the pixel values. Finally, we model the ganglion responses using a 32x32 pixel center-surround difference-of-Gaussians (DOG) filter to process the images, each pixel representing one photoreceptor (Figure</w:t>
      </w:r>
      <w:r>
        <w:t xml:space="preserve"> </w:t>
      </w:r>
      <w:hyperlink w:anchor="fig:orig">
        <w:r>
          <w:rPr>
            <w:rStyle w:val="Hyperlink"/>
          </w:rPr>
          <w:t xml:space="preserve">1</w:t>
        </w:r>
      </w:hyperlink>
      <w:r>
        <w:t xml:space="preserve">). The center-surround radius ratio used for the ganglion cell is 1:3, with balanced excitatory and inhibitory regions and normalized Gaussian profiles.</w:t>
      </w:r>
    </w:p>
    <w:bookmarkStart w:id="0" w:name="fig:orig"/>
    <w:p>
      <w:pPr>
        <w:pStyle w:val="CaptionedFigure"/>
      </w:pPr>
      <w:bookmarkStart w:id="37" w:name="fig:orig"/>
      <w:r>
        <w:drawing>
          <wp:inline>
            <wp:extent cx="5334000" cy="2667000"/>
            <wp:effectExtent b="0" l="0" r="0" t="0"/>
            <wp:docPr descr="Figure 1: Original natural images." title="" id="35" name="Picture"/>
            <a:graphic>
              <a:graphicData uri="http://schemas.openxmlformats.org/drawingml/2006/picture">
                <pic:pic>
                  <pic:nvPicPr>
                    <pic:cNvPr descr="/Users/bblais/Documents/Git/Amblyopia-Simulation/Manuscript/resources/fig-orig.svg" id="3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5334000" cy="2667000"/>
                    </a:xfrm>
                    <a:prstGeom prst="rect">
                      <a:avLst/>
                    </a:prstGeom>
                    <a:noFill/>
                    <a:ln w="9525">
                      <a:noFill/>
                      <a:headEnd/>
                      <a:tailEnd/>
                    </a:ln>
                  </pic:spPr>
                </pic:pic>
              </a:graphicData>
            </a:graphic>
          </wp:inline>
        </w:drawing>
      </w:r>
      <w:bookmarkEnd w:id="37"/>
    </w:p>
    <w:p>
      <w:pPr>
        <w:pStyle w:val="ImageCaption"/>
      </w:pPr>
      <w:r>
        <w:t xml:space="preserve">Figure 1: Original natural images.</w:t>
      </w:r>
    </w:p>
    <w:bookmarkEnd w:id="0"/>
    <w:bookmarkStart w:id="0" w:name="fig:logdog"/>
    <w:p>
      <w:pPr>
        <w:pStyle w:val="CaptionedFigure"/>
      </w:pPr>
      <w:bookmarkStart w:id="41" w:name="fig:logdog"/>
      <w:r>
        <w:drawing>
          <wp:inline>
            <wp:extent cx="5334000" cy="2667000"/>
            <wp:effectExtent b="0" l="0" r="0" t="0"/>
            <wp:docPr descr="Figure 2: fig-logdog.svg" title="" id="39" name="Picture"/>
            <a:graphic>
              <a:graphicData uri="http://schemas.openxmlformats.org/drawingml/2006/picture">
                <pic:pic>
                  <pic:nvPicPr>
                    <pic:cNvPr descr="/Users/bblais/Documents/Git/Amblyopia-Simulation/Manuscript/resources/fig-logdog.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2667000"/>
                    </a:xfrm>
                    <a:prstGeom prst="rect">
                      <a:avLst/>
                    </a:prstGeom>
                    <a:noFill/>
                    <a:ln w="9525">
                      <a:noFill/>
                      <a:headEnd/>
                      <a:tailEnd/>
                    </a:ln>
                  </pic:spPr>
                </pic:pic>
              </a:graphicData>
            </a:graphic>
          </wp:inline>
        </w:drawing>
      </w:r>
      <w:bookmarkEnd w:id="41"/>
    </w:p>
    <w:p>
      <w:pPr>
        <w:pStyle w:val="ImageCaption"/>
      </w:pPr>
      <w:r>
        <w:t xml:space="preserve">Figure 2: fig-logdog.svg</w:t>
      </w:r>
    </w:p>
    <w:bookmarkEnd w:id="0"/>
    <w:bookmarkEnd w:id="42"/>
    <w:bookmarkEnd w:id="43"/>
    <w:bookmarkStart w:id="64" w:name="references"/>
    <w:p>
      <w:pPr>
        <w:pStyle w:val="Heading1"/>
      </w:pPr>
      <w:r>
        <w:t xml:space="preserve">References</w:t>
      </w:r>
    </w:p>
    <w:bookmarkStart w:id="63" w:name="refs"/>
    <w:bookmarkStart w:id="44" w:name="ref-BCM82"/>
    <w:p>
      <w:pPr>
        <w:pStyle w:val="Bibliography"/>
      </w:pPr>
      <w:r>
        <w:t xml:space="preserve">Bienenstock, E. L., Cooper, L. N., and Munro, P. W. (1982). Theory for the development of neuron selectivity: Orientation specificity and binocular interaction in visual cortex.</w:t>
      </w:r>
      <w:r>
        <w:t xml:space="preserve"> </w:t>
      </w:r>
      <w:r>
        <w:rPr>
          <w:iCs/>
          <w:i/>
        </w:rPr>
        <w:t xml:space="preserve">Journal of Neuroscience</w:t>
      </w:r>
      <w:r>
        <w:t xml:space="preserve">,</w:t>
      </w:r>
      <w:r>
        <w:t xml:space="preserve"> </w:t>
      </w:r>
      <w:r>
        <w:rPr>
          <w:iCs/>
          <w:i/>
        </w:rPr>
        <w:t xml:space="preserve">2</w:t>
      </w:r>
      <w:r>
        <w:t xml:space="preserve">, 32–48.</w:t>
      </w:r>
    </w:p>
    <w:bookmarkEnd w:id="44"/>
    <w:bookmarkStart w:id="45" w:name="ref-birch2013amblyopia"/>
    <w:p>
      <w:pPr>
        <w:pStyle w:val="Bibliography"/>
      </w:pPr>
      <w:r>
        <w:t xml:space="preserve">Birch, E. E. (2013). Amblyopia and binocular vision.</w:t>
      </w:r>
      <w:r>
        <w:t xml:space="preserve"> </w:t>
      </w:r>
      <w:r>
        <w:rPr>
          <w:iCs/>
          <w:i/>
        </w:rPr>
        <w:t xml:space="preserve">Progress in Retinal and Eye Research</w:t>
      </w:r>
      <w:r>
        <w:t xml:space="preserve">,</w:t>
      </w:r>
      <w:r>
        <w:t xml:space="preserve"> </w:t>
      </w:r>
      <w:r>
        <w:rPr>
          <w:iCs/>
          <w:i/>
        </w:rPr>
        <w:t xml:space="preserve">33</w:t>
      </w:r>
      <w:r>
        <w:t xml:space="preserve">, 67–84.</w:t>
      </w:r>
    </w:p>
    <w:bookmarkEnd w:id="45"/>
    <w:bookmarkStart w:id="47" w:name="ref-Gao_2018"/>
    <w:p>
      <w:pPr>
        <w:pStyle w:val="Bibliography"/>
      </w:pPr>
      <w:r>
        <w:t xml:space="preserve">Gao, T. Y., Guo, C. X., Babu, R. J., Black, J. M., Bobier, W. R., Chakraborty, A., … al., et. (2018).</w:t>
      </w:r>
      <w:r>
        <w:t xml:space="preserve"> </w:t>
      </w:r>
      <w:hyperlink r:id="rId46">
        <w:r>
          <w:rPr>
            <w:rStyle w:val="Hyperlink"/>
          </w:rPr>
          <w:t xml:space="preserve">Effectiveness of a binocular video game vs placebo video game for improving visual functions in older children, teenagers, and adults with amblyopia</w:t>
        </w:r>
      </w:hyperlink>
      <w:r>
        <w:t xml:space="preserve">.</w:t>
      </w:r>
      <w:r>
        <w:t xml:space="preserve"> </w:t>
      </w:r>
      <w:r>
        <w:rPr>
          <w:iCs/>
          <w:i/>
        </w:rPr>
        <w:t xml:space="preserve">JAMA Ophthalmology</w:t>
      </w:r>
      <w:r>
        <w:t xml:space="preserve">,</w:t>
      </w:r>
      <w:r>
        <w:t xml:space="preserve"> </w:t>
      </w:r>
      <w:r>
        <w:rPr>
          <w:iCs/>
          <w:i/>
        </w:rPr>
        <w:t xml:space="preserve">136</w:t>
      </w:r>
      <w:r>
        <w:t xml:space="preserve">(2), 172.</w:t>
      </w:r>
    </w:p>
    <w:bookmarkEnd w:id="47"/>
    <w:bookmarkStart w:id="48" w:name="ref-glaser2002randomized"/>
    <w:p>
      <w:pPr>
        <w:pStyle w:val="Bibliography"/>
      </w:pPr>
      <w:r>
        <w:t xml:space="preserve">Glaser, S. R., Matazinski, A. M., Sclar, D. M., Sala, N. A., Vroman, C. M., Tanner, C. E., et al.others. (2002). A randomized trial of atropine vs patching for treatment of moderate amblyopia in children.</w:t>
      </w:r>
      <w:r>
        <w:t xml:space="preserve"> </w:t>
      </w:r>
      <w:r>
        <w:rPr>
          <w:iCs/>
          <w:i/>
        </w:rPr>
        <w:t xml:space="preserve">Archives of Ophthalmology</w:t>
      </w:r>
      <w:r>
        <w:t xml:space="preserve">,</w:t>
      </w:r>
      <w:r>
        <w:t xml:space="preserve"> </w:t>
      </w:r>
      <w:r>
        <w:rPr>
          <w:iCs/>
          <w:i/>
        </w:rPr>
        <w:t xml:space="preserve">120</w:t>
      </w:r>
      <w:r>
        <w:t xml:space="preserve">(3), 268–278.</w:t>
      </w:r>
    </w:p>
    <w:bookmarkEnd w:id="48"/>
    <w:bookmarkStart w:id="50" w:name="ref-Holmes_2016"/>
    <w:p>
      <w:pPr>
        <w:pStyle w:val="Bibliography"/>
      </w:pPr>
      <w:r>
        <w:t xml:space="preserve">Holmes, Jonathan M., Manh, V. M., Lazar, E. L., Beck, R. W., Birch, E. E., Kraker, R. T., … al., et. (2016a).</w:t>
      </w:r>
      <w:r>
        <w:t xml:space="preserve"> </w:t>
      </w:r>
      <w:hyperlink r:id="rId49">
        <w:r>
          <w:rPr>
            <w:rStyle w:val="Hyperlink"/>
          </w:rPr>
          <w:t xml:space="preserve">Effect of a binocular iPad game vs part-time patching in children aged 5 to 12 years with amblyopia</w:t>
        </w:r>
      </w:hyperlink>
      <w:r>
        <w:t xml:space="preserve">.</w:t>
      </w:r>
      <w:r>
        <w:t xml:space="preserve"> </w:t>
      </w:r>
      <w:r>
        <w:rPr>
          <w:iCs/>
          <w:i/>
        </w:rPr>
        <w:t xml:space="preserve">JAMA Ophthalmology</w:t>
      </w:r>
      <w:r>
        <w:t xml:space="preserve">,</w:t>
      </w:r>
      <w:r>
        <w:t xml:space="preserve"> </w:t>
      </w:r>
      <w:r>
        <w:rPr>
          <w:iCs/>
          <w:i/>
        </w:rPr>
        <w:t xml:space="preserve">134</w:t>
      </w:r>
      <w:r>
        <w:t xml:space="preserve">(12), 1391.</w:t>
      </w:r>
    </w:p>
    <w:bookmarkEnd w:id="50"/>
    <w:bookmarkStart w:id="51" w:name="ref-holmes2016randomized"/>
    <w:p>
      <w:pPr>
        <w:pStyle w:val="Bibliography"/>
      </w:pPr>
      <w:r>
        <w:t xml:space="preserve">Holmes, Jonathan M., Manh, V. M., Lazar, E. L., Beck, R. W., Birch, E. E., Kraker, R. T., et al.others. (2016b). A randomized trial of a binocular iPad game versus part-time patching in children 5 to 12 years of age with amblyopia.</w:t>
      </w:r>
      <w:r>
        <w:t xml:space="preserve"> </w:t>
      </w:r>
      <w:r>
        <w:rPr>
          <w:iCs/>
          <w:i/>
        </w:rPr>
        <w:t xml:space="preserve">JAMA Ophthalmology</w:t>
      </w:r>
      <w:r>
        <w:t xml:space="preserve">,</w:t>
      </w:r>
      <w:r>
        <w:t xml:space="preserve"> </w:t>
      </w:r>
      <w:r>
        <w:rPr>
          <w:iCs/>
          <w:i/>
        </w:rPr>
        <w:t xml:space="preserve">134</w:t>
      </w:r>
      <w:r>
        <w:t xml:space="preserve">(12), 1391.</w:t>
      </w:r>
    </w:p>
    <w:bookmarkEnd w:id="51"/>
    <w:bookmarkStart w:id="52" w:name="ref-hubel1995eye"/>
    <w:p>
      <w:pPr>
        <w:pStyle w:val="Bibliography"/>
      </w:pPr>
      <w:r>
        <w:t xml:space="preserve">Hubel, D. H. (1995).</w:t>
      </w:r>
      <w:r>
        <w:t xml:space="preserve"> </w:t>
      </w:r>
      <w:r>
        <w:rPr>
          <w:iCs/>
          <w:i/>
        </w:rPr>
        <w:t xml:space="preserve">Eye, brain, and vision.</w:t>
      </w:r>
      <w:r>
        <w:t xml:space="preserve"> Scientific American Library/Scientific American Books.</w:t>
      </w:r>
    </w:p>
    <w:bookmarkEnd w:id="52"/>
    <w:bookmarkStart w:id="53" w:name="ref-JeonEtAl1998"/>
    <w:p>
      <w:pPr>
        <w:pStyle w:val="Bibliography"/>
      </w:pPr>
      <w:r>
        <w:t xml:space="preserve">Jeon, C. J., Strettoi, E., and Masland, R. H. (1998).</w:t>
      </w:r>
      <w:r>
        <w:t xml:space="preserve"> </w:t>
      </w:r>
      <w:r>
        <w:t xml:space="preserve">The major cell populations of the mouse retina</w:t>
      </w:r>
      <w:r>
        <w:t xml:space="preserve">.</w:t>
      </w:r>
      <w:r>
        <w:t xml:space="preserve"> </w:t>
      </w:r>
      <w:r>
        <w:rPr>
          <w:iCs/>
          <w:i/>
        </w:rPr>
        <w:t xml:space="preserve">J Neurosci</w:t>
      </w:r>
      <w:r>
        <w:t xml:space="preserve">,</w:t>
      </w:r>
      <w:r>
        <w:t xml:space="preserve"> </w:t>
      </w:r>
      <w:r>
        <w:rPr>
          <w:iCs/>
          <w:i/>
        </w:rPr>
        <w:t xml:space="preserve">18</w:t>
      </w:r>
      <w:r>
        <w:t xml:space="preserve">(21), 8936–8946.</w:t>
      </w:r>
    </w:p>
    <w:bookmarkEnd w:id="53"/>
    <w:bookmarkStart w:id="55" w:name="ref-Kelly_2016"/>
    <w:p>
      <w:pPr>
        <w:pStyle w:val="Bibliography"/>
      </w:pPr>
      <w:r>
        <w:t xml:space="preserve">Kelly, K. R., Jost, R. M., Dao, L., Beauchamp, C. L., Leffler, J. N., and Birch, E. E. (2016).</w:t>
      </w:r>
      <w:r>
        <w:t xml:space="preserve"> </w:t>
      </w:r>
      <w:hyperlink r:id="rId54">
        <w:r>
          <w:rPr>
            <w:rStyle w:val="Hyperlink"/>
          </w:rPr>
          <w:t xml:space="preserve">Binocular iPad game vs patching for treatment of amblyopia in children</w:t>
        </w:r>
      </w:hyperlink>
      <w:r>
        <w:t xml:space="preserve">.</w:t>
      </w:r>
      <w:r>
        <w:t xml:space="preserve"> </w:t>
      </w:r>
      <w:r>
        <w:rPr>
          <w:iCs/>
          <w:i/>
        </w:rPr>
        <w:t xml:space="preserve">JAMA Ophthalmology</w:t>
      </w:r>
      <w:r>
        <w:t xml:space="preserve">,</w:t>
      </w:r>
      <w:r>
        <w:t xml:space="preserve"> </w:t>
      </w:r>
      <w:r>
        <w:rPr>
          <w:iCs/>
          <w:i/>
        </w:rPr>
        <w:t xml:space="preserve">134</w:t>
      </w:r>
      <w:r>
        <w:t xml:space="preserve">(12), 1402.</w:t>
      </w:r>
    </w:p>
    <w:bookmarkEnd w:id="55"/>
    <w:bookmarkStart w:id="57" w:name="ref-Li:2015aa"/>
    <w:p>
      <w:pPr>
        <w:pStyle w:val="Bibliography"/>
      </w:pPr>
      <w:r>
        <w:t xml:space="preserve">Li, S. L., Reynaud, A., Hess, R. F., Wang, Y.-Z., Jost, R. M., Morale, S. E., … Birch, E. E. (2015).</w:t>
      </w:r>
      <w:r>
        <w:t xml:space="preserve"> </w:t>
      </w:r>
      <w:hyperlink r:id="rId56">
        <w:r>
          <w:rPr>
            <w:rStyle w:val="Hyperlink"/>
          </w:rPr>
          <w:t xml:space="preserve">Dichoptic movie viewing treats childhood amblyopia</w:t>
        </w:r>
      </w:hyperlink>
      <w:r>
        <w:t xml:space="preserve">.</w:t>
      </w:r>
      <w:r>
        <w:t xml:space="preserve"> </w:t>
      </w:r>
      <w:r>
        <w:rPr>
          <w:iCs/>
          <w:i/>
        </w:rPr>
        <w:t xml:space="preserve">J AAPOS</w:t>
      </w:r>
      <w:r>
        <w:t xml:space="preserve">,</w:t>
      </w:r>
      <w:r>
        <w:t xml:space="preserve"> </w:t>
      </w:r>
      <w:r>
        <w:rPr>
          <w:iCs/>
          <w:i/>
        </w:rPr>
        <w:t xml:space="preserve">19</w:t>
      </w:r>
      <w:r>
        <w:t xml:space="preserve">(5), 401–5.</w:t>
      </w:r>
    </w:p>
    <w:bookmarkEnd w:id="57"/>
    <w:bookmarkStart w:id="58" w:name="ref-SterlingEtAl1988"/>
    <w:p>
      <w:pPr>
        <w:pStyle w:val="Bibliography"/>
      </w:pPr>
      <w:r>
        <w:t xml:space="preserve">Sterling, P., Freed, M. A., and Smith, R. G. (1988).</w:t>
      </w:r>
      <w:r>
        <w:t xml:space="preserve"> </w:t>
      </w:r>
      <w:r>
        <w:t xml:space="preserve">Architecture of rod and cone circuits to the on-beta ganglion cell</w:t>
      </w:r>
      <w:r>
        <w:t xml:space="preserve">.</w:t>
      </w:r>
      <w:r>
        <w:t xml:space="preserve"> </w:t>
      </w:r>
      <w:r>
        <w:rPr>
          <w:iCs/>
          <w:i/>
        </w:rPr>
        <w:t xml:space="preserve">J Neurosci</w:t>
      </w:r>
      <w:r>
        <w:t xml:space="preserve">,</w:t>
      </w:r>
      <w:r>
        <w:t xml:space="preserve"> </w:t>
      </w:r>
      <w:r>
        <w:rPr>
          <w:iCs/>
          <w:i/>
        </w:rPr>
        <w:t xml:space="preserve">8</w:t>
      </w:r>
      <w:r>
        <w:t xml:space="preserve">(2), 623–642.</w:t>
      </w:r>
    </w:p>
    <w:bookmarkEnd w:id="58"/>
    <w:bookmarkStart w:id="59" w:name="ref-wallace2018amblyopia"/>
    <w:p>
      <w:pPr>
        <w:pStyle w:val="Bibliography"/>
      </w:pPr>
      <w:r>
        <w:t xml:space="preserve">Wallace, D. K., Repka, M. X., Lee, K. A., Melia, M., Christiansen, S. P., Morse, C. L., and Sprunger, D. T. (2018). Amblyopia preferred practice pattern</w:t>
      </w:r>
      <w:r>
        <w:t xml:space="preserve">.</w:t>
      </w:r>
      <w:r>
        <w:t xml:space="preserve"> </w:t>
      </w:r>
      <w:r>
        <w:rPr>
          <w:iCs/>
          <w:i/>
        </w:rPr>
        <w:t xml:space="preserve">Ophthalmology</w:t>
      </w:r>
      <w:r>
        <w:t xml:space="preserve">,</w:t>
      </w:r>
      <w:r>
        <w:t xml:space="preserve"> </w:t>
      </w:r>
      <w:r>
        <w:rPr>
          <w:iCs/>
          <w:i/>
        </w:rPr>
        <w:t xml:space="preserve">125</w:t>
      </w:r>
      <w:r>
        <w:t xml:space="preserve">(1), P105–P142.</w:t>
      </w:r>
    </w:p>
    <w:bookmarkEnd w:id="59"/>
    <w:bookmarkStart w:id="60" w:name="ref-xiao2022randomized"/>
    <w:p>
      <w:pPr>
        <w:pStyle w:val="Bibliography"/>
      </w:pPr>
      <w:r>
        <w:t xml:space="preserve">Xiao, S., Angjeli, E., Wu, H. C., Gaier, E. D., Gomez, S., Travers, D. A., et al.others. (2022). Randomized controlled trial of a dichoptic digital therapeutic for amblyopia.</w:t>
      </w:r>
      <w:r>
        <w:t xml:space="preserve"> </w:t>
      </w:r>
      <w:r>
        <w:rPr>
          <w:iCs/>
          <w:i/>
        </w:rPr>
        <w:t xml:space="preserve">Ophthalmology</w:t>
      </w:r>
      <w:r>
        <w:t xml:space="preserve">,</w:t>
      </w:r>
      <w:r>
        <w:t xml:space="preserve"> </w:t>
      </w:r>
      <w:r>
        <w:rPr>
          <w:iCs/>
          <w:i/>
        </w:rPr>
        <w:t xml:space="preserve">129</w:t>
      </w:r>
      <w:r>
        <w:t xml:space="preserve">(1), 77–85.</w:t>
      </w:r>
    </w:p>
    <w:bookmarkEnd w:id="60"/>
    <w:bookmarkStart w:id="61" w:name="ref-xiao2020improved"/>
    <w:p>
      <w:pPr>
        <w:pStyle w:val="Bibliography"/>
      </w:pPr>
      <w:r>
        <w:t xml:space="preserve">Xiao, S., Gaier, E. D., Mazow, M. L., Stout, A. U., Travers, D. A., Angjeli, E., … Hunter, D. G. (2020). Improved adherence and treatment outcomes with an engaging, personalized digital therapeutic in amblyopia.</w:t>
      </w:r>
      <w:r>
        <w:t xml:space="preserve"> </w:t>
      </w:r>
      <w:r>
        <w:rPr>
          <w:iCs/>
          <w:i/>
        </w:rPr>
        <w:t xml:space="preserve">Scientific Reports</w:t>
      </w:r>
      <w:r>
        <w:t xml:space="preserve">,</w:t>
      </w:r>
      <w:r>
        <w:t xml:space="preserve"> </w:t>
      </w:r>
      <w:r>
        <w:rPr>
          <w:iCs/>
          <w:i/>
        </w:rPr>
        <w:t xml:space="preserve">10</w:t>
      </w:r>
      <w:r>
        <w:t xml:space="preserve">(1), 1–8.</w:t>
      </w:r>
    </w:p>
    <w:bookmarkEnd w:id="61"/>
    <w:bookmarkStart w:id="62" w:name="ref-de2007current"/>
    <w:p>
      <w:pPr>
        <w:pStyle w:val="Bibliography"/>
      </w:pPr>
      <w:r>
        <w:t xml:space="preserve">Zárate, B. R. de, and Tejedor, J. (2007). Current concepts in the management of amblyopia.</w:t>
      </w:r>
      <w:r>
        <w:t xml:space="preserve"> </w:t>
      </w:r>
      <w:r>
        <w:rPr>
          <w:iCs/>
          <w:i/>
        </w:rPr>
        <w:t xml:space="preserve">Clinical Ophthalmology (Auckland, NZ)</w:t>
      </w:r>
      <w:r>
        <w:t xml:space="preserve">,</w:t>
      </w:r>
      <w:r>
        <w:t xml:space="preserve"> </w:t>
      </w:r>
      <w:r>
        <w:rPr>
          <w:iCs/>
          <w:i/>
        </w:rPr>
        <w:t xml:space="preserve">1</w:t>
      </w:r>
      <w:r>
        <w:t xml:space="preserve">(4), 403.</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svg" /><Relationship Type="http://schemas.openxmlformats.org/officeDocument/2006/relationships/image" Id="rId34" Target="media/rId34.svg" /><Relationship Type="http://schemas.openxmlformats.org/officeDocument/2006/relationships/hyperlink" Id="rId25" Target="" TargetMode="External" /><Relationship Type="http://schemas.openxmlformats.org/officeDocument/2006/relationships/hyperlink" Id="rId54" Target="https://doi.org/10.1001/jamaophthalmol.2016.4224" TargetMode="External" /><Relationship Type="http://schemas.openxmlformats.org/officeDocument/2006/relationships/hyperlink" Id="rId49" Target="https://doi.org/10.1001/jamaophthalmol.2016.4262" TargetMode="External" /><Relationship Type="http://schemas.openxmlformats.org/officeDocument/2006/relationships/hyperlink" Id="rId46" Target="https://doi.org/10.1001/jamaophthalmol.2017.6090" TargetMode="External" /><Relationship Type="http://schemas.openxmlformats.org/officeDocument/2006/relationships/hyperlink" Id="rId56" Target="https://doi.org/10.1016/j.jaapos.2015.08.003" TargetMode="External" /><Relationship Type="http://schemas.openxmlformats.org/officeDocument/2006/relationships/hyperlink" Id="rId23" Target="https://github.com/bblais/Plasticnet/archive/refs/heads/master.zip" TargetMode="External" /><Relationship Type="http://schemas.openxmlformats.org/officeDocument/2006/relationships/hyperlink" Id="rId20" Target="https://obsidian.md" TargetMode="External" /><Relationship Type="http://schemas.openxmlformats.org/officeDocument/2006/relationships/hyperlink" Id="rId21" Target="https://pandoc.org" TargetMode="External" /><Relationship Type="http://schemas.openxmlformats.org/officeDocument/2006/relationships/hyperlink" Id="rId22" Target="https://www.anaconda.com/products/individual#downloads"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54" Target="https://doi.org/10.1001/jamaophthalmol.2016.4224" TargetMode="External" /><Relationship Type="http://schemas.openxmlformats.org/officeDocument/2006/relationships/hyperlink" Id="rId49" Target="https://doi.org/10.1001/jamaophthalmol.2016.4262" TargetMode="External" /><Relationship Type="http://schemas.openxmlformats.org/officeDocument/2006/relationships/hyperlink" Id="rId46" Target="https://doi.org/10.1001/jamaophthalmol.2017.6090" TargetMode="External" /><Relationship Type="http://schemas.openxmlformats.org/officeDocument/2006/relationships/hyperlink" Id="rId56" Target="https://doi.org/10.1016/j.jaapos.2015.08.003" TargetMode="External" /><Relationship Type="http://schemas.openxmlformats.org/officeDocument/2006/relationships/hyperlink" Id="rId23" Target="https://github.com/bblais/Plasticnet/archive/refs/heads/master.zip" TargetMode="External" /><Relationship Type="http://schemas.openxmlformats.org/officeDocument/2006/relationships/hyperlink" Id="rId20" Target="https://obsidian.md" TargetMode="External" /><Relationship Type="http://schemas.openxmlformats.org/officeDocument/2006/relationships/hyperlink" Id="rId21" Target="https://pandoc.org" TargetMode="External" /><Relationship Type="http://schemas.openxmlformats.org/officeDocument/2006/relationships/hyperlink" Id="rId22" Target="https://www.anaconda.com/products/individual#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Treatments for Amblyopia with a Synaptic Plasticity Model</dc:title>
  <dc:creator>Brian S. Blais</dc:creator>
  <cp:keywords/>
  <dcterms:created xsi:type="dcterms:W3CDTF">2022-11-01T17:48:42Z</dcterms:created>
  <dcterms:modified xsi:type="dcterms:W3CDTF">2022-11-01T17:48:42Z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/Users/bblais/tex/bib/Amblyopia.bib</vt:lpwstr>
  </property>
  <property fmtid="{D5CDD505-2E9C-101B-9397-08002B2CF9AE}" pid="3" name="classoption">
    <vt:lpwstr>onecolumn</vt:lpwstr>
  </property>
  <property fmtid="{D5CDD505-2E9C-101B-9397-08002B2CF9AE}" pid="4" name="colorlinks">
    <vt:lpwstr>True</vt:lpwstr>
  </property>
  <property fmtid="{D5CDD505-2E9C-101B-9397-08002B2CF9AE}" pid="5" name="csl">
    <vt:lpwstr>/Users/bblais/tex/bib/apalike.csl</vt:lpwstr>
  </property>
  <property fmtid="{D5CDD505-2E9C-101B-9397-08002B2CF9AE}" pid="6" name="fignos-warning-level">
    <vt:lpwstr>1</vt:lpwstr>
  </property>
  <property fmtid="{D5CDD505-2E9C-101B-9397-08002B2CF9AE}" pid="7" name="implicit_figures">
    <vt:lpwstr>True</vt:lpwstr>
  </property>
  <property fmtid="{D5CDD505-2E9C-101B-9397-08002B2CF9AE}" pid="8" name="lineno">
    <vt:lpwstr>False</vt:lpwstr>
  </property>
  <property fmtid="{D5CDD505-2E9C-101B-9397-08002B2CF9AE}" pid="9" name="linestretch">
    <vt:lpwstr>1.5</vt:lpwstr>
  </property>
  <property fmtid="{D5CDD505-2E9C-101B-9397-08002B2CF9AE}" pid="10" name="secnumdepth">
    <vt:lpwstr>2</vt:lpwstr>
  </property>
  <property fmtid="{D5CDD505-2E9C-101B-9397-08002B2CF9AE}" pid="11" name="subtitle">
    <vt:lpwstr/>
  </property>
  <property fmtid="{D5CDD505-2E9C-101B-9397-08002B2CF9AE}" pid="12" name="tags">
    <vt:lpwstr/>
  </property>
  <property fmtid="{D5CDD505-2E9C-101B-9397-08002B2CF9AE}" pid="13" name="toc">
    <vt:lpwstr>True</vt:lpwstr>
  </property>
</Properties>
</file>