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808080"/>
          <w:sz w:val="24"/>
          <w:szCs w:val="24"/>
        </w:rPr>
        <w:t xml:space="preserve">ĐỀ XUẤT Ý TƯỞNG NGHIÊN CỨU</w:t>
      </w:r>
    </w:p>
    <w:p>
      <w:pPr>
        <w:spacing w:after="40"/>
        <w:jc w:val="center"/>
      </w:pPr>
      <w:r>
        <w:rPr>
          <w:rFonts w:ascii="Calibri" w:cs="Calibri" w:eastAsia="Calibri" w:hAnsi="Calibri"/>
          <w:b/>
          <w:bCs/>
          <w:color w:val="1F4E79"/>
          <w:sz w:val="30"/>
          <w:szCs w:val="30"/>
        </w:rPr>
        <w:t xml:space="preserve">Edge AI-Based Wearable System for Real-Time Multi-Stage
Neuromuscular Fatigue Classification Using Surface EMG</w:t>
      </w:r>
    </w:p>
    <w:p>
      <w:pPr>
        <w:spacing w:after="300"/>
        <w:jc w:val="center"/>
      </w:pPr>
      <w:r>
        <w:rPr>
          <w:rFonts w:ascii="Calibri" w:cs="Calibri" w:eastAsia="Calibri" w:hAnsi="Calibri"/>
          <w:i/>
          <w:iCs/>
          <w:color w:val="444444"/>
          <w:sz w:val="22"/>
          <w:szCs w:val="22"/>
        </w:rPr>
        <w:t xml:space="preserve">Thiết bị đeo đo Điện cơ đồ bề mặt (sEMG) thời gian thực để phân loại đa giai đoạn mỏi cơ trong luyện tập</w:t>
      </w:r>
    </w:p>
    <w:p>
      <w:pPr>
        <w:pStyle w:val="Heading1"/>
        <w:spacing w:after="150" w:before="300"/>
      </w:pPr>
      <w:r>
        <w:rPr>
          <w:rFonts w:ascii="Calibri" w:cs="Calibri" w:eastAsia="Calibri" w:hAnsi="Calibri"/>
          <w:b/>
          <w:bCs/>
          <w:color w:val="1F4E79"/>
          <w:sz w:val="28"/>
          <w:szCs w:val="28"/>
        </w:rPr>
        <w:t xml:space="preserve">1. Bối cảnh &amp; Vấn đề nghiên cứu</w:t>
      </w:r>
    </w:p>
    <w:p>
      <w:pPr>
        <w:spacing w:after="120" w:line="276"/>
      </w:pPr>
      <w:r>
        <w:rPr>
          <w:rFonts w:ascii="Calibri" w:cs="Calibri" w:eastAsia="Calibri" w:hAnsi="Calibri"/>
          <w:sz w:val="22"/>
          <w:szCs w:val="22"/>
        </w:rPr>
        <w:t xml:space="preserve">Hiện nay, việc đánh giá mức độ mỏi cơ trong quá trình tập luyện chủ yếu dựa vào hai cách gián tiếp: cảm nhận chủ quan của người tập (thang đo RPE) hoặc đo chuyển động cơ học bên ngoài (cảm biến gia tốc, IMU). Cả hai cách này đều không phản ánh trực tiếp trạng thái sinh lý thần kinh–cơ đang diễn ra bên trong.</w:t>
      </w:r>
    </w:p>
    <w:p>
      <w:pPr>
        <w:spacing w:after="120" w:line="276"/>
      </w:pPr>
      <w:r>
        <w:rPr>
          <w:rFonts w:ascii="Calibri" w:cs="Calibri" w:eastAsia="Calibri" w:hAnsi="Calibri"/>
          <w:sz w:val="22"/>
          <w:szCs w:val="22"/>
        </w:rPr>
        <w:t xml:space="preserve">Nhóm đề xuất xây dựng một thiết bị đeo đo trực tiếp tín hiệu điện cơ (sEMG) tại nhóm cơ phát lực, từ đó phân tích sự thay đổi của tín hiệu để nhận biết mức độ mỏi cơ theo thời gian thực, đồng thời đối chiếu với số lần lặp (reps) thực hiện được để đánh giá hiệu quả của một set tập luyện.</w:t>
      </w:r>
    </w:p>
    <w:p>
      <w:pPr>
        <w:pStyle w:val="Heading1"/>
        <w:spacing w:after="150" w:before="300"/>
      </w:pPr>
      <w:r>
        <w:rPr>
          <w:rFonts w:ascii="Calibri" w:cs="Calibri" w:eastAsia="Calibri" w:hAnsi="Calibri"/>
          <w:b/>
          <w:bCs/>
          <w:color w:val="1F4E79"/>
          <w:sz w:val="28"/>
          <w:szCs w:val="28"/>
        </w:rPr>
        <w:t xml:space="preserve">2. Ý tưởng đề xuất</w:t>
      </w:r>
    </w:p>
    <w:p>
      <w:pPr>
        <w:spacing w:after="120" w:line="276"/>
      </w:pPr>
      <w:r>
        <w:rPr>
          <w:rFonts w:ascii="Calibri" w:cs="Calibri" w:eastAsia="Calibri" w:hAnsi="Calibri"/>
          <w:sz w:val="22"/>
          <w:szCs w:val="22"/>
        </w:rPr>
        <w:t xml:space="preserve">Thay vì chỉ báo hai mức "Mỏi / Không mỏi", hệ thống phân loại mức độ mỏi cơ thành nhiều giai đoạn liên tiếp:</w:t>
      </w:r>
    </w:p>
    <w:p>
      <w:pPr>
        <w:pBdr>
          <w:top w:val="single" w:color="BFBFBF" w:sz="4"/>
          <w:bottom w:val="single" w:color="BFBFBF" w:sz="4"/>
          <w:left w:val="single" w:color="BFBFBF" w:sz="4"/>
          <w:right w:val="single" w:color="BFBFBF" w:sz="4"/>
        </w:pBdr>
        <w:shd w:fill="F2F2F2" w:val="clear"/>
        <w:spacing w:after="120" w:before="120"/>
        <w:jc w:val="center"/>
      </w:pPr>
      <w:r>
        <w:rPr>
          <w:rFonts w:ascii="Calibri" w:cs="Calibri" w:eastAsia="Calibri" w:hAnsi="Calibri"/>
          <w:b/>
          <w:bCs/>
          <w:color w:val="1F4E79"/>
          <w:sz w:val="22"/>
          <w:szCs w:val="22"/>
        </w:rPr>
        <w:t xml:space="preserve">Sung sức  →  Mỏi nhẹ  →  Vùng tập hiệu quả  →  Quá tải / Thất bại</w:t>
      </w:r>
    </w:p>
    <w:p>
      <w:pPr>
        <w:spacing w:after="120" w:line="276"/>
      </w:pPr>
      <w:r>
        <w:rPr>
          <w:rFonts w:ascii="Calibri" w:cs="Calibri" w:eastAsia="Calibri" w:hAnsi="Calibri"/>
          <w:b/>
          <w:bCs/>
          <w:sz w:val="22"/>
          <w:szCs w:val="22"/>
        </w:rPr>
        <w:t xml:space="preserve">Sơ đồ khối xử lý tín hiệu:</w:t>
      </w:r>
    </w:p>
    <w:p>
      <w:pPr>
        <w:pBdr>
          <w:top w:val="single" w:color="9DC3E6" w:sz="4"/>
          <w:bottom w:val="single" w:color="9DC3E6" w:sz="4"/>
          <w:left w:val="single" w:color="9DC3E6" w:sz="4"/>
          <w:right w:val="single" w:color="9DC3E6" w:sz="4"/>
        </w:pBdr>
        <w:shd w:fill="EAF1F8" w:val="clear"/>
        <w:spacing w:after="200" w:before="100"/>
        <w:jc w:val="center"/>
      </w:pPr>
      <w:r>
        <w:rPr>
          <w:rFonts w:ascii="Calibri" w:cs="Calibri" w:eastAsia="Calibri" w:hAnsi="Calibri"/>
          <w:color w:val="1F4E79"/>
          <w:sz w:val="20"/>
          <w:szCs w:val="20"/>
        </w:rPr>
        <w:t xml:space="preserve">Cảm biến sEMG  →  Lọc nhiễu tín hiệu  →  Trích đặc trưng (RMS, MDF)  →  Phân loại giai đoạn &amp; Cảnh báo</w:t>
      </w:r>
    </w:p>
    <w:p>
      <w:pPr>
        <w:spacing w:after="100" w:line="276"/>
      </w:pPr>
      <w:r>
        <w:rPr>
          <w:rFonts w:ascii="Calibri" w:cs="Calibri" w:eastAsia="Calibri" w:hAnsi="Calibri"/>
          <w:b/>
          <w:bCs/>
          <w:sz w:val="22"/>
          <w:szCs w:val="22"/>
        </w:rPr>
        <w:t xml:space="preserve">Biên độ (RMS): </w:t>
      </w:r>
      <w:r>
        <w:rPr>
          <w:rFonts w:ascii="Calibri" w:cs="Calibri" w:eastAsia="Calibri" w:hAnsi="Calibri"/>
          <w:sz w:val="22"/>
          <w:szCs w:val="22"/>
        </w:rPr>
        <w:t xml:space="preserve">tăng dần khi cơ phải gắng sức hơn để duy trì cùng một lực.</w:t>
      </w:r>
    </w:p>
    <w:p>
      <w:pPr>
        <w:spacing w:after="100" w:line="276"/>
      </w:pPr>
      <w:r>
        <w:rPr>
          <w:rFonts w:ascii="Calibri" w:cs="Calibri" w:eastAsia="Calibri" w:hAnsi="Calibri"/>
          <w:b/>
          <w:bCs/>
          <w:sz w:val="22"/>
          <w:szCs w:val="22"/>
        </w:rPr>
        <w:t xml:space="preserve">Tần số trung vị (MDF, qua FFT): </w:t>
      </w:r>
      <w:r>
        <w:rPr>
          <w:rFonts w:ascii="Calibri" w:cs="Calibri" w:eastAsia="Calibri" w:hAnsi="Calibri"/>
          <w:sz w:val="22"/>
          <w:szCs w:val="22"/>
        </w:rPr>
        <w:t xml:space="preserve">dịch chuyển giảm dần khi tốc độ dẫn truyền xung thần kinh suy giảm.</w:t>
      </w:r>
    </w:p>
    <w:p>
      <w:pPr>
        <w:spacing w:after="120" w:line="276"/>
      </w:pPr>
      <w:r>
        <w:rPr>
          <w:rFonts w:ascii="Calibri" w:cs="Calibri" w:eastAsia="Calibri" w:hAnsi="Calibri"/>
          <w:sz w:val="22"/>
          <w:szCs w:val="22"/>
        </w:rPr>
        <w:t xml:space="preserve">Toàn bộ quá trình tính toán và phân loại chạy trực tiếp trên thiết bị đeo (Edge AI), không cần gửi dữ liệu lên máy chủ để xử lý.</w:t>
      </w:r>
    </w:p>
    <w:p>
      <w:pPr>
        <w:pStyle w:val="Heading1"/>
        <w:spacing w:after="150" w:before="300"/>
      </w:pPr>
      <w:r>
        <w:rPr>
          <w:rFonts w:ascii="Calibri" w:cs="Calibri" w:eastAsia="Calibri" w:hAnsi="Calibri"/>
          <w:b/>
          <w:bCs/>
          <w:color w:val="1F4E79"/>
          <w:sz w:val="28"/>
          <w:szCs w:val="28"/>
        </w:rPr>
        <w:t xml:space="preserve">3. Cơ sở khoa học (Related Work)</w:t>
      </w:r>
    </w:p>
    <w:p>
      <w:pPr>
        <w:pStyle w:val="ListParagraph"/>
        <w:numPr>
          <w:ilvl w:val="0"/>
          <w:numId w:val="2"/>
        </w:numPr>
        <w:spacing w:after="80" w:line="276"/>
      </w:pPr>
      <w:r>
        <w:rPr>
          <w:rFonts w:ascii="Calibri" w:cs="Calibri" w:eastAsia="Calibri" w:hAnsi="Calibri"/>
          <w:sz w:val="22"/>
          <w:szCs w:val="22"/>
        </w:rPr>
        <w:t xml:space="preserve">De Luca — "Myoelectrical manifestations of localized muscular fatigue in humans": nền tảng lý thuyết giải thích cơ chế RMS tăng / MDF giảm khi mỏi cơ.</w:t>
      </w:r>
    </w:p>
    <w:p>
      <w:pPr>
        <w:pStyle w:val="ListParagraph"/>
        <w:numPr>
          <w:ilvl w:val="0"/>
          <w:numId w:val="2"/>
        </w:numPr>
        <w:spacing w:after="80" w:line="276"/>
      </w:pPr>
      <w:r>
        <w:rPr>
          <w:rFonts w:ascii="Calibri" w:cs="Calibri" w:eastAsia="Calibri" w:hAnsi="Calibri"/>
          <w:sz w:val="22"/>
          <w:szCs w:val="22"/>
        </w:rPr>
        <w:t xml:space="preserve">Nghiên cứu phân loại mỏi cơ khi chạy nước rút (sEMG + RF/SVM/DT/ANN, 3 giai đoạn): Random Forest đạt độ chính xác 96.62% khi kết hợp chọn đặc trưng bằng Genetic Algorithm.</w:t>
      </w:r>
    </w:p>
    <w:p>
      <w:pPr>
        <w:pStyle w:val="ListParagraph"/>
        <w:numPr>
          <w:ilvl w:val="0"/>
          <w:numId w:val="2"/>
        </w:numPr>
        <w:spacing w:after="80" w:line="276"/>
      </w:pPr>
      <w:r>
        <w:rPr>
          <w:rFonts w:ascii="Calibri" w:cs="Calibri" w:eastAsia="Calibri" w:hAnsi="Calibri"/>
          <w:sz w:val="22"/>
          <w:szCs w:val="22"/>
        </w:rPr>
        <w:t xml:space="preserve">EMG-FLES (2026) — hệ thống wearable sEMG + TinyML gần nhất với ý tưởng của nhóm: thu tín hiệu bằng vi điều khiển (1000Hz), phân loại mỏi cơ ngay trên thiết bị, đạt độ chính xác trung bình 85%.</w:t>
      </w:r>
    </w:p>
    <w:p>
      <w:pPr>
        <w:pStyle w:val="ListParagraph"/>
        <w:numPr>
          <w:ilvl w:val="0"/>
          <w:numId w:val="2"/>
        </w:numPr>
        <w:spacing w:after="80" w:line="276"/>
      </w:pPr>
      <w:r>
        <w:rPr>
          <w:rFonts w:ascii="Calibri" w:cs="Calibri" w:eastAsia="Calibri" w:hAnsi="Calibri"/>
          <w:sz w:val="22"/>
          <w:szCs w:val="22"/>
        </w:rPr>
        <w:t xml:space="preserve">"Estimating Human Muscular Fatigue in Dynamic Collaborative Robotic Tasks" (arXiv, 2/2026): đề xuất hướng ước tính liên tục "tỷ lệ số chu kỳ còn lại đến khi mỏi" (FCF) bằng Random Forest/XGBoost thay vì chỉ phân loại rời rạc — hướng phát triển tiềm năng cho đồ án ở giai đoạn sau.</w:t>
      </w:r>
    </w:p>
    <w:p>
      <w:pPr>
        <w:pStyle w:val="Heading1"/>
        <w:spacing w:after="150" w:before="300"/>
      </w:pPr>
      <w:r>
        <w:rPr>
          <w:rFonts w:ascii="Calibri" w:cs="Calibri" w:eastAsia="Calibri" w:hAnsi="Calibri"/>
          <w:b/>
          <w:bCs/>
          <w:color w:val="1F4E79"/>
          <w:sz w:val="28"/>
          <w:szCs w:val="28"/>
        </w:rPr>
        <w:t xml:space="preserve">4. Phương pháp thực hiện</w:t>
      </w:r>
    </w:p>
    <w:p>
      <w:pPr>
        <w:spacing w:after="100" w:line="276"/>
      </w:pPr>
      <w:r>
        <w:rPr>
          <w:rFonts w:ascii="Calibri" w:cs="Calibri" w:eastAsia="Calibri" w:hAnsi="Calibri"/>
          <w:b/>
          <w:bCs/>
          <w:sz w:val="22"/>
          <w:szCs w:val="22"/>
        </w:rPr>
        <w:t xml:space="preserve">Phần cứng: </w:t>
      </w:r>
      <w:r>
        <w:rPr>
          <w:rFonts w:ascii="Calibri" w:cs="Calibri" w:eastAsia="Calibri" w:hAnsi="Calibri"/>
          <w:sz w:val="22"/>
          <w:szCs w:val="22"/>
        </w:rPr>
        <w:t xml:space="preserve">sử dụng module thu tín hiệu sEMG có sẵn trên thị trường (ví dụ MyoWare 2.0) kết hợp vi điều khiển (ESP32), không tự thiết kế mạch khuếch đại từ đầu để tiết kiệm thời gian.</w:t>
      </w:r>
    </w:p>
    <w:p>
      <w:pPr>
        <w:spacing w:after="100" w:line="276"/>
      </w:pPr>
      <w:r>
        <w:rPr>
          <w:rFonts w:ascii="Calibri" w:cs="Calibri" w:eastAsia="Calibri" w:hAnsi="Calibri"/>
          <w:b/>
          <w:bCs/>
          <w:sz w:val="22"/>
          <w:szCs w:val="22"/>
        </w:rPr>
        <w:t xml:space="preserve">Dữ liệu: </w:t>
      </w:r>
      <w:r>
        <w:rPr>
          <w:rFonts w:ascii="Calibri" w:cs="Calibri" w:eastAsia="Calibri" w:hAnsi="Calibri"/>
          <w:sz w:val="22"/>
          <w:szCs w:val="22"/>
        </w:rPr>
        <w:t xml:space="preserve">kết hợp 2 nguồn — dataset công khai (Ninapro, PhysioNet) dùng để thử nghiệm thuật toán và tham khảo ngưỡng phân loại hợp lý về sinh lý học; dữ liệu tự thu thập bằng module thực tế dùng để huấn luyện mô hình triển khai trên thiết bị.</w:t>
      </w:r>
    </w:p>
    <w:p>
      <w:pPr>
        <w:spacing w:after="100" w:line="276"/>
      </w:pPr>
      <w:r>
        <w:rPr>
          <w:rFonts w:ascii="Calibri" w:cs="Calibri" w:eastAsia="Calibri" w:hAnsi="Calibri"/>
          <w:b/>
          <w:bCs/>
          <w:sz w:val="22"/>
          <w:szCs w:val="22"/>
        </w:rPr>
        <w:t xml:space="preserve">Thuật toán: </w:t>
      </w:r>
      <w:r>
        <w:rPr>
          <w:rFonts w:ascii="Calibri" w:cs="Calibri" w:eastAsia="Calibri" w:hAnsi="Calibri"/>
          <w:sz w:val="22"/>
          <w:szCs w:val="22"/>
        </w:rPr>
        <w:t xml:space="preserve">trích xuất đặc trưng RMS và MDF theo cửa sổ trượt (sliding window), đưa vào mô hình phân loại nhẹ (SVM / Decision Tree / Random Forest) để phân loại giai đoạn mỏi, tối ưu để chạy real-time trên vi điều khiển.</w:t>
      </w:r>
    </w:p>
    <w:p>
      <w:pPr>
        <w:spacing w:after="100" w:line="276"/>
      </w:pPr>
      <w:r>
        <w:rPr>
          <w:rFonts w:ascii="Calibri" w:cs="Calibri" w:eastAsia="Calibri" w:hAnsi="Calibri"/>
          <w:b/>
          <w:bCs/>
          <w:sz w:val="22"/>
          <w:szCs w:val="22"/>
        </w:rPr>
        <w:t xml:space="preserve">Thực nghiệm: </w:t>
      </w:r>
      <w:r>
        <w:rPr>
          <w:rFonts w:ascii="Calibri" w:cs="Calibri" w:eastAsia="Calibri" w:hAnsi="Calibri"/>
          <w:sz w:val="22"/>
          <w:szCs w:val="22"/>
        </w:rPr>
        <w:t xml:space="preserve">thiết kế bài tập chuẩn hóa (co cơ đẳng trường hoặc động tác lặp lại) đến ngưỡng thất bại, ghi nhận đồng thời tín hiệu sEMG và số reps thực hiện được để đối chiếu hiệu quả set tập.</w:t>
      </w:r>
    </w:p>
    <w:p>
      <w:pPr>
        <w:pStyle w:val="Heading1"/>
        <w:spacing w:after="150" w:before="300"/>
      </w:pPr>
      <w:r>
        <w:rPr>
          <w:rFonts w:ascii="Calibri" w:cs="Calibri" w:eastAsia="Calibri" w:hAnsi="Calibri"/>
          <w:b/>
          <w:bCs/>
          <w:color w:val="1F4E79"/>
          <w:sz w:val="28"/>
          <w:szCs w:val="28"/>
        </w:rPr>
        <w:t xml:space="preserve">5. Timeline dự kiến (7 tháng)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c>
          <w:tcPr>
            <w:tcW w:type="dxa" w:w="16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Tháng</w:t>
            </w:r>
          </w:p>
        </w:tc>
        <w:tc>
          <w:tcPr>
            <w:tcW w:type="dxa" w:w="77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Nội dung chính</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7750"/>
            <w:tcMar>
              <w:top w:type="dxa" w:w="80"/>
              <w:left w:type="dxa" w:w="100"/>
              <w:bottom w:type="dxa" w:w="80"/>
              <w:right w:type="dxa" w:w="100"/>
            </w:tcMar>
          </w:tcPr>
          <w:p>
            <w:r>
              <w:rPr>
                <w:rFonts w:ascii="Calibri" w:cs="Calibri" w:eastAsia="Calibri" w:hAnsi="Calibri"/>
                <w:b w:val="false"/>
                <w:bCs w:val="false"/>
                <w:sz w:val="20"/>
                <w:szCs w:val="20"/>
              </w:rPr>
              <w:t xml:space="preserve">Đọc literature, chọn module phần cứng, ôn nền tảng DSP (FFT, windowing)</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775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Setup phần cứng, thu tín hiệu thô, lọc nhiễu, kiểm tra chất lượng tín hiệu</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7750"/>
            <w:tcMar>
              <w:top w:type="dxa" w:w="80"/>
              <w:left w:type="dxa" w:w="100"/>
              <w:bottom w:type="dxa" w:w="80"/>
              <w:right w:type="dxa" w:w="100"/>
            </w:tcMar>
          </w:tcPr>
          <w:p>
            <w:r>
              <w:rPr>
                <w:rFonts w:ascii="Calibri" w:cs="Calibri" w:eastAsia="Calibri" w:hAnsi="Calibri"/>
                <w:b w:val="false"/>
                <w:bCs w:val="false"/>
                <w:sz w:val="20"/>
                <w:szCs w:val="20"/>
              </w:rPr>
              <w:t xml:space="preserve">Xây thuật toán RMS/MDF, thử nghiệm phân loại giai đoạn trên dataset công khai</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775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Tối ưu thuật toán chạy real-time trên vi điều khiển; thiết kế &amp; pilot protocol thực nghiệm</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7750"/>
            <w:tcMar>
              <w:top w:type="dxa" w:w="80"/>
              <w:left w:type="dxa" w:w="100"/>
              <w:bottom w:type="dxa" w:w="80"/>
              <w:right w:type="dxa" w:w="100"/>
            </w:tcMar>
          </w:tcPr>
          <w:p>
            <w:r>
              <w:rPr>
                <w:rFonts w:ascii="Calibri" w:cs="Calibri" w:eastAsia="Calibri" w:hAnsi="Calibri"/>
                <w:b w:val="false"/>
                <w:bCs w:val="false"/>
                <w:sz w:val="20"/>
                <w:szCs w:val="20"/>
              </w:rPr>
              <w:t xml:space="preserve">Thu thập dữ liệu thật trên nhiều buổi/subject, gán nhãn giai đoạn mỏi</w:t>
            </w:r>
          </w:p>
        </w:tc>
      </w:tr>
      <w:tr>
        <w:tc>
          <w:tcPr>
            <w:tcW w:type="dxa" w:w="16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775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Huấn luyện mô hình trên dữ liệu tự thu, đánh giá kết quả, tinh chỉnh ngưỡng</w:t>
            </w:r>
          </w:p>
        </w:tc>
      </w:tr>
      <w:tr>
        <w:tc>
          <w:tcPr>
            <w:tcW w:type="dxa" w:w="16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7750"/>
            <w:tcMar>
              <w:top w:type="dxa" w:w="80"/>
              <w:left w:type="dxa" w:w="100"/>
              <w:bottom w:type="dxa" w:w="80"/>
              <w:right w:type="dxa" w:w="100"/>
            </w:tcMar>
          </w:tcPr>
          <w:p>
            <w:r>
              <w:rPr>
                <w:rFonts w:ascii="Calibri" w:cs="Calibri" w:eastAsia="Calibri" w:hAnsi="Calibri"/>
                <w:b w:val="false"/>
                <w:bCs w:val="false"/>
                <w:sz w:val="20"/>
                <w:szCs w:val="20"/>
              </w:rPr>
              <w:t xml:space="preserve">Viết báo cáo, chuẩn bị demo/slide, dự phòng cho phần bị trễ tiến độ</w:t>
            </w:r>
          </w:p>
        </w:tc>
      </w:tr>
    </w:tbl>
    <w:p>
      <w:pPr>
        <w:pStyle w:val="Heading1"/>
        <w:spacing w:after="150" w:before="300"/>
      </w:pPr>
      <w:r>
        <w:rPr>
          <w:rFonts w:ascii="Calibri" w:cs="Calibri" w:eastAsia="Calibri" w:hAnsi="Calibri"/>
          <w:b/>
          <w:bCs/>
          <w:color w:val="1F4E79"/>
          <w:sz w:val="28"/>
          <w:szCs w:val="28"/>
        </w:rPr>
        <w:t xml:space="preserve">6. Phân công nhóm (4 thành viên)</w:t>
      </w:r>
    </w:p>
    <w:p>
      <w:pPr>
        <w:spacing w:after="120" w:line="276"/>
      </w:pPr>
      <w:r>
        <w:rPr>
          <w:rFonts w:ascii="Calibri" w:cs="Calibri" w:eastAsia="Calibri" w:hAnsi="Calibri"/>
          <w:sz w:val="22"/>
          <w:szCs w:val="22"/>
        </w:rPr>
        <w:t xml:space="preserve">Các công việc dùng chung (bắt buộc mọi thành viên): đọc nền tảng lý thuyết sEMG, nắm toàn bộ pipeline hệ thống, cùng tham gia buổi thu dữ liệu thật, review chéo báo cáo cuối.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Vai trò</w:t>
            </w:r>
          </w:p>
        </w:tc>
        <w:tc>
          <w:tcPr>
            <w:tcW w:type="dxa" w:w="635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Nội dung phụ trách</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1. Hardware &amp; Signal Acquisition</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Setup module sEMG + MCU, xử lý nhiễu, thiết kế bộ lọc tín hiệu</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2. Signal Processing &amp; Feature Extraction</w:t>
            </w:r>
          </w:p>
        </w:tc>
        <w:tc>
          <w:tcPr>
            <w:tcW w:type="dxa" w:w="635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Code tính RMS, FFT/MDF theo sliding window, tối ưu tốc độ xử lý</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3. Classification Model</w:t>
            </w:r>
          </w:p>
        </w:tc>
        <w:tc>
          <w:tcPr>
            <w:tcW w:type="dxa" w:w="6350"/>
            <w:tcMar>
              <w:top w:type="dxa" w:w="80"/>
              <w:left w:type="dxa" w:w="100"/>
              <w:bottom w:type="dxa" w:w="80"/>
              <w:right w:type="dxa" w:w="100"/>
            </w:tcMar>
          </w:tcPr>
          <w:p>
            <w:r>
              <w:rPr>
                <w:rFonts w:ascii="Calibri" w:cs="Calibri" w:eastAsia="Calibri" w:hAnsi="Calibri"/>
                <w:b w:val="false"/>
                <w:bCs w:val="false"/>
                <w:sz w:val="20"/>
                <w:szCs w:val="20"/>
              </w:rPr>
              <w:t xml:space="preserve">Xây &amp; huấn luyện mô hình phân loại, tối ưu để chạy trên thiết bị</w:t>
            </w:r>
          </w:p>
        </w:tc>
      </w:tr>
      <w:tr>
        <w:tc>
          <w:tcPr>
            <w:tcW w:type="dxa" w:w="300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4. Experimental Design &amp; Data Coordination</w:t>
            </w:r>
          </w:p>
        </w:tc>
        <w:tc>
          <w:tcPr>
            <w:tcW w:type="dxa" w:w="6350"/>
            <w:shd w:fill="F2F2F2" w:val="clear"/>
            <w:tcMar>
              <w:top w:type="dxa" w:w="80"/>
              <w:left w:type="dxa" w:w="100"/>
              <w:bottom w:type="dxa" w:w="80"/>
              <w:right w:type="dxa" w:w="100"/>
            </w:tcMar>
          </w:tcPr>
          <w:p>
            <w:r>
              <w:rPr>
                <w:rFonts w:ascii="Calibri" w:cs="Calibri" w:eastAsia="Calibri" w:hAnsi="Calibri"/>
                <w:b w:val="false"/>
                <w:bCs w:val="false"/>
                <w:sz w:val="20"/>
                <w:szCs w:val="20"/>
              </w:rPr>
              <w:t xml:space="preserve">Thiết kế protocol thực nghiệm, tiêu chí gán nhãn, quản lý dataset</w:t>
            </w:r>
          </w:p>
        </w:tc>
      </w:tr>
    </w:tbl>
    <w:p>
      <w:pPr>
        <w:pStyle w:val="Heading1"/>
        <w:spacing w:after="150" w:before="300"/>
      </w:pPr>
      <w:r>
        <w:rPr>
          <w:rFonts w:ascii="Calibri" w:cs="Calibri" w:eastAsia="Calibri" w:hAnsi="Calibri"/>
          <w:b/>
          <w:bCs/>
          <w:color w:val="1F4E79"/>
          <w:sz w:val="28"/>
          <w:szCs w:val="28"/>
        </w:rPr>
        <w:t xml:space="preserve">7. Điểm cần thầy góp ý</w:t>
      </w:r>
    </w:p>
    <w:p>
      <w:pPr>
        <w:pStyle w:val="ListParagraph"/>
        <w:numPr>
          <w:ilvl w:val="0"/>
          <w:numId w:val="2"/>
        </w:numPr>
        <w:spacing w:after="80" w:line="276"/>
      </w:pPr>
      <w:r>
        <w:rPr>
          <w:rFonts w:ascii="Calibri" w:cs="Calibri" w:eastAsia="Calibri" w:hAnsi="Calibri"/>
          <w:sz w:val="22"/>
          <w:szCs w:val="22"/>
        </w:rPr>
        <w:t xml:space="preserve">Tiêu chí hợp lý để chia ranh giới giữa các giai đoạn mỏi (theo % thời gian, hay theo % suy giảm MDF so với baseline).</w:t>
      </w:r>
    </w:p>
    <w:p>
      <w:pPr>
        <w:pStyle w:val="ListParagraph"/>
        <w:numPr>
          <w:ilvl w:val="0"/>
          <w:numId w:val="2"/>
        </w:numPr>
        <w:spacing w:after="80" w:line="276"/>
      </w:pPr>
      <w:r>
        <w:rPr>
          <w:rFonts w:ascii="Calibri" w:cs="Calibri" w:eastAsia="Calibri" w:hAnsi="Calibri"/>
          <w:sz w:val="22"/>
          <w:szCs w:val="22"/>
        </w:rPr>
        <w:t xml:space="preserve">Số lượng người tham gia và số buổi đo cần thiết để dữ liệu có ý nghĩa thống kê.</w:t>
      </w:r>
    </w:p>
    <w:p>
      <w:pPr>
        <w:pStyle w:val="ListParagraph"/>
        <w:numPr>
          <w:ilvl w:val="0"/>
          <w:numId w:val="2"/>
        </w:numPr>
        <w:spacing w:after="80" w:line="276"/>
      </w:pPr>
      <w:r>
        <w:rPr>
          <w:rFonts w:ascii="Calibri" w:cs="Calibri" w:eastAsia="Calibri" w:hAnsi="Calibri"/>
          <w:sz w:val="22"/>
          <w:szCs w:val="22"/>
        </w:rPr>
        <w:t xml:space="preserve">Đề tài đã đủ tính mới để triển khai, hay cần điều chỉnh hướng tiếp cận nào không.</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2026-07-28T06:30:37.202Z</dcterms:created>
  <dcterms:modified xsi:type="dcterms:W3CDTF">2026-07-28T06:30:37.218Z</dcterms:modified>
</cp:coreProperties>
</file>

<file path=docProps/custom.xml><?xml version="1.0" encoding="utf-8"?>
<Properties xmlns="http://schemas.openxmlformats.org/officeDocument/2006/custom-properties" xmlns:vt="http://schemas.openxmlformats.org/officeDocument/2006/docPropsVTypes"/>
</file>