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8"/>
          <w:szCs w:val="28"/>
        </w:rPr>
      </w:pPr>
      <w:r w:rsidDel="00000000" w:rsidR="00000000" w:rsidRPr="00000000">
        <w:rPr>
          <w:sz w:val="48"/>
          <w:szCs w:val="48"/>
          <w:rtl w:val="0"/>
        </w:rPr>
        <w:t xml:space="preserve">Build or Buy? The Hybrid Customer Identity and Access Management System Approach Suitable for Modern Businesses</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sz w:val="22"/>
          <w:szCs w:val="22"/>
          <w:rtl w:val="0"/>
        </w:rPr>
        <w:t xml:space="preserve">Robert C. Oliver, Jr. and Travis L. Lester</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i w:val="1"/>
          <w:iCs w:val="1"/>
          <w:rtl w:val="0"/>
        </w:rPr>
        <w:t xml:space="preserve">Master’s Project CPSC 69500</w:t>
      </w:r>
      <w:r w:rsidDel="00000000" w:rsidR="00000000" w:rsidRPr="00000000">
        <w:rPr>
          <w:rtl w:val="0"/>
        </w:rPr>
      </w:r>
    </w:p>
    <w:p w:rsidR="00000000" w:rsidDel="00000000" w:rsidP="00000000" w:rsidRDefault="00000000" w:rsidRPr="00000000" w14:paraId="00000004">
      <w:pPr>
        <w:spacing w:after="240" w:lineRule="auto"/>
        <w:jc w:val="center"/>
        <w:rPr/>
        <w:sectPr>
          <w:pgSz w:h="15840" w:w="12240" w:orient="portrait"/>
          <w:pgMar w:bottom="1440" w:top="1080" w:left="900" w:right="900" w:header="720" w:footer="720"/>
          <w:pgNumType w:start="1"/>
        </w:sectPr>
      </w:pPr>
      <w:r w:rsidDel="00000000" w:rsidR="00000000" w:rsidRPr="00000000">
        <w:rPr>
          <w:i w:val="1"/>
          <w:iCs w:val="1"/>
          <w:rtl w:val="0"/>
        </w:rPr>
        <w:t xml:space="preserve">June 14, 2026</w:t>
      </w:r>
      <w:r w:rsidDel="00000000" w:rsidR="00000000" w:rsidRPr="00000000">
        <w:rPr>
          <w:rtl w:val="0"/>
        </w:rPr>
      </w:r>
    </w:p>
    <w:p w:rsidR="00000000" w:rsidDel="00000000" w:rsidP="00000000" w:rsidRDefault="00000000" w:rsidRPr="00000000" w14:paraId="00000005">
      <w:pPr>
        <w:spacing w:after="120" w:lineRule="auto"/>
        <w:jc w:val="both"/>
        <w:rPr>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Modern Customer Identity and Access Management (CIAM) systems are becoming the new standard for protecting businesses and their digital landscape. Most companies heavily rely on third-party services to handle end-to-end authentication, and with the ongoing threat of hackers and bad actors, they are always looking for a way to secure their assets. Since migration over to cloud services became the standardized norm, and users wield the power to login from anywhere, identity itself has become the main target for these bad actors. A single password stolen is usually what all attackers need. This review examines the current state of IAM, CIAM, and the leading commercial options through one simple question: should a company buy or build its own identity system? We compare leading commercial options like managed providers – Okta and Auth0, native cloud services – Microsoft Entra External ID and AWS Cognito, enterprise suites – Ping Identity and IBM Security Verify, and open-source – Keycloak, weighing each of their strengths and weaknesses. Also explored are the technical foundations they all share – zero-trust architecture, OAuth 2.0, and OpenID Connect, trade-offs between stateful and stateless sessions, and Multi-Factor Authentication (MFA). Our main finding is that within this ecosystem lies a real gap for an affordable, self-hosted, lightweight CIAM aimed at small businesses, and we present TesseraApp, an in-house system, as the answer to this. </w:t>
      </w:r>
      <w:r w:rsidDel="00000000" w:rsidR="00000000" w:rsidRPr="00000000">
        <w:rPr>
          <w:rtl w:val="0"/>
        </w:rPr>
      </w:r>
    </w:p>
    <w:p w:rsidR="00000000" w:rsidDel="00000000" w:rsidP="00000000" w:rsidRDefault="00000000" w:rsidRPr="00000000" w14:paraId="00000006">
      <w:pPr>
        <w:jc w:val="both"/>
        <w:rPr>
          <w:sz w:val="18"/>
          <w:szCs w:val="18"/>
        </w:rPr>
      </w:pPr>
      <w:r w:rsidDel="00000000" w:rsidR="00000000" w:rsidRPr="00000000">
        <w:rPr>
          <w:b w:val="1"/>
          <w:bCs w:val="1"/>
          <w:i w:val="1"/>
          <w:iCs w:val="1"/>
          <w:sz w:val="18"/>
          <w:szCs w:val="18"/>
          <w:rtl w:val="0"/>
        </w:rPr>
        <w:t xml:space="preserve">Index Terms— </w:t>
      </w:r>
      <w:r w:rsidDel="00000000" w:rsidR="00000000" w:rsidRPr="00000000">
        <w:rPr>
          <w:b w:val="1"/>
          <w:bCs w:val="1"/>
          <w:sz w:val="18"/>
          <w:szCs w:val="18"/>
          <w:rtl w:val="0"/>
        </w:rPr>
        <w:t xml:space="preserve">Customer Identity and Access Management (CIAM), Identity and Access Management (IAM), zero-trust architecture, OAuth 2.0, OpenID Connect, authentication, multi-factor authentication (MFA), Amazon Web Services (AWS), Monthly Active User (MAU), International Business Machines (IBM), Software-as-a-Service (SaaS), General Data Protection Regulation (GDPR), California Consumer Privacy Act (CCPA).</w:t>
      </w:r>
      <w:r w:rsidDel="00000000" w:rsidR="00000000" w:rsidRPr="00000000">
        <w:rPr>
          <w:rtl w:val="0"/>
        </w:rPr>
      </w:r>
    </w:p>
    <w:p w:rsidR="00000000" w:rsidDel="00000000" w:rsidP="00000000" w:rsidRDefault="00000000" w:rsidRPr="00000000" w14:paraId="00000007">
      <w:pPr>
        <w:spacing w:after="80" w:before="200" w:lineRule="auto"/>
        <w:jc w:val="center"/>
        <w:rPr/>
      </w:pPr>
      <w:r w:rsidDel="00000000" w:rsidR="00000000" w:rsidRPr="00000000">
        <w:rPr>
          <w:smallCaps w:val="1"/>
          <w:rtl w:val="0"/>
        </w:rPr>
        <w:t xml:space="preserve">1.  Introduction and Problem Statement</w:t>
      </w:r>
      <w:r w:rsidDel="00000000" w:rsidR="00000000" w:rsidRPr="00000000">
        <w:rPr>
          <w:rtl w:val="0"/>
        </w:rPr>
      </w:r>
    </w:p>
    <w:p w:rsidR="00000000" w:rsidDel="00000000" w:rsidP="00000000" w:rsidRDefault="00000000" w:rsidRPr="00000000" w14:paraId="00000008">
      <w:pPr>
        <w:spacing w:after="80" w:line="240" w:lineRule="auto"/>
        <w:ind w:firstLine="259"/>
        <w:jc w:val="both"/>
        <w:rPr/>
      </w:pPr>
      <w:r w:rsidDel="00000000" w:rsidR="00000000" w:rsidRPr="00000000">
        <w:rPr>
          <w:rtl w:val="0"/>
        </w:rPr>
        <w:t xml:space="preserve">Identity and Access Management emerged as a formal discipline in the 1990s, with the introduction of early directory management tools, such as Siemens DirX, Novell eDirectory, and Microsoft Active Directory </w:t>
      </w:r>
      <w:r w:rsidDel="00000000" w:rsidR="00000000" w:rsidRPr="00000000">
        <w:rPr>
          <w:rtl w:val="0"/>
        </w:rPr>
        <w:t xml:space="preserve">[</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 Customer-facing identity, or CIAM, came shortly after this, as businesses moved their services to the cloud. Prior to these disciplines, protecting an application mostly meant just securing the network used. Any data within it was assumed to be protected via the company’s firewall.</w:t>
      </w:r>
      <w:r w:rsidDel="00000000" w:rsidR="00000000" w:rsidRPr="00000000">
        <w:rPr>
          <w:rtl w:val="0"/>
        </w:rPr>
        <w:t xml:space="preserve"> In the current MarketsandMarkets figures, the wider IAM market will reach USD 42.6 billion by 2030, while the CIAM segment specifically is forecast at USD 22.5 billion, up from USD 14.1 billion in 2025, and growing at close to 10% a year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Although IAM has evolved into a formal discipline that is adhered to by the majority of companies, gaps remain that allow bad actors to breach a system and access information that was once thought to be secure and protected. Long gone are the days when this model could be trusted by companies and users. Security has since moved onto identity itself: behind each request is a person, device, MFA request, or third-party service; they must all be viewed as “never trust, always verify” </w:t>
      </w:r>
      <w:r w:rsidDel="00000000" w:rsidR="00000000" w:rsidRPr="00000000">
        <w:rPr>
          <w:rtl w:val="0"/>
        </w:rPr>
        <w:t xml:space="preserve">[3]</w:t>
      </w:r>
      <w:r w:rsidDel="00000000" w:rsidR="00000000" w:rsidRPr="00000000">
        <w:rPr>
          <w:rtl w:val="0"/>
        </w:rPr>
        <w:t xml:space="preserve">.  Each needs to be independently checked, rather than the previous auto-trust after entering the network. This is why identity is often referred to as the new security perimeter, surpassing its old ‘firewall’ term.   </w:t>
      </w:r>
    </w:p>
    <w:p w:rsidR="00000000" w:rsidDel="00000000" w:rsidP="00000000" w:rsidRDefault="00000000" w:rsidRPr="00000000" w14:paraId="00000009">
      <w:pPr>
        <w:spacing w:after="80" w:line="240" w:lineRule="auto"/>
        <w:ind w:firstLine="259"/>
        <w:jc w:val="both"/>
        <w:rPr/>
      </w:pPr>
      <w:r w:rsidDel="00000000" w:rsidR="00000000" w:rsidRPr="00000000">
        <w:rPr>
          <w:rtl w:val="0"/>
        </w:rPr>
        <w:t xml:space="preserve"> With the rise of CIAM systems in the enterprise workspace, companies are looking for modern ways to secure their businesses’ digital landscape, assets, as well as the users who depend on these applications and systems. Still, IAM plays a part in the overall picture: IAM accounts for the employees – a finite number within a company. CIAM accounts for customers themselves: strangers who access a system, manage their own account details (to an extent) and consent to how their data can be used. This makes CIAM a huge security risk based on the managing of their own accounts alone. To complicate things further, CIAM is run at an internet scale, has login friction which affects sales, and only about half of current CIAM systems offer consent and privacy management capabilities that help them comply with privacy laws like the General Data Protection Regulation (GDPR) and California Consumer Privacy Act (CCPA) </w:t>
      </w:r>
      <w:r w:rsidDel="00000000" w:rsidR="00000000" w:rsidRPr="00000000">
        <w:rPr>
          <w:rtl w:val="0"/>
        </w:rPr>
        <w:t xml:space="preserve">[</w:t>
      </w:r>
      <w:r w:rsidDel="00000000" w:rsidR="00000000" w:rsidRPr="00000000">
        <w:rPr>
          <w:rtl w:val="0"/>
        </w:rPr>
        <w:t xml:space="preserve">4]. These demands for supporting a business to drive sales while ensuring a secure platform are what makes CIAM an engineering challenge in itself, leading us to the question: how do you navigate the process of obtaining and maintaining one? </w:t>
      </w:r>
    </w:p>
    <w:p w:rsidR="00000000" w:rsidDel="00000000" w:rsidP="00000000" w:rsidRDefault="00000000" w:rsidRPr="00000000" w14:paraId="0000000A">
      <w:pPr>
        <w:spacing w:after="80" w:line="240" w:lineRule="auto"/>
        <w:ind w:firstLine="259"/>
        <w:jc w:val="both"/>
        <w:rPr/>
      </w:pPr>
      <w:r w:rsidDel="00000000" w:rsidR="00000000" w:rsidRPr="00000000">
        <w:rPr>
          <w:rtl w:val="0"/>
        </w:rPr>
        <w:t xml:space="preserve">Getting CIAM within a company is an entire spectrum of managed Software-as-a-Service, enterprise suites, cloud-native, open-source self-hosted, and/or entirely in-house. This review surveys this spectrum through the build vs. buy lens, with TesseraApp as the in-house endpoint, and commercial options as yardsticks. The next section establishes why identity is the primary target for hackers and bad actors. Section 3 establishes technical foundations that these systems all share, Section 4 compares existing products, Section 5 examines the build vs. buy decision, Section 6 weighs economic aspects, and Section 7 concludes with the gap in the current state of the market along with our future work.</w:t>
      </w:r>
    </w:p>
    <w:p w:rsidR="00000000" w:rsidDel="00000000" w:rsidP="00000000" w:rsidRDefault="00000000" w:rsidRPr="00000000" w14:paraId="0000000B">
      <w:pPr>
        <w:spacing w:after="80" w:before="200" w:lineRule="auto"/>
        <w:jc w:val="center"/>
        <w:rPr/>
      </w:pPr>
      <w:r w:rsidDel="00000000" w:rsidR="00000000" w:rsidRPr="00000000">
        <w:rPr>
          <w:smallCaps w:val="1"/>
          <w:rtl w:val="0"/>
        </w:rPr>
        <w:t xml:space="preserve">2.  Background and Importance</w:t>
      </w:r>
      <w:r w:rsidDel="00000000" w:rsidR="00000000" w:rsidRPr="00000000">
        <w:rPr>
          <w:rtl w:val="0"/>
        </w:rPr>
      </w:r>
    </w:p>
    <w:p w:rsidR="00000000" w:rsidDel="00000000" w:rsidP="00000000" w:rsidRDefault="00000000" w:rsidRPr="00000000" w14:paraId="0000000C">
      <w:pPr>
        <w:spacing w:after="80" w:line="240" w:lineRule="auto"/>
        <w:ind w:firstLine="259"/>
        <w:jc w:val="both"/>
        <w:rPr/>
      </w:pPr>
      <w:r w:rsidDel="00000000" w:rsidR="00000000" w:rsidRPr="00000000">
        <w:rPr>
          <w:rtl w:val="0"/>
        </w:rPr>
        <w:t xml:space="preserve">In Section 1, we see how most applications’ security perimeter has shifted from network over to identity. The data corroborates why this shift matters: IBM's Cost of a Data Breach Report 2024 put the global average cost of a breach at USD 4.88 million, an all-time high, and it named stolen or compromised credentials as both one of the most common ways in and one of the most damaging. Breaches that started with stolen credentials were also among the slowest to resolve, taking about 292 days on average to find and contain [5]. </w:t>
      </w:r>
    </w:p>
    <w:p w:rsidR="00000000" w:rsidDel="00000000" w:rsidP="00000000" w:rsidRDefault="00000000" w:rsidRPr="00000000" w14:paraId="0000000D">
      <w:pPr>
        <w:spacing w:after="80" w:line="240" w:lineRule="auto"/>
        <w:ind w:firstLine="259"/>
        <w:jc w:val="both"/>
        <w:rPr/>
      </w:pPr>
      <w:r w:rsidDel="00000000" w:rsidR="00000000" w:rsidRPr="00000000">
        <w:rPr>
          <w:rtl w:val="0"/>
        </w:rPr>
        <w:t xml:space="preserve">What makes this inherently dangerous? How do credentials play into this? An attacker who masks their identity by logging in with stolen credentials does not have to damage the network, find a bug in memory, or bypass firewalls. The hacker isn’t even breaking anything. They aren’t disabling the security system itself. They are simply logging in.  As far as anyone is concerned at this point, whoever logs in with a user’s credentials is that user. This ends up putting the part of any system which decides how credentials are checked on each request, who gets credentials, and how quickly these credentials can be revoked, at the center of the company’s security. Gone are the days when this part of the system was disregarded as routine hygiene or security check.</w:t>
      </w:r>
    </w:p>
    <w:p w:rsidR="00000000" w:rsidDel="00000000" w:rsidP="00000000" w:rsidRDefault="00000000" w:rsidRPr="00000000" w14:paraId="0000000E">
      <w:pPr>
        <w:spacing w:after="80" w:line="240" w:lineRule="auto"/>
        <w:ind w:firstLine="259"/>
        <w:jc w:val="both"/>
        <w:rPr/>
      </w:pPr>
      <w:r w:rsidDel="00000000" w:rsidR="00000000" w:rsidRPr="00000000">
        <w:rPr>
          <w:rtl w:val="0"/>
        </w:rPr>
        <w:t xml:space="preserve">Furthermore, once a bad actor gains access to credentials, they now have access to another, arguably top-priority, type of information: Personally Identifiable Information (PII). This type of information is specifically what CCPA and GDPR privacy laws aim to protect. This leads to the concern coming from the customer: Is my personal data safe whenever I use this system? What risk am I taking by sharing this data with the company to utilize its product and services?</w:t>
      </w:r>
    </w:p>
    <w:p w:rsidR="00000000" w:rsidDel="00000000" w:rsidP="00000000" w:rsidRDefault="00000000" w:rsidRPr="00000000" w14:paraId="0000000F">
      <w:pPr>
        <w:spacing w:after="80" w:line="240" w:lineRule="auto"/>
        <w:ind w:firstLine="259"/>
        <w:jc w:val="both"/>
        <w:rPr/>
      </w:pPr>
      <w:r w:rsidDel="00000000" w:rsidR="00000000" w:rsidRPr="00000000">
        <w:rPr>
          <w:rtl w:val="0"/>
        </w:rPr>
        <w:t xml:space="preserve">This risk and danger now surpass the cost of cleanup. This type of breach can also damage a consumer’s trust in the product. It almost always ends up putting the company under the scrutiny of violating privacy laws such as CCPA and GDPR. The result of this is the loss of customers and consumers that make the price of the data breach seem minute. These additional costs are most detrimental to systems and companies that protect vast amounts of consumer data, reaching hundreds of thousands and even millions, and that is the main type of systems that this review is about.</w:t>
      </w:r>
    </w:p>
    <w:p w:rsidR="00000000" w:rsidDel="00000000" w:rsidP="00000000" w:rsidRDefault="00000000" w:rsidRPr="00000000" w14:paraId="00000010">
      <w:pPr>
        <w:spacing w:after="80" w:line="240" w:lineRule="auto"/>
        <w:ind w:firstLine="259"/>
        <w:jc w:val="both"/>
        <w:rPr/>
      </w:pPr>
      <w:r w:rsidDel="00000000" w:rsidR="00000000" w:rsidRPr="00000000">
        <w:rPr>
          <w:rtl w:val="0"/>
        </w:rPr>
        <w:t xml:space="preserve">For any company already building, or planning to build, a customer-facing application, the question isn’t “Should we invest in CIAM?”, but rather “How do we obtain CIAM?” Choices span many of the cloud facing and third-party options, including but not limited to completely managed cloud services, open-source software maintained and hosted by the company itself, or completely managing, building, and maintaining the entire plethora of CIAM systems on their own from scratch. The remainder of this review weighs the pros, cons, and trade-offs of each option, with the self-hosted option considered as the most self-reliant point on the scale.</w:t>
      </w:r>
    </w:p>
    <w:p w:rsidR="00000000" w:rsidDel="00000000" w:rsidP="00000000" w:rsidRDefault="00000000" w:rsidRPr="00000000" w14:paraId="00000011">
      <w:pPr>
        <w:spacing w:after="80" w:before="200" w:lineRule="auto"/>
        <w:jc w:val="center"/>
        <w:rPr/>
      </w:pPr>
      <w:r w:rsidDel="00000000" w:rsidR="00000000" w:rsidRPr="00000000">
        <w:rPr>
          <w:smallCaps w:val="1"/>
          <w:rtl w:val="0"/>
        </w:rPr>
        <w:t xml:space="preserve">3.  Theoretical Foundations</w:t>
      </w:r>
      <w:r w:rsidDel="00000000" w:rsidR="00000000" w:rsidRPr="00000000">
        <w:rPr>
          <w:rtl w:val="0"/>
        </w:rPr>
      </w:r>
    </w:p>
    <w:p w:rsidR="00000000" w:rsidDel="00000000" w:rsidP="00000000" w:rsidRDefault="00000000" w:rsidRPr="00000000" w14:paraId="00000012">
      <w:pPr>
        <w:spacing w:after="80" w:line="240" w:lineRule="auto"/>
        <w:ind w:firstLine="259"/>
        <w:jc w:val="both"/>
        <w:rPr/>
      </w:pPr>
      <w:r w:rsidDel="00000000" w:rsidR="00000000" w:rsidRPr="00000000">
        <w:rPr>
          <w:rtl w:val="0"/>
        </w:rPr>
        <w:t xml:space="preserve">Each system surveyed in Section 4, commercial or in-house, abides by the same standards. This section will explore them so that the comparison makes sense, and so that we have a rubric to critique these CIAM systems against each other, and our own.</w:t>
      </w:r>
    </w:p>
    <w:p w:rsidR="00000000" w:rsidDel="00000000" w:rsidP="00000000" w:rsidRDefault="00000000" w:rsidRPr="00000000" w14:paraId="00000013">
      <w:pPr>
        <w:spacing w:after="80" w:line="240" w:lineRule="auto"/>
        <w:ind w:firstLine="259"/>
        <w:jc w:val="both"/>
        <w:rPr/>
      </w:pPr>
      <w:r w:rsidDel="00000000" w:rsidR="00000000" w:rsidRPr="00000000">
        <w:rPr>
          <w:b w:val="1"/>
          <w:bCs w:val="1"/>
          <w:rtl w:val="0"/>
        </w:rPr>
        <w:t xml:space="preserve">Zero-trust architecture.</w:t>
      </w:r>
      <w:r w:rsidDel="00000000" w:rsidR="00000000" w:rsidRPr="00000000">
        <w:rPr>
          <w:rtl w:val="0"/>
        </w:rPr>
        <w:t xml:space="preserve"> The modern frame for identity is zero trust, written up by NIST in Special Publication 800-207 [3]. The main principle behind this framework is that no request should be trusted, no matter where it lies on the network. Each request is authorized and authenticated on its own; access is obtained on a per-session basis, with the minimal amount of privilege needed, and re-checked continuously, not just ‘one and done.’ A broad survey of the framework confirms that zero-trust is now the dominant way of thinking about identity-centric security, while also pointing out how hard continuous verification is to achieve at scale [6]. This matters for CIAM, because re-checking trust mid-session results in also being able to revoke said trust mid-session, and that interferes with arguably the most popular type of token in modern systems, which will be explored next.</w:t>
      </w:r>
    </w:p>
    <w:p w:rsidR="00000000" w:rsidDel="00000000" w:rsidP="00000000" w:rsidRDefault="00000000" w:rsidRPr="00000000" w14:paraId="00000014">
      <w:pPr>
        <w:spacing w:after="80" w:line="240" w:lineRule="auto"/>
        <w:ind w:firstLine="259"/>
        <w:jc w:val="both"/>
        <w:rPr/>
      </w:pPr>
      <w:r w:rsidDel="00000000" w:rsidR="00000000" w:rsidRPr="00000000">
        <w:rPr>
          <w:b w:val="1"/>
          <w:bCs w:val="1"/>
          <w:rtl w:val="0"/>
        </w:rPr>
        <w:t xml:space="preserve">OAuth 2.0 and OpenID Connect.</w:t>
      </w:r>
      <w:r w:rsidDel="00000000" w:rsidR="00000000" w:rsidRPr="00000000">
        <w:rPr>
          <w:rtl w:val="0"/>
        </w:rPr>
        <w:t xml:space="preserve"> Authorization in modern apps runs on the OAuth 2.0 framework [7], which explains how an app can grant limited access on a user’s behalf, to a resource without having to touch the user’s password. This covers authorization only, not authentication. OpenID Connect sits on top and adds the identity layer, with a standard ID token and a user-info endpoint so an app can confirm who the user is [8]. These standards are not just taken on faith: a full formal security analysis of OAuth 2.0 uncovered attacks that had gone unnoticed, then proved the corrected flows secure - pinning down exactly when the standard can be trusted [9]. This is the biggest risk a company takes when implementing these standards in an in-house identity system.</w:t>
      </w:r>
    </w:p>
    <w:p w:rsidR="00000000" w:rsidDel="00000000" w:rsidP="00000000" w:rsidRDefault="00000000" w:rsidRPr="00000000" w14:paraId="00000015">
      <w:pPr>
        <w:spacing w:after="80" w:line="240" w:lineRule="auto"/>
        <w:ind w:firstLine="259"/>
        <w:jc w:val="both"/>
        <w:rPr/>
      </w:pPr>
      <w:r w:rsidDel="00000000" w:rsidR="00000000" w:rsidRPr="00000000">
        <w:rPr>
          <w:b w:val="1"/>
          <w:bCs w:val="1"/>
          <w:rtl w:val="0"/>
        </w:rPr>
        <w:t xml:space="preserve">Stateless versus stateful sessions.</w:t>
      </w:r>
      <w:r w:rsidDel="00000000" w:rsidR="00000000" w:rsidRPr="00000000">
        <w:rPr>
          <w:rtl w:val="0"/>
        </w:rPr>
        <w:t xml:space="preserve"> A design tension appears in every token-based system, and it is one that is explored in our system: How is a logged-in session represented? A JSON Web Token (JWT) packs the session's claims into a signed token any service can check on its own, with nothing to look up [10]. The ability for this to be scaled is notably positive, but the risk then becomes: the token is valid until it expires, and it is a resource-heavy price to cancel it before the expiration. The older approach, an opaque session ID pointing at data kept on the server, gives instant revocation and central control, but only by keeping the shared server-side state JWTs were adopted to avoid [7]. This is the scalability-versus-revocability trade-off that we face, and it is exactly what makes a zero-trust posture sharper. This is where TesseraApp’s hybrid model lies, and it is explored in Section 5.</w:t>
      </w:r>
    </w:p>
    <w:p w:rsidR="00000000" w:rsidDel="00000000" w:rsidP="00000000" w:rsidRDefault="00000000" w:rsidRPr="00000000" w14:paraId="00000016">
      <w:pPr>
        <w:spacing w:after="80" w:line="240" w:lineRule="auto"/>
        <w:ind w:firstLine="259"/>
        <w:jc w:val="both"/>
        <w:rPr/>
      </w:pPr>
      <w:r w:rsidDel="00000000" w:rsidR="00000000" w:rsidRPr="00000000">
        <w:rPr>
          <w:b w:val="1"/>
          <w:bCs w:val="1"/>
          <w:rtl w:val="0"/>
        </w:rPr>
        <w:t xml:space="preserve">Multi-factor and passwordless authentication.</w:t>
      </w:r>
      <w:r w:rsidDel="00000000" w:rsidR="00000000" w:rsidRPr="00000000">
        <w:rPr>
          <w:rtl w:val="0"/>
        </w:rPr>
        <w:t xml:space="preserve"> Since a password on its own is a single point of failure that gets exposed to phishing, credential-stuffing and brute-force attacks, and password reuse risk, a strong CIAM will back it up with extra factors. Time-sensitive one-time passwords, defined in RFC 6238, combine the current time and a shared secret into a time-limited code which is a second factor widely supported without the need of a per-message infrastructure [11]. Passwordless login via FIDO2 and WebAuthn is where the field is heading. This replaces shared secrets with device-bound, public key credentials. Research into the usability of FIDO2 at the enterprise level finds that it still hits a few roadblocks surrounding adoption and account recovery, so that the passwordless future is not yet seen in modern systems [12].</w:t>
      </w:r>
    </w:p>
    <w:p w:rsidR="00000000" w:rsidDel="00000000" w:rsidP="00000000" w:rsidRDefault="00000000" w:rsidRPr="00000000" w14:paraId="00000017">
      <w:pPr>
        <w:spacing w:after="80" w:line="240" w:lineRule="auto"/>
        <w:ind w:firstLine="259"/>
        <w:jc w:val="both"/>
        <w:rPr/>
      </w:pPr>
      <w:r w:rsidDel="00000000" w:rsidR="00000000" w:rsidRPr="00000000">
        <w:rPr>
          <w:b w:val="1"/>
          <w:bCs w:val="1"/>
          <w:rtl w:val="0"/>
        </w:rPr>
        <w:t xml:space="preserve">Measuring and federating identity.</w:t>
      </w:r>
      <w:r w:rsidDel="00000000" w:rsidR="00000000" w:rsidRPr="00000000">
        <w:rPr>
          <w:rtl w:val="0"/>
        </w:rPr>
        <w:t xml:space="preserve"> Finally, the field’s attention to interoperability and measurement is the concrete sign of how far it has matured. A systematic review of IAM metrics gathers the ways this discipline measures whether identity controls work, giving a vocabulary for evaluating systems rather than solely describing them [13]. In security analyses of federated identity, we see that the study of the trust relationships and added attack surface that come with sharing identity across organizations [14] is something that any CIAM platform with federated or social login will face.</w:t>
      </w:r>
    </w:p>
    <w:p w:rsidR="00000000" w:rsidDel="00000000" w:rsidP="00000000" w:rsidRDefault="00000000" w:rsidRPr="00000000" w14:paraId="00000018">
      <w:pPr>
        <w:spacing w:after="80" w:before="200" w:lineRule="auto"/>
        <w:jc w:val="center"/>
        <w:rPr/>
      </w:pPr>
      <w:r w:rsidDel="00000000" w:rsidR="00000000" w:rsidRPr="00000000">
        <w:rPr>
          <w:smallCaps w:val="1"/>
          <w:rtl w:val="0"/>
        </w:rPr>
        <w:t xml:space="preserve">4.  Existing CIAM Systems</w:t>
      </w:r>
      <w:r w:rsidDel="00000000" w:rsidR="00000000" w:rsidRPr="00000000">
        <w:rPr>
          <w:rtl w:val="0"/>
        </w:rPr>
      </w:r>
    </w:p>
    <w:p w:rsidR="00000000" w:rsidDel="00000000" w:rsidP="00000000" w:rsidRDefault="00000000" w:rsidRPr="00000000" w14:paraId="00000019">
      <w:pPr>
        <w:spacing w:after="80" w:line="240" w:lineRule="auto"/>
        <w:ind w:firstLine="259"/>
        <w:jc w:val="both"/>
        <w:rPr/>
      </w:pPr>
      <w:r w:rsidDel="00000000" w:rsidR="00000000" w:rsidRPr="00000000">
        <w:rPr>
          <w:rtl w:val="0"/>
        </w:rPr>
        <w:t xml:space="preserve">What makes a modern CIAM system effective is its ability to provide customers with excellent experiences, while maintaining the highest possible level of zero-trust, identity, authorization, and authentication. Companies that utilize CIAM must also consider the build-vs.-buy spectrum, and where they stand on this spectrum. On one end is the complete in-house option and the other is the managed SaaS providers. SaaS providers take on all the operational work, and the company pays a recurring fee. Fewer staff are needed to devote time to these providers. The company would sacrifice some customization to get tight, cloud-native service with a single integration. Enterprise suites will add governance and identity verification at enterprise prices. Open-source solutions allow the company to retain full control, but it still takes resources to maintain the system. Further, the opposite of this spectrum is the completely in-house system, and the organization will build and maintain the entire identity stack on their own. This will give back the customization aspect and save in price costs, but the organization would be responsible for protecting customer-facing data. Furthermore, privacy compliance is not guaranteed even among commercial products: a 2026 KuppingerCole Leadership Compass found that only about half of the CIAM products and services it evaluated offered consent and privacy-management capabilities robust enough to aid compliance with regulations such as the GDPR and CCPA [4].</w:t>
      </w:r>
    </w:p>
    <w:p w:rsidR="00000000" w:rsidDel="00000000" w:rsidP="00000000" w:rsidRDefault="00000000" w:rsidRPr="00000000" w14:paraId="0000001A">
      <w:pPr>
        <w:spacing w:after="80" w:line="240" w:lineRule="auto"/>
        <w:ind w:firstLine="259"/>
        <w:jc w:val="both"/>
        <w:rPr/>
        <w:sectPr>
          <w:type w:val="continuous"/>
          <w:pgSz w:h="15840" w:w="12240" w:orient="portrait"/>
          <w:pgMar w:bottom="1440" w:top="1080" w:left="900" w:right="900" w:header="720" w:footer="720"/>
          <w:cols w:equalWidth="0" w:num="2">
            <w:col w:space="288" w:w="5076"/>
            <w:col w:space="0" w:w="5076"/>
          </w:cols>
        </w:sectPr>
      </w:pPr>
      <w:r w:rsidDel="00000000" w:rsidR="00000000" w:rsidRPr="00000000">
        <w:rPr>
          <w:rtl w:val="0"/>
        </w:rPr>
        <w:t xml:space="preserve"> Table 1 highlights some of the products representing each side of the spectrum. Each product leverages costs, customization, operational complexity, scalability, and security differently.  The discussion that follows will explore the main trade-offs of each and highlight opportunities for lightweight, self-hosted alternatives. </w:t>
      </w:r>
    </w:p>
    <w:p w:rsidR="00000000" w:rsidDel="00000000" w:rsidP="00000000" w:rsidRDefault="00000000" w:rsidRPr="00000000" w14:paraId="0000001B">
      <w:pPr>
        <w:spacing w:after="80" w:before="120" w:lineRule="auto"/>
        <w:jc w:val="center"/>
        <w:rPr/>
      </w:pPr>
      <w:r w:rsidDel="00000000" w:rsidR="00000000" w:rsidRPr="00000000">
        <w:rPr>
          <w:b w:val="1"/>
          <w:bCs w:val="1"/>
          <w:smallCaps w:val="1"/>
          <w:sz w:val="16"/>
          <w:szCs w:val="16"/>
          <w:rtl w:val="0"/>
        </w:rPr>
        <w:t xml:space="preserve">TABLE I. </w:t>
      </w:r>
      <w:r w:rsidDel="00000000" w:rsidR="00000000" w:rsidRPr="00000000">
        <w:rPr>
          <w:smallCaps w:val="1"/>
          <w:sz w:val="16"/>
          <w:szCs w:val="16"/>
          <w:rtl w:val="0"/>
        </w:rPr>
        <w:t xml:space="preserve">Representative CIAM Offerings Along the Build-vs-Buy Spectrum</w:t>
      </w:r>
      <w:r w:rsidDel="00000000" w:rsidR="00000000" w:rsidRPr="00000000">
        <w:rPr>
          <w:rtl w:val="0"/>
        </w:rPr>
      </w:r>
    </w:p>
    <w:tbl>
      <w:tblPr>
        <w:tblStyle w:val="Table1"/>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224"/>
        <w:gridCol w:w="3528"/>
        <w:gridCol w:w="3528"/>
        <w:gridCol w:w="648"/>
        <w:tblGridChange w:id="0">
          <w:tblGrid>
            <w:gridCol w:w="1512"/>
            <w:gridCol w:w="1224"/>
            <w:gridCol w:w="3528"/>
            <w:gridCol w:w="3528"/>
            <w:gridCol w:w="648"/>
          </w:tblGrid>
        </w:tblGridChange>
      </w:tblGrid>
      <w:tr>
        <w:trPr>
          <w:cantSplit w:val="0"/>
          <w:tblHeader w:val="0"/>
        </w:trPr>
        <w:tc>
          <w:tcPr/>
          <w:p w:rsidR="00000000" w:rsidDel="00000000" w:rsidP="00000000" w:rsidRDefault="00000000" w:rsidRPr="00000000" w14:paraId="0000001C">
            <w:pPr>
              <w:jc w:val="center"/>
              <w:rPr/>
            </w:pPr>
            <w:r w:rsidDel="00000000" w:rsidR="00000000" w:rsidRPr="00000000">
              <w:rPr>
                <w:b w:val="1"/>
                <w:bCs w:val="1"/>
                <w:sz w:val="16"/>
                <w:szCs w:val="16"/>
                <w:rtl w:val="0"/>
              </w:rPr>
              <w:t xml:space="preserve">System</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b w:val="1"/>
                <w:bCs w:val="1"/>
                <w:sz w:val="16"/>
                <w:szCs w:val="16"/>
                <w:rtl w:val="0"/>
              </w:rPr>
              <w:t xml:space="preserve">Type</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b w:val="1"/>
                <w:bCs w:val="1"/>
                <w:sz w:val="16"/>
                <w:szCs w:val="16"/>
                <w:rtl w:val="0"/>
              </w:rPr>
              <w:t xml:space="preserve">Pros</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b w:val="1"/>
                <w:bCs w:val="1"/>
                <w:sz w:val="16"/>
                <w:szCs w:val="16"/>
                <w:rtl w:val="0"/>
              </w:rPr>
              <w:t xml:space="preserve">Cons</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sz w:val="16"/>
                <w:szCs w:val="16"/>
                <w:rtl w:val="0"/>
              </w:rPr>
              <w:t xml:space="preserve">Refs</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1"/>
                <w:bCs w:val="1"/>
                <w:sz w:val="16"/>
                <w:szCs w:val="16"/>
                <w:rtl w:val="0"/>
              </w:rPr>
              <w:t xml:space="preserve">Okta / Auth0</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Managed SaaS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6"/>
                <w:szCs w:val="16"/>
                <w:rtl w:val="0"/>
              </w:rPr>
              <w:t xml:space="preserve">Developer-first tools; abundant integration options; polished SDKs; strong adaptive MFA; notable market leader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Per-MAU pricing scales quickly; configuration surface/UI can overwhelm small teams; risk of lock-in pricing from the vendor</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6"/>
                <w:szCs w:val="16"/>
                <w:rtl w:val="0"/>
              </w:rPr>
              <w:t xml:space="preserve">[15], [16]</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sz w:val="16"/>
                <w:szCs w:val="16"/>
                <w:rtl w:val="0"/>
              </w:rPr>
              <w:t xml:space="preserve">Microsoft Entra External ID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6"/>
                <w:szCs w:val="16"/>
                <w:rtl w:val="0"/>
              </w:rPr>
              <w:t xml:space="preserve">Cloud-native SaaS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Deep Microsoft-ecosystem integration; enterprise SSO, SCIM, and governance; bundled with M365; top-ranked execution by analysts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6"/>
                <w:szCs w:val="16"/>
                <w:rtl w:val="0"/>
              </w:rPr>
              <w:t xml:space="preserve">Must already be using Microsoft stack for best economics; legacy B2C configuration historically complex</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6"/>
                <w:szCs w:val="16"/>
                <w:rtl w:val="0"/>
              </w:rPr>
              <w:t xml:space="preserve">[15], [17]</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sz w:val="16"/>
                <w:szCs w:val="16"/>
                <w:rtl w:val="0"/>
              </w:rPr>
              <w:t xml:space="preserve">Ping Identity (with ForgeRock)</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Enterprise suite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6"/>
                <w:szCs w:val="16"/>
                <w:rtl w:val="0"/>
              </w:rPr>
              <w:t xml:space="preserve">Recognized Analyst Leader; combines IGA, MFA, and identity verification; built for largely regulated, high-assurance identity</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Resource heavy; enterprise-tier pricing; functionally overkill for a small application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6"/>
                <w:szCs w:val="16"/>
                <w:rtl w:val="0"/>
              </w:rPr>
              <w:t xml:space="preserve">[15], [18]</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sz w:val="16"/>
                <w:szCs w:val="16"/>
                <w:rtl w:val="0"/>
              </w:rPr>
              <w:t xml:space="preserve">IBM Security Verify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6"/>
                <w:szCs w:val="16"/>
                <w:rtl w:val="0"/>
              </w:rPr>
              <w:t xml:space="preserve">Enterprise suite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Leader on execution strategies and implementations; strong identity governance; mature, well-supported platform</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Enterprise-oriented cost, configuration, and complexity; poor fit for small teams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1"/>
                <w:bCs w:val="1"/>
                <w:sz w:val="16"/>
                <w:szCs w:val="16"/>
                <w:rtl w:val="0"/>
              </w:rPr>
              <w:t xml:space="preserve">AWS Cognito</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Cloud-native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AWS integration built in; auto-scales to enterprise levels (hundreds of millions of users); cheap to scale; quick token validation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6"/>
                <w:szCs w:val="16"/>
                <w:rtl w:val="0"/>
              </w:rPr>
              <w:t xml:space="preserve">Awkward developer experience; scarce documentation; weak handling of edge cases; limited customization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6"/>
                <w:szCs w:val="1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1"/>
                <w:bCs w:val="1"/>
                <w:sz w:val="16"/>
                <w:szCs w:val="16"/>
                <w:rtl w:val="0"/>
              </w:rPr>
              <w:t xml:space="preserve">Keycloak (Red Hat)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Self-hosted, open source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6"/>
                <w:szCs w:val="16"/>
                <w:rtl w:val="0"/>
              </w:rPr>
              <w:t xml:space="preserve">Free licensing; full OIDC/OAuth 2.0/SAML support; identity federation, social login, and LDAP; complete control and data sovereignty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6"/>
                <w:szCs w:val="16"/>
                <w:rtl w:val="0"/>
              </w:rPr>
              <w:t xml:space="preserve">Operator owns operations, high availability, and scaling; steep initial setup; governance and threat detection require custom implementation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sz w:val="16"/>
                <w:szCs w:val="16"/>
                <w:rtl w:val="0"/>
              </w:rPr>
              <w:t xml:space="preserve">TesseraApp</w:t>
            </w:r>
            <w:r w:rsidDel="00000000" w:rsidR="00000000" w:rsidRPr="00000000">
              <w:rPr>
                <w:sz w:val="16"/>
                <w:szCs w:val="16"/>
                <w:rtl w:val="0"/>
              </w:rPr>
              <w:t xml:space="preserve"> </w:t>
            </w:r>
            <w:r w:rsidDel="00000000" w:rsidR="00000000" w:rsidRPr="00000000">
              <w:rPr>
                <w:i w:val="1"/>
                <w:iCs w:val="1"/>
                <w:sz w:val="16"/>
                <w:szCs w:val="16"/>
                <w:rtl w:val="0"/>
              </w:rPr>
              <w:t xml:space="preserve">(this project)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In-house / self-built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6"/>
                <w:szCs w:val="16"/>
                <w:rtl w:val="0"/>
              </w:rPr>
              <w:t xml:space="preserve">Total control; no per-MAU fees; tailored hybrid model (stateless JWT plus stateful revocation); data sovereignty; substantial learning value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Full security burden on the implementer; must correctly build rotation, reuse detection, MFA, and audit; no vendor SLA; ongoing maintenance cost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[3], [6], [9]</w:t>
            </w:r>
            <w:r w:rsidDel="00000000" w:rsidR="00000000" w:rsidRPr="00000000">
              <w:rPr>
                <w:rtl w:val="0"/>
              </w:rPr>
            </w:r>
          </w:p>
        </w:tc>
      </w:tr>
    </w:tbl>
    <w:p w:rsidR="00000000" w:rsidDel="00000000" w:rsidP="00000000" w:rsidRDefault="00000000" w:rsidRPr="00000000" w14:paraId="00000044">
      <w:pPr>
        <w:rPr/>
        <w:sectPr>
          <w:type w:val="continuous"/>
          <w:pgSz w:h="15840" w:w="12240" w:orient="portrait"/>
          <w:pgMar w:bottom="1440" w:top="1080" w:left="900" w:right="900" w:header="720" w:footer="720"/>
        </w:sectPr>
      </w:pPr>
      <w:r w:rsidDel="00000000" w:rsidR="00000000" w:rsidRPr="00000000">
        <w:rPr>
          <w:rtl w:val="0"/>
        </w:rPr>
      </w:r>
    </w:p>
    <w:p w:rsidR="00000000" w:rsidDel="00000000" w:rsidP="00000000" w:rsidRDefault="00000000" w:rsidRPr="00000000" w14:paraId="00000045">
      <w:pPr>
        <w:spacing w:after="80" w:line="240" w:lineRule="auto"/>
        <w:ind w:firstLine="259"/>
        <w:jc w:val="both"/>
        <w:rPr/>
      </w:pPr>
      <w:r w:rsidDel="00000000" w:rsidR="00000000" w:rsidRPr="00000000">
        <w:rPr>
          <w:b w:val="1"/>
          <w:bCs w:val="1"/>
          <w:rtl w:val="0"/>
        </w:rPr>
        <w:t xml:space="preserve">Managed SaaS leaders.</w:t>
      </w:r>
      <w:r w:rsidDel="00000000" w:rsidR="00000000" w:rsidRPr="00000000">
        <w:rPr>
          <w:rtl w:val="0"/>
        </w:rPr>
        <w:t xml:space="preserve"> Okta, along with recently acquired Auth0, is the staple "buy" option in the IAM ecosystem, and it lands as a leader in analyst rankings year after year [15]. Its real strength is developer experience: a large catalog of ready-made integrations, solid SDKs, and adaptive MFA options let an organization deliver production-grade readiness for login in days rather than months [16]. Its weakness is economics. Since Okta bills per monthly active user (MAU), the cost factors in quickly with success. The configuration depth that helps large enterprises can just as easily overwhelm a small team and deepen lock-in [15], [16]. That per-MAU model is the most consequential single fact in this review, in practice, because it is what leaves room for lighter, self-hostable alternatives; we follow up on that in Section 6.</w:t>
      </w:r>
    </w:p>
    <w:p w:rsidR="00000000" w:rsidDel="00000000" w:rsidP="00000000" w:rsidRDefault="00000000" w:rsidRPr="00000000" w14:paraId="00000046">
      <w:pPr>
        <w:spacing w:after="80" w:line="240" w:lineRule="auto"/>
        <w:ind w:firstLine="259"/>
        <w:jc w:val="both"/>
        <w:rPr/>
      </w:pPr>
      <w:r w:rsidDel="00000000" w:rsidR="00000000" w:rsidRPr="00000000">
        <w:rPr>
          <w:b w:val="1"/>
          <w:bCs w:val="1"/>
          <w:rtl w:val="0"/>
        </w:rPr>
        <w:t xml:space="preserve">Cloud-native services.</w:t>
      </w:r>
      <w:r w:rsidDel="00000000" w:rsidR="00000000" w:rsidRPr="00000000">
        <w:rPr>
          <w:rtl w:val="0"/>
        </w:rPr>
        <w:t xml:space="preserve"> Microsoft Entra External ID, the successor to Azure AD B2C, and AWS Cognito are both sitting in the cloud-aligned middle of our spectrum. Entra's edge is integration: if your organization is already largely integrated on Microsoft 365 and Azure, it pulls SSO, SCIM provisioning, and governance into one well-rated platform, usually bundled with licenses you already pay for [15], [17]. The downside is the mirror image of that strength, in the case of organizations that aren’t already invested in the M365 ecosystem. This value falls off steeply once you step outside the Microsoft world, plus the older B2C configuration has a reputation for being fiddly [17]. AWS Cognito's economics are much different: native AWS integration is included, automatic scaling to hundreds of millions of users, low scaling costs, and fast token checks make it appealing for AWS workloads [19]. The cost, again, is transferred to developer experience: Cognito draws steady criticism for scarce documentation, an awkward API, limited customization, and weak behavior on the edges [19].</w:t>
      </w:r>
    </w:p>
    <w:p w:rsidR="00000000" w:rsidDel="00000000" w:rsidP="00000000" w:rsidRDefault="00000000" w:rsidRPr="00000000" w14:paraId="00000047">
      <w:pPr>
        <w:spacing w:after="80" w:line="240" w:lineRule="auto"/>
        <w:ind w:firstLine="259"/>
        <w:jc w:val="both"/>
        <w:rPr/>
      </w:pPr>
      <w:r w:rsidDel="00000000" w:rsidR="00000000" w:rsidRPr="00000000">
        <w:rPr>
          <w:b w:val="1"/>
          <w:bCs w:val="1"/>
          <w:rtl w:val="0"/>
        </w:rPr>
        <w:t xml:space="preserve">Enterprise suites.</w:t>
      </w:r>
      <w:r w:rsidDel="00000000" w:rsidR="00000000" w:rsidRPr="00000000">
        <w:rPr>
          <w:rtl w:val="0"/>
        </w:rPr>
        <w:t xml:space="preserve"> Ping Identity, which has since merged with ForgeRock, and IBM Security Verify cover the high-assurance, governance-heavy end of the commercial market. Ping's combined platform is rated a leader by analysts and brings together identity governance (IGA), MFA, and identity verification for regulated, high-assurance use cases [15], [18]. IBM Security Verify is a recognized leader on execution, with strong governance and a mature support model [15]. For the small-application context that this review is concerned with - both run into the same disqualifying problem: they are heavy, enterprise-priced platforms built for large, regulated institutions, not for smaller teams that might not have the resources to maintain such systems [15], [18].</w:t>
      </w:r>
    </w:p>
    <w:p w:rsidR="00000000" w:rsidDel="00000000" w:rsidP="00000000" w:rsidRDefault="00000000" w:rsidRPr="00000000" w14:paraId="00000048">
      <w:pPr>
        <w:spacing w:after="80" w:line="240" w:lineRule="auto"/>
        <w:ind w:firstLine="259"/>
        <w:jc w:val="both"/>
        <w:rPr/>
      </w:pPr>
      <w:r w:rsidDel="00000000" w:rsidR="00000000" w:rsidRPr="00000000">
        <w:rPr>
          <w:b w:val="1"/>
          <w:bCs w:val="1"/>
          <w:rtl w:val="0"/>
        </w:rPr>
        <w:t xml:space="preserve">Open-source self-hosted.</w:t>
      </w:r>
      <w:r w:rsidDel="00000000" w:rsidR="00000000" w:rsidRPr="00000000">
        <w:rPr>
          <w:rtl w:val="0"/>
        </w:rPr>
        <w:t xml:space="preserve"> Keycloak, the Red Hat-backed open-source platform, is the closest commercial thing to a complete in-house build, and it is the hinge of this survey. Its advantages arrive directly from being free and self-hosted: free licensing, non-existent per-MAU fee, complete OIDC, OAuth 2.0, and SAML support. Also included are identity federation, social login, and LDAP; and, crucially, both operational control and user data stay within the implementing organization’s boundary [20]. The price is that you own operations. Deployment, high availability, scaling, upgrades, and hardening all fall onto the organization, and capabilities like fine-grained governance or threat detection usually mean investing more time to build on top of the open-source platform [20]. Keycloak therefore proves there is a genuine market for a self-hostable CIAM system, customers who want more control and data ownership without paying a per-MAU bill. That is the exact gap that a lighter, in-house solution aims to close. </w:t>
      </w:r>
    </w:p>
    <w:p w:rsidR="00000000" w:rsidDel="00000000" w:rsidP="00000000" w:rsidRDefault="00000000" w:rsidRPr="00000000" w14:paraId="00000049">
      <w:pPr>
        <w:spacing w:after="80" w:line="240" w:lineRule="auto"/>
        <w:ind w:firstLine="259"/>
        <w:jc w:val="both"/>
        <w:rPr/>
      </w:pPr>
      <w:r w:rsidDel="00000000" w:rsidR="00000000" w:rsidRPr="00000000">
        <w:rPr>
          <w:b w:val="1"/>
          <w:bCs w:val="1"/>
          <w:rtl w:val="0"/>
        </w:rPr>
        <w:t xml:space="preserve">Fully in-house.</w:t>
      </w:r>
      <w:r w:rsidDel="00000000" w:rsidR="00000000" w:rsidRPr="00000000">
        <w:rPr>
          <w:rtl w:val="0"/>
        </w:rPr>
        <w:t xml:space="preserve"> TesseraApp, the system this review accompanies, lies at the far, self-reliant end of the CIAM spectrum: rather than adopting an open-source platform, it implements the identity stack directly. Its advantages are essentially Keycloak's, but amplified: total control over behavior, no per-MAU fees, complete data ownership, and a fit to an organization’s specific needs, pairing stateless JSON Web Tokens for scalable verification alongside a stateful trust layer for revocation, device tracking, and token refresh rotation with reuse detection [3], [6], [9]. The catch is the flip side of that same coin: every security property a SaaS vendor would have guaranteed, from correct token rotation and reuse detection to MFA and audit logging, now falls to the organization implementing TesseraApp, with no vendor SLA. There is also a maintenance cost that can sneak up on the organization if not carefully monitored. Whether that trade is genuinely worth making, namely in cost control, data ownership, unusual requirements, and the value of learning by building, is the question Section 5 takes up directly.</w:t>
      </w:r>
    </w:p>
    <w:p w:rsidR="00000000" w:rsidDel="00000000" w:rsidP="00000000" w:rsidRDefault="00000000" w:rsidRPr="00000000" w14:paraId="0000004A">
      <w:pPr>
        <w:spacing w:after="80" w:before="200" w:lineRule="auto"/>
        <w:jc w:val="center"/>
        <w:rPr/>
      </w:pPr>
      <w:r w:rsidDel="00000000" w:rsidR="00000000" w:rsidRPr="00000000">
        <w:rPr>
          <w:smallCaps w:val="1"/>
          <w:rtl w:val="0"/>
        </w:rPr>
        <w:t xml:space="preserve">5.  Different Approaches: Build vs. Buy</w:t>
      </w:r>
      <w:r w:rsidDel="00000000" w:rsidR="00000000" w:rsidRPr="00000000">
        <w:rPr>
          <w:rtl w:val="0"/>
        </w:rPr>
      </w:r>
    </w:p>
    <w:p w:rsidR="00000000" w:rsidDel="00000000" w:rsidP="00000000" w:rsidRDefault="00000000" w:rsidRPr="00000000" w14:paraId="0000004B">
      <w:pPr>
        <w:spacing w:after="80" w:line="240" w:lineRule="auto"/>
        <w:ind w:firstLine="259"/>
        <w:jc w:val="both"/>
        <w:rPr/>
      </w:pPr>
      <w:r w:rsidDel="00000000" w:rsidR="00000000" w:rsidRPr="00000000">
        <w:rPr>
          <w:rtl w:val="0"/>
        </w:rPr>
        <w:t xml:space="preserve">We’ve seen that the products in the previous section align on a single axis determined by one question: how much of the identity stack does an organization manage on their own? </w:t>
      </w:r>
      <w:r w:rsidDel="00000000" w:rsidR="00000000" w:rsidRPr="00000000">
        <w:rPr>
          <w:rtl w:val="0"/>
        </w:rPr>
        <w:t xml:space="preserve">Managed SaaS systems handle most of the operational burden. Enterprise and cloud-native solutions sit toward the middle</w:t>
      </w:r>
      <w:r w:rsidDel="00000000" w:rsidR="00000000" w:rsidRPr="00000000">
        <w:rPr>
          <w:rtl w:val="0"/>
        </w:rPr>
        <w:t xml:space="preserve">, running much less on the organization’s behalf. The open-source route gives back operations entirely to the organization responsible, leaving the organization with just the operations to handle. TesseraApp, the in-house build option, is responsible for both operations and implementation. This leads us to not only the yes/no decision; it’s a question of where the implementing organization’s limitations place it on this axis.</w:t>
      </w:r>
    </w:p>
    <w:p w:rsidR="00000000" w:rsidDel="00000000" w:rsidP="00000000" w:rsidRDefault="00000000" w:rsidRPr="00000000" w14:paraId="0000004C">
      <w:pPr>
        <w:spacing w:after="80" w:line="240" w:lineRule="auto"/>
        <w:ind w:firstLine="259"/>
        <w:jc w:val="both"/>
        <w:rPr/>
      </w:pPr>
      <w:r w:rsidDel="00000000" w:rsidR="00000000" w:rsidRPr="00000000">
        <w:rPr>
          <w:rtl w:val="0"/>
        </w:rPr>
        <w:t xml:space="preserve">Keycloak is the pivot of this axis, and TesseraApp is its closest analog: similar to that free, open-source platform, TesseraApp already delivers a majority of what in-house building looks to achieve: complete protocol support, removal of per-use licensing, and complete data ownership, all within an organization’s own infrastructure [20]. Keycloak is proof of the real market that utilizes a self-hosted CIAM system while at the same time marking the line that a lighter, purpose-built system tries to surpass.</w:t>
      </w:r>
    </w:p>
    <w:p w:rsidR="00000000" w:rsidDel="00000000" w:rsidP="00000000" w:rsidRDefault="00000000" w:rsidRPr="00000000" w14:paraId="0000004D">
      <w:pPr>
        <w:spacing w:after="80" w:line="240" w:lineRule="auto"/>
        <w:ind w:firstLine="259"/>
        <w:jc w:val="both"/>
        <w:rPr/>
      </w:pPr>
      <w:r w:rsidDel="00000000" w:rsidR="00000000" w:rsidRPr="00000000">
        <w:rPr>
          <w:rtl w:val="0"/>
        </w:rPr>
        <w:t xml:space="preserve">TesseraApp surpasses this line by purposely being a hybrid system, rather than the all-in-one solution that enterprises dream of. Rather than commitment to pure statelessness, or pure statefulness, it pairs stateless JWTs for scalable, non-infrastructure verification with a stateful trust layer that re-adds what plain JWTs forgo: per-user device list, token revocation, and refresh-token rotation alongside reuse detection. This lets it escalate to step-up authentication when the risk arises. This is essentially what Section 3 explored: it resolves the scalability-versus-revocability trade-off [10] in favor of zero-trust’s demand of continuous, revocable verification [6], while staying in the boundaries of the OAuth/OIDC model whose security is understood formally [9]. Authentication itself remains local and self-managed, rather than being delegated to outside identity providers. Users will sign in with credentials that the system stores as salted BCrypt hashes, and access is governed by role-based access control (RBAC). The result: a system </w:t>
      </w:r>
      <w:r w:rsidDel="00000000" w:rsidR="00000000" w:rsidRPr="00000000">
        <w:rPr>
          <w:rtl w:val="0"/>
        </w:rPr>
        <w:t xml:space="preserve">fit</w:t>
      </w:r>
      <w:r w:rsidDel="00000000" w:rsidR="00000000" w:rsidRPr="00000000">
        <w:rPr>
          <w:rtl w:val="0"/>
        </w:rPr>
        <w:t xml:space="preserve"> precisely to an organization’s requirements, without having to pay a per-MAU fee. The price: every one of these properties mentioned must get built, maintained correctly, all without a vendor SLA to lean on. </w:t>
      </w:r>
    </w:p>
    <w:p w:rsidR="00000000" w:rsidDel="00000000" w:rsidP="00000000" w:rsidRDefault="00000000" w:rsidRPr="00000000" w14:paraId="0000004E">
      <w:pPr>
        <w:spacing w:after="80" w:line="240" w:lineRule="auto"/>
        <w:ind w:firstLine="259"/>
        <w:jc w:val="both"/>
        <w:rPr/>
      </w:pPr>
      <w:r w:rsidDel="00000000" w:rsidR="00000000" w:rsidRPr="00000000">
        <w:rPr>
          <w:rtl w:val="0"/>
        </w:rPr>
        <w:t xml:space="preserve">We need also to be fair about the case against building. The industry is silently moving away from homegrown identity: We’ve seen the access-management market grow at double-digit rates, precisely due to organizations swapping self-built CIAM systems for commercial solutions that spread security expertise across many customers [15]. For many organizations, buying is the right call most of the time. Building these systems only returns dividends under very specific circumstances: when ownership of data is an unmodifiable requirement, when forecastable, usage-independent cost matters more than shipping the product, when part of the goal is learning by building, or when needs of the organization are too unusual for a plug-and-play product. TesseraApp is built methodically inside this narrow window, and Section 6 considers the economics that shape its edges.</w:t>
      </w:r>
    </w:p>
    <w:p w:rsidR="00000000" w:rsidDel="00000000" w:rsidP="00000000" w:rsidRDefault="00000000" w:rsidRPr="00000000" w14:paraId="0000004F">
      <w:pPr>
        <w:spacing w:after="80" w:before="200" w:lineRule="auto"/>
        <w:jc w:val="center"/>
        <w:rPr/>
      </w:pPr>
      <w:r w:rsidDel="00000000" w:rsidR="00000000" w:rsidRPr="00000000">
        <w:rPr>
          <w:smallCaps w:val="1"/>
          <w:rtl w:val="0"/>
        </w:rPr>
        <w:t xml:space="preserve">6.  Economic Impact and Marketability</w:t>
      </w:r>
      <w:r w:rsidDel="00000000" w:rsidR="00000000" w:rsidRPr="00000000">
        <w:rPr>
          <w:rtl w:val="0"/>
        </w:rPr>
      </w:r>
    </w:p>
    <w:p w:rsidR="00000000" w:rsidDel="00000000" w:rsidP="00000000" w:rsidRDefault="00000000" w:rsidRPr="00000000" w14:paraId="00000050">
      <w:pPr>
        <w:spacing w:after="80" w:line="240" w:lineRule="auto"/>
        <w:ind w:firstLine="259"/>
        <w:jc w:val="both"/>
        <w:rPr/>
      </w:pPr>
      <w:r w:rsidDel="00000000" w:rsidR="00000000" w:rsidRPr="00000000">
        <w:rPr>
          <w:rtl w:val="0"/>
        </w:rPr>
        <w:t xml:space="preserve">The CIAM market is already enormous and growing substantially, though the exact size depends on how you define this category. MarketsandMarkets puts consumer IAM at USD 14.12 billion in 2025, growing to USD 22.47 billion by 2030, resulting in an annual compound rate of 9.7% [2]. Grand View Research draws the boundaries a bit differently and reports USD 8.12 billion in 2023 climbing to USD 26.72 billion by 2030, a steeper 17.4% [21]. The two don’t align on the exact figures but agree on direction and speed: a multi-billion-dollar market growing roughly at double-digit rates, which is confirmation of how important central identity has become to digital business.</w:t>
      </w:r>
    </w:p>
    <w:p w:rsidR="00000000" w:rsidDel="00000000" w:rsidP="00000000" w:rsidRDefault="00000000" w:rsidRPr="00000000" w14:paraId="00000051">
      <w:pPr>
        <w:spacing w:after="80" w:line="240" w:lineRule="auto"/>
        <w:ind w:firstLine="259"/>
        <w:jc w:val="both"/>
        <w:rPr/>
      </w:pPr>
      <w:r w:rsidDel="00000000" w:rsidR="00000000" w:rsidRPr="00000000">
        <w:rPr>
          <w:rtl w:val="0"/>
        </w:rPr>
        <w:t xml:space="preserve">What really opens the door to our project’s potential is the market's shape, not just its size. The standard commercial pricing model charges per-MAU, resulting in the price of an organization’s identity bill growing directly alongside its user base [15], [16]. A large enterprise can simply absorb this cost and plan for it. For a startup or small business, however, </w:t>
      </w:r>
      <w:r w:rsidDel="00000000" w:rsidR="00000000" w:rsidRPr="00000000">
        <w:rPr>
          <w:rtl w:val="0"/>
        </w:rPr>
        <w:t xml:space="preserve">it operates</w:t>
      </w:r>
      <w:r w:rsidDel="00000000" w:rsidR="00000000" w:rsidRPr="00000000">
        <w:rPr>
          <w:rtl w:val="0"/>
        </w:rPr>
        <w:t xml:space="preserve"> more like a tax on its own growth, because the same new users that mark </w:t>
      </w:r>
      <w:r w:rsidDel="00000000" w:rsidR="00000000" w:rsidRPr="00000000">
        <w:rPr>
          <w:rtl w:val="0"/>
        </w:rPr>
        <w:t xml:space="preserve">success also</w:t>
      </w:r>
      <w:r w:rsidDel="00000000" w:rsidR="00000000" w:rsidRPr="00000000">
        <w:rPr>
          <w:rtl w:val="0"/>
        </w:rPr>
        <w:t xml:space="preserve"> drive the per-user fee, typically before that growth even starts paying itself off. Small businesses also employ nearly half of the American workforce and represent 43.5% of America’s GDP [22]. That leaves a portion of the identity market underserved: schools, startups, small businesses, and non-profits who need production-grade identity that are likely priced out by per-MAU pricing or simply cannot fit it into their budget. However, a lightweight, self-hostable CIAM system whose cost tracks infrastructure instead of head count fits this portion of the market effectively. </w:t>
      </w:r>
      <w:r w:rsidDel="00000000" w:rsidR="00000000" w:rsidRPr="00000000">
        <w:rPr>
          <w:rtl w:val="0"/>
        </w:rPr>
      </w:r>
    </w:p>
    <w:p w:rsidR="00000000" w:rsidDel="00000000" w:rsidP="00000000" w:rsidRDefault="00000000" w:rsidRPr="00000000" w14:paraId="00000052">
      <w:pPr>
        <w:spacing w:after="80" w:line="240" w:lineRule="auto"/>
        <w:ind w:firstLine="259"/>
        <w:jc w:val="both"/>
        <w:rPr/>
      </w:pPr>
      <w:r w:rsidDel="00000000" w:rsidR="00000000" w:rsidRPr="00000000">
        <w:rPr>
          <w:rtl w:val="0"/>
        </w:rPr>
        <w:t xml:space="preserve">The economic argument includes not only incurred fees but also avoided losses. With the average breach costing USD 4.88 million alongside compromised credentials among the most common and slowest-to-contain entry points [5], a well-built identity layer essentially pays for itself in risks prevented. A small business that owns its identity stack is rewarded with predictable costs, control over its data, and a system it can shape to its needs. That combination is what makes TesseraApp less of a general-purpose rival to the platforms in Section 4 and more of a realistic, working starting point for a small-business product in the gap that their pricing leaves open. As proof of concept, this exact architecture could evolve into a packaged product, system, or managed authentication service targeted toward precisely those budget-conscious organizations.</w:t>
      </w:r>
    </w:p>
    <w:p w:rsidR="00000000" w:rsidDel="00000000" w:rsidP="00000000" w:rsidRDefault="00000000" w:rsidRPr="00000000" w14:paraId="00000053">
      <w:pPr>
        <w:spacing w:after="80" w:before="200" w:lineRule="auto"/>
        <w:jc w:val="center"/>
        <w:rPr/>
      </w:pPr>
      <w:r w:rsidDel="00000000" w:rsidR="00000000" w:rsidRPr="00000000">
        <w:rPr>
          <w:smallCaps w:val="1"/>
          <w:rtl w:val="0"/>
        </w:rPr>
        <w:t xml:space="preserve">7.  Conclusion and Gap Analysis</w:t>
      </w:r>
      <w:r w:rsidDel="00000000" w:rsidR="00000000" w:rsidRPr="00000000">
        <w:rPr>
          <w:rtl w:val="0"/>
        </w:rPr>
      </w:r>
    </w:p>
    <w:p w:rsidR="00000000" w:rsidDel="00000000" w:rsidP="00000000" w:rsidRDefault="00000000" w:rsidRPr="00000000" w14:paraId="00000054">
      <w:pPr>
        <w:spacing w:after="80" w:line="240" w:lineRule="auto"/>
        <w:ind w:firstLine="259"/>
        <w:jc w:val="both"/>
        <w:rPr/>
      </w:pPr>
      <w:r w:rsidDel="00000000" w:rsidR="00000000" w:rsidRPr="00000000">
        <w:rPr>
          <w:rtl w:val="0"/>
        </w:rPr>
        <w:t xml:space="preserve">Taken end to end, the CIAM landscape is methodical, well-funded, and settled on a buy-by-default consensus. The managed and enterprise platforms are genuinely strong, and for most organizations they are the right choice. But the survey keeps surfacing the same gap. The commercial options are tuned for scale and priced per active user, the enterprise suites are built for large, regulated institutions, and even the open-source option asks for a serious operational commitment for organizations. None are shaped for an organization that needs sovereign, predictable, production-grade identity at a small scale. This is the point where affordability, data ownership, and low operational overhead all overlap.</w:t>
      </w:r>
    </w:p>
    <w:p w:rsidR="00000000" w:rsidDel="00000000" w:rsidP="00000000" w:rsidRDefault="00000000" w:rsidRPr="00000000" w14:paraId="00000055">
      <w:pPr>
        <w:spacing w:after="80" w:line="240" w:lineRule="auto"/>
        <w:ind w:firstLine="259"/>
        <w:jc w:val="both"/>
        <w:rPr/>
      </w:pPr>
      <w:r w:rsidDel="00000000" w:rsidR="00000000" w:rsidRPr="00000000">
        <w:rPr>
          <w:rtl w:val="0"/>
        </w:rPr>
        <w:t xml:space="preserve">TesseraApp is one answer to that gap. Its hybrid design: device tracking, stateless JWTs for scale paired with a stateful trust layer for revocation, and risk-aware step-up authentication, aims to keep the cost and control profile of self-hosting, while still adhering to the zero-trust requirements that pure stateless designs cannot. We are not claiming building beats buying outright; the survey is fairly clear that it often does not. The claim we make is narrower: inside a specific, underserved window, building in-house is a defensible engineering and economic choice. Our future work tracks the project roadmap directly: extending the RBAC model, finishing TOTP-based multi-factor authentication, hardening session and device management, and adding risk-aware step-up authentication, each one a step toward closing the gap this survey has mapped.</w:t>
      </w:r>
    </w:p>
    <w:p w:rsidR="00000000" w:rsidDel="00000000" w:rsidP="00000000" w:rsidRDefault="00000000" w:rsidRPr="00000000" w14:paraId="00000056">
      <w:pPr>
        <w:spacing w:after="80" w:before="200" w:lineRule="auto"/>
        <w:jc w:val="center"/>
        <w:rPr>
          <w:smallCaps w:val="1"/>
        </w:rPr>
      </w:pPr>
      <w:r w:rsidDel="00000000" w:rsidR="00000000" w:rsidRPr="00000000">
        <w:rPr>
          <w:smallCaps w:val="1"/>
          <w:rtl w:val="0"/>
        </w:rPr>
        <w:t xml:space="preserve">References</w:t>
      </w:r>
    </w:p>
    <w:p w:rsidR="00000000" w:rsidDel="00000000" w:rsidP="00000000" w:rsidRDefault="00000000" w:rsidRPr="00000000" w14:paraId="00000057">
      <w:pPr>
        <w:spacing w:after="40" w:line="240" w:lineRule="auto"/>
        <w:ind w:left="259"/>
        <w:jc w:val="both"/>
        <w:rPr>
          <w:sz w:val="16"/>
          <w:szCs w:val="16"/>
        </w:rPr>
      </w:pPr>
      <w:r w:rsidDel="00000000" w:rsidR="00000000" w:rsidRPr="00000000">
        <w:rPr>
          <w:sz w:val="16"/>
          <w:szCs w:val="16"/>
          <w:rtl w:val="0"/>
        </w:rPr>
        <w:t xml:space="preserve">  [1] IAM Experts, "The Evolution of IAM, A Look Back and Beyond."</w:t>
      </w:r>
    </w:p>
    <w:p w:rsidR="00000000" w:rsidDel="00000000" w:rsidP="00000000" w:rsidRDefault="00000000" w:rsidRPr="00000000" w14:paraId="00000058">
      <w:pPr>
        <w:spacing w:after="40" w:line="240" w:lineRule="auto"/>
        <w:ind w:left="259"/>
        <w:jc w:val="both"/>
        <w:rPr>
          <w:sz w:val="16"/>
          <w:szCs w:val="16"/>
        </w:rPr>
      </w:pPr>
      <w:r w:rsidDel="00000000" w:rsidR="00000000" w:rsidRPr="00000000">
        <w:rPr>
          <w:sz w:val="16"/>
          <w:szCs w:val="16"/>
          <w:rtl w:val="0"/>
        </w:rPr>
        <w:t xml:space="preserve">  [Online]. Available: https://iamexperts.consulting/our-blog-articles/the-</w:t>
      </w:r>
    </w:p>
    <w:p w:rsidR="00000000" w:rsidDel="00000000" w:rsidP="00000000" w:rsidRDefault="00000000" w:rsidRPr="00000000" w14:paraId="00000059">
      <w:pPr>
        <w:spacing w:after="40" w:line="240" w:lineRule="auto"/>
        <w:ind w:left="259"/>
        <w:jc w:val="both"/>
        <w:rPr>
          <w:sz w:val="16"/>
          <w:szCs w:val="16"/>
        </w:rPr>
      </w:pPr>
      <w:r w:rsidDel="00000000" w:rsidR="00000000" w:rsidRPr="00000000">
        <w:rPr>
          <w:sz w:val="16"/>
          <w:szCs w:val="16"/>
          <w:rtl w:val="0"/>
        </w:rPr>
        <w:t xml:space="preserve">  evolution-of-iam-a-look-back-and-beyond/. [Accessed: Jun. 6, 2026].</w:t>
      </w:r>
    </w:p>
    <w:p w:rsidR="00000000" w:rsidDel="00000000" w:rsidP="00000000" w:rsidRDefault="00000000" w:rsidRPr="00000000" w14:paraId="0000005A">
      <w:pPr>
        <w:spacing w:after="40" w:line="240" w:lineRule="auto"/>
        <w:ind w:left="259"/>
        <w:jc w:val="both"/>
        <w:rPr>
          <w:sz w:val="16"/>
          <w:szCs w:val="16"/>
        </w:rPr>
      </w:pPr>
      <w:r w:rsidDel="00000000" w:rsidR="00000000" w:rsidRPr="00000000">
        <w:rPr>
          <w:sz w:val="16"/>
          <w:szCs w:val="16"/>
          <w:rtl w:val="0"/>
        </w:rPr>
        <w:t xml:space="preserve">  [2] MarketsandMarkets, "Consumer IAM (CIAM) Market - Global Forecast to</w:t>
      </w:r>
    </w:p>
    <w:p w:rsidR="00000000" w:rsidDel="00000000" w:rsidP="00000000" w:rsidRDefault="00000000" w:rsidRPr="00000000" w14:paraId="0000005B">
      <w:pPr>
        <w:spacing w:after="40" w:line="240" w:lineRule="auto"/>
        <w:ind w:left="259"/>
        <w:jc w:val="both"/>
        <w:rPr>
          <w:sz w:val="16"/>
          <w:szCs w:val="16"/>
        </w:rPr>
      </w:pPr>
      <w:r w:rsidDel="00000000" w:rsidR="00000000" w:rsidRPr="00000000">
        <w:rPr>
          <w:sz w:val="16"/>
          <w:szCs w:val="16"/>
          <w:rtl w:val="0"/>
        </w:rPr>
        <w:t xml:space="preserve">  2030," 2025. [Online]. Available: https://www.marketsandmarkets.com/.</w:t>
      </w:r>
    </w:p>
    <w:p w:rsidR="00000000" w:rsidDel="00000000" w:rsidP="00000000" w:rsidRDefault="00000000" w:rsidRPr="00000000" w14:paraId="0000005C">
      <w:pPr>
        <w:spacing w:after="40" w:line="240" w:lineRule="auto"/>
        <w:ind w:left="259"/>
        <w:jc w:val="both"/>
        <w:rPr>
          <w:sz w:val="16"/>
          <w:szCs w:val="16"/>
        </w:rPr>
      </w:pPr>
      <w:r w:rsidDel="00000000" w:rsidR="00000000" w:rsidRPr="00000000">
        <w:rPr>
          <w:sz w:val="16"/>
          <w:szCs w:val="16"/>
          <w:rtl w:val="0"/>
        </w:rPr>
        <w:t xml:space="preserve">  [Accessed: Jun. 11, 2026].</w:t>
      </w:r>
    </w:p>
    <w:p w:rsidR="00000000" w:rsidDel="00000000" w:rsidP="00000000" w:rsidRDefault="00000000" w:rsidRPr="00000000" w14:paraId="0000005D">
      <w:pPr>
        <w:spacing w:after="40" w:line="240" w:lineRule="auto"/>
        <w:ind w:left="259"/>
        <w:jc w:val="both"/>
        <w:rPr>
          <w:sz w:val="16"/>
          <w:szCs w:val="16"/>
        </w:rPr>
      </w:pPr>
      <w:r w:rsidDel="00000000" w:rsidR="00000000" w:rsidRPr="00000000">
        <w:rPr>
          <w:sz w:val="16"/>
          <w:szCs w:val="16"/>
          <w:rtl w:val="0"/>
        </w:rPr>
        <w:t xml:space="preserve">  [3] S. Rose, O. Borchert, S. Mitchell, and S. Connelly, "Zero Trust</w:t>
      </w:r>
    </w:p>
    <w:p w:rsidR="00000000" w:rsidDel="00000000" w:rsidP="00000000" w:rsidRDefault="00000000" w:rsidRPr="00000000" w14:paraId="0000005E">
      <w:pPr>
        <w:spacing w:after="40" w:line="240" w:lineRule="auto"/>
        <w:ind w:left="259"/>
        <w:jc w:val="both"/>
        <w:rPr>
          <w:sz w:val="16"/>
          <w:szCs w:val="16"/>
        </w:rPr>
      </w:pPr>
      <w:r w:rsidDel="00000000" w:rsidR="00000000" w:rsidRPr="00000000">
        <w:rPr>
          <w:sz w:val="16"/>
          <w:szCs w:val="16"/>
          <w:rtl w:val="0"/>
        </w:rPr>
        <w:t xml:space="preserve">  Architecture," Nat. Inst. Standards Technol., Gaithersburg, MD, USA, NIST</w:t>
      </w:r>
    </w:p>
    <w:p w:rsidR="00000000" w:rsidDel="00000000" w:rsidP="00000000" w:rsidRDefault="00000000" w:rsidRPr="00000000" w14:paraId="0000005F">
      <w:pPr>
        <w:spacing w:after="40" w:line="240" w:lineRule="auto"/>
        <w:ind w:left="259"/>
        <w:jc w:val="both"/>
        <w:rPr>
          <w:sz w:val="16"/>
          <w:szCs w:val="16"/>
        </w:rPr>
      </w:pPr>
      <w:r w:rsidDel="00000000" w:rsidR="00000000" w:rsidRPr="00000000">
        <w:rPr>
          <w:sz w:val="16"/>
          <w:szCs w:val="16"/>
          <w:rtl w:val="0"/>
        </w:rPr>
        <w:t xml:space="preserve">  Special Publication 800-207, Aug. 2020. doi: 10.6028/NIST.SP.800-207.</w:t>
      </w:r>
    </w:p>
    <w:p w:rsidR="00000000" w:rsidDel="00000000" w:rsidP="00000000" w:rsidRDefault="00000000" w:rsidRPr="00000000" w14:paraId="00000060">
      <w:pPr>
        <w:spacing w:after="40" w:line="240" w:lineRule="auto"/>
        <w:ind w:left="259"/>
        <w:jc w:val="both"/>
        <w:rPr>
          <w:sz w:val="16"/>
          <w:szCs w:val="16"/>
        </w:rPr>
      </w:pPr>
      <w:r w:rsidDel="00000000" w:rsidR="00000000" w:rsidRPr="00000000">
        <w:rPr>
          <w:sz w:val="16"/>
          <w:szCs w:val="16"/>
          <w:rtl w:val="0"/>
        </w:rPr>
        <w:t xml:space="preserve">  [4] J. Tolbert, "Leadership Compass: Consumer Identity and Access</w:t>
      </w:r>
    </w:p>
    <w:p w:rsidR="00000000" w:rsidDel="00000000" w:rsidP="00000000" w:rsidRDefault="00000000" w:rsidRPr="00000000" w14:paraId="00000061">
      <w:pPr>
        <w:spacing w:after="40" w:line="240" w:lineRule="auto"/>
        <w:ind w:left="259"/>
        <w:jc w:val="both"/>
        <w:rPr>
          <w:sz w:val="16"/>
          <w:szCs w:val="16"/>
        </w:rPr>
      </w:pPr>
      <w:r w:rsidDel="00000000" w:rsidR="00000000" w:rsidRPr="00000000">
        <w:rPr>
          <w:sz w:val="16"/>
          <w:szCs w:val="16"/>
          <w:rtl w:val="0"/>
        </w:rPr>
        <w:t xml:space="preserve">  Management (CIAM)," KuppingerCole Analysts, Report LC80904, Jan. 2026.</w:t>
      </w:r>
    </w:p>
    <w:p w:rsidR="00000000" w:rsidDel="00000000" w:rsidP="00000000" w:rsidRDefault="00000000" w:rsidRPr="00000000" w14:paraId="00000062">
      <w:pPr>
        <w:spacing w:after="40" w:line="240" w:lineRule="auto"/>
        <w:ind w:left="259"/>
        <w:jc w:val="both"/>
        <w:rPr>
          <w:sz w:val="16"/>
          <w:szCs w:val="16"/>
        </w:rPr>
      </w:pPr>
      <w:r w:rsidDel="00000000" w:rsidR="00000000" w:rsidRPr="00000000">
        <w:rPr>
          <w:sz w:val="16"/>
          <w:szCs w:val="16"/>
          <w:rtl w:val="0"/>
        </w:rPr>
        <w:t xml:space="preserve">  [Online]. Available: https://www.kuppingercole.com/research/lc80904/.</w:t>
      </w:r>
    </w:p>
    <w:p w:rsidR="00000000" w:rsidDel="00000000" w:rsidP="00000000" w:rsidRDefault="00000000" w:rsidRPr="00000000" w14:paraId="00000063">
      <w:pPr>
        <w:spacing w:after="40" w:line="240" w:lineRule="auto"/>
        <w:ind w:left="259"/>
        <w:jc w:val="both"/>
        <w:rPr>
          <w:sz w:val="16"/>
          <w:szCs w:val="16"/>
        </w:rPr>
      </w:pPr>
      <w:r w:rsidDel="00000000" w:rsidR="00000000" w:rsidRPr="00000000">
        <w:rPr>
          <w:sz w:val="16"/>
          <w:szCs w:val="16"/>
          <w:rtl w:val="0"/>
        </w:rPr>
        <w:t xml:space="preserve">  [Accessed: Jun. 6, 2026].</w:t>
      </w:r>
    </w:p>
    <w:p w:rsidR="00000000" w:rsidDel="00000000" w:rsidP="00000000" w:rsidRDefault="00000000" w:rsidRPr="00000000" w14:paraId="00000064">
      <w:pPr>
        <w:spacing w:after="40" w:line="240" w:lineRule="auto"/>
        <w:ind w:left="259"/>
        <w:jc w:val="both"/>
        <w:rPr>
          <w:sz w:val="16"/>
          <w:szCs w:val="16"/>
        </w:rPr>
      </w:pPr>
      <w:r w:rsidDel="00000000" w:rsidR="00000000" w:rsidRPr="00000000">
        <w:rPr>
          <w:sz w:val="16"/>
          <w:szCs w:val="16"/>
          <w:rtl w:val="0"/>
        </w:rPr>
        <w:t xml:space="preserve">  [5] IBM Security, "Cost of a Data Breach Report 2024," IBM Corp., 2024.</w:t>
      </w:r>
    </w:p>
    <w:p w:rsidR="00000000" w:rsidDel="00000000" w:rsidP="00000000" w:rsidRDefault="00000000" w:rsidRPr="00000000" w14:paraId="00000065">
      <w:pPr>
        <w:spacing w:after="40" w:line="240" w:lineRule="auto"/>
        <w:ind w:left="259"/>
        <w:jc w:val="both"/>
        <w:rPr>
          <w:sz w:val="16"/>
          <w:szCs w:val="16"/>
        </w:rPr>
      </w:pPr>
      <w:r w:rsidDel="00000000" w:rsidR="00000000" w:rsidRPr="00000000">
        <w:rPr>
          <w:sz w:val="16"/>
          <w:szCs w:val="16"/>
          <w:rtl w:val="0"/>
        </w:rPr>
        <w:t xml:space="preserve">  [Online]. Available:</w:t>
      </w:r>
    </w:p>
    <w:p w:rsidR="00000000" w:rsidDel="00000000" w:rsidP="00000000" w:rsidRDefault="00000000" w:rsidRPr="00000000" w14:paraId="00000066">
      <w:pPr>
        <w:spacing w:after="40" w:line="240" w:lineRule="auto"/>
        <w:ind w:left="259"/>
        <w:jc w:val="both"/>
        <w:rPr>
          <w:sz w:val="16"/>
          <w:szCs w:val="16"/>
        </w:rPr>
      </w:pPr>
      <w:r w:rsidDel="00000000" w:rsidR="00000000" w:rsidRPr="00000000">
        <w:rPr>
          <w:sz w:val="16"/>
          <w:szCs w:val="16"/>
          <w:rtl w:val="0"/>
        </w:rPr>
        <w:t xml:space="preserve">  https://www.ibm.com/downloads/documents/us-en/107a02e94948f4ec.</w:t>
      </w:r>
    </w:p>
    <w:p w:rsidR="00000000" w:rsidDel="00000000" w:rsidP="00000000" w:rsidRDefault="00000000" w:rsidRPr="00000000" w14:paraId="00000067">
      <w:pPr>
        <w:spacing w:after="40" w:line="240" w:lineRule="auto"/>
        <w:ind w:left="259"/>
        <w:jc w:val="both"/>
        <w:rPr>
          <w:sz w:val="16"/>
          <w:szCs w:val="16"/>
        </w:rPr>
      </w:pPr>
      <w:r w:rsidDel="00000000" w:rsidR="00000000" w:rsidRPr="00000000">
        <w:rPr>
          <w:sz w:val="16"/>
          <w:szCs w:val="16"/>
          <w:rtl w:val="0"/>
        </w:rPr>
        <w:t xml:space="preserve">  [Accessed: Jun. 12, 2026].</w:t>
      </w:r>
    </w:p>
    <w:p w:rsidR="00000000" w:rsidDel="00000000" w:rsidP="00000000" w:rsidRDefault="00000000" w:rsidRPr="00000000" w14:paraId="00000068">
      <w:pPr>
        <w:spacing w:after="40" w:line="240" w:lineRule="auto"/>
        <w:ind w:left="259"/>
        <w:jc w:val="both"/>
        <w:rPr>
          <w:sz w:val="16"/>
          <w:szCs w:val="16"/>
        </w:rPr>
      </w:pPr>
      <w:r w:rsidDel="00000000" w:rsidR="00000000" w:rsidRPr="00000000">
        <w:rPr>
          <w:sz w:val="16"/>
          <w:szCs w:val="16"/>
          <w:rtl w:val="0"/>
        </w:rPr>
        <w:t xml:space="preserve">  [6] N. F. Syed, S. W. Shah, A. Shaghaghi, A. Anwar, Z. Baig, and R. Doss,</w:t>
      </w:r>
    </w:p>
    <w:p w:rsidR="00000000" w:rsidDel="00000000" w:rsidP="00000000" w:rsidRDefault="00000000" w:rsidRPr="00000000" w14:paraId="00000069">
      <w:pPr>
        <w:spacing w:after="40" w:line="240" w:lineRule="auto"/>
        <w:ind w:left="259"/>
        <w:jc w:val="both"/>
        <w:rPr>
          <w:sz w:val="16"/>
          <w:szCs w:val="16"/>
        </w:rPr>
      </w:pPr>
      <w:r w:rsidDel="00000000" w:rsidR="00000000" w:rsidRPr="00000000">
        <w:rPr>
          <w:sz w:val="16"/>
          <w:szCs w:val="16"/>
          <w:rtl w:val="0"/>
        </w:rPr>
        <w:t xml:space="preserve">  "Zero trust architecture (ZTA): A comprehensive survey," IEEE Access,</w:t>
      </w:r>
    </w:p>
    <w:p w:rsidR="00000000" w:rsidDel="00000000" w:rsidP="00000000" w:rsidRDefault="00000000" w:rsidRPr="00000000" w14:paraId="0000006A">
      <w:pPr>
        <w:spacing w:after="40" w:line="240" w:lineRule="auto"/>
        <w:ind w:left="259"/>
        <w:jc w:val="both"/>
        <w:rPr>
          <w:sz w:val="16"/>
          <w:szCs w:val="16"/>
        </w:rPr>
      </w:pPr>
      <w:r w:rsidDel="00000000" w:rsidR="00000000" w:rsidRPr="00000000">
        <w:rPr>
          <w:sz w:val="16"/>
          <w:szCs w:val="16"/>
          <w:rtl w:val="0"/>
        </w:rPr>
        <w:t xml:space="preserve">  vol. 10, pp. 57143-57179, 2022. doi: 10.1109/ACCESS.2022.3174679.</w:t>
      </w:r>
    </w:p>
    <w:p w:rsidR="00000000" w:rsidDel="00000000" w:rsidP="00000000" w:rsidRDefault="00000000" w:rsidRPr="00000000" w14:paraId="0000006B">
      <w:pPr>
        <w:spacing w:after="40" w:line="240" w:lineRule="auto"/>
        <w:ind w:left="259"/>
        <w:jc w:val="both"/>
        <w:rPr>
          <w:sz w:val="16"/>
          <w:szCs w:val="16"/>
        </w:rPr>
      </w:pPr>
      <w:r w:rsidDel="00000000" w:rsidR="00000000" w:rsidRPr="00000000">
        <w:rPr>
          <w:sz w:val="16"/>
          <w:szCs w:val="16"/>
          <w:rtl w:val="0"/>
        </w:rPr>
        <w:t xml:space="preserve">  [7] D. Hardt, Ed., "The OAuth 2.0 Authorization Framework," Internet Eng.</w:t>
      </w:r>
    </w:p>
    <w:p w:rsidR="00000000" w:rsidDel="00000000" w:rsidP="00000000" w:rsidRDefault="00000000" w:rsidRPr="00000000" w14:paraId="0000006C">
      <w:pPr>
        <w:spacing w:after="40" w:line="240" w:lineRule="auto"/>
        <w:ind w:left="259"/>
        <w:jc w:val="both"/>
        <w:rPr>
          <w:sz w:val="16"/>
          <w:szCs w:val="16"/>
        </w:rPr>
      </w:pPr>
      <w:r w:rsidDel="00000000" w:rsidR="00000000" w:rsidRPr="00000000">
        <w:rPr>
          <w:sz w:val="16"/>
          <w:szCs w:val="16"/>
          <w:rtl w:val="0"/>
        </w:rPr>
        <w:t xml:space="preserve">  Task Force (IETF), RFC 6749, Oct. 2012.</w:t>
      </w:r>
    </w:p>
    <w:p w:rsidR="00000000" w:rsidDel="00000000" w:rsidP="00000000" w:rsidRDefault="00000000" w:rsidRPr="00000000" w14:paraId="0000006D">
      <w:pPr>
        <w:spacing w:after="40" w:line="240" w:lineRule="auto"/>
        <w:ind w:left="259"/>
        <w:jc w:val="both"/>
        <w:rPr>
          <w:sz w:val="16"/>
          <w:szCs w:val="16"/>
        </w:rPr>
      </w:pPr>
      <w:r w:rsidDel="00000000" w:rsidR="00000000" w:rsidRPr="00000000">
        <w:rPr>
          <w:sz w:val="16"/>
          <w:szCs w:val="16"/>
          <w:rtl w:val="0"/>
        </w:rPr>
        <w:t xml:space="preserve">  [8] N. Sakimura, J. Bradley, M. Jones, B. de Medeiros, and C. Mortimore,</w:t>
      </w:r>
    </w:p>
    <w:p w:rsidR="00000000" w:rsidDel="00000000" w:rsidP="00000000" w:rsidRDefault="00000000" w:rsidRPr="00000000" w14:paraId="0000006E">
      <w:pPr>
        <w:spacing w:after="40" w:line="240" w:lineRule="auto"/>
        <w:ind w:left="259"/>
        <w:jc w:val="both"/>
        <w:rPr>
          <w:sz w:val="16"/>
          <w:szCs w:val="16"/>
        </w:rPr>
      </w:pPr>
      <w:r w:rsidDel="00000000" w:rsidR="00000000" w:rsidRPr="00000000">
        <w:rPr>
          <w:sz w:val="16"/>
          <w:szCs w:val="16"/>
          <w:rtl w:val="0"/>
        </w:rPr>
        <w:t xml:space="preserve">  "OpenID Connect Core 1.0," OpenID Foundation, Nov. 2014. [Online].</w:t>
      </w:r>
    </w:p>
    <w:p w:rsidR="00000000" w:rsidDel="00000000" w:rsidP="00000000" w:rsidRDefault="00000000" w:rsidRPr="00000000" w14:paraId="0000006F">
      <w:pPr>
        <w:spacing w:after="40" w:line="240" w:lineRule="auto"/>
        <w:ind w:left="259"/>
        <w:jc w:val="both"/>
        <w:rPr>
          <w:sz w:val="16"/>
          <w:szCs w:val="16"/>
        </w:rPr>
      </w:pPr>
      <w:r w:rsidDel="00000000" w:rsidR="00000000" w:rsidRPr="00000000">
        <w:rPr>
          <w:sz w:val="16"/>
          <w:szCs w:val="16"/>
          <w:rtl w:val="0"/>
        </w:rPr>
        <w:t xml:space="preserve">  Available: https://openid.net/specs/openid-connect-core-1_0.html.</w:t>
      </w:r>
    </w:p>
    <w:p w:rsidR="00000000" w:rsidDel="00000000" w:rsidP="00000000" w:rsidRDefault="00000000" w:rsidRPr="00000000" w14:paraId="00000070">
      <w:pPr>
        <w:spacing w:after="40" w:line="240" w:lineRule="auto"/>
        <w:ind w:left="259"/>
        <w:jc w:val="both"/>
        <w:rPr>
          <w:sz w:val="16"/>
          <w:szCs w:val="16"/>
        </w:rPr>
      </w:pPr>
      <w:r w:rsidDel="00000000" w:rsidR="00000000" w:rsidRPr="00000000">
        <w:rPr>
          <w:sz w:val="16"/>
          <w:szCs w:val="16"/>
          <w:rtl w:val="0"/>
        </w:rPr>
        <w:t xml:space="preserve">  [Accessed: Jun. 7, 2026].</w:t>
      </w:r>
    </w:p>
    <w:p w:rsidR="00000000" w:rsidDel="00000000" w:rsidP="00000000" w:rsidRDefault="00000000" w:rsidRPr="00000000" w14:paraId="00000071">
      <w:pPr>
        <w:spacing w:after="40" w:line="240" w:lineRule="auto"/>
        <w:ind w:left="259"/>
        <w:jc w:val="both"/>
        <w:rPr>
          <w:sz w:val="16"/>
          <w:szCs w:val="16"/>
        </w:rPr>
      </w:pPr>
      <w:r w:rsidDel="00000000" w:rsidR="00000000" w:rsidRPr="00000000">
        <w:rPr>
          <w:sz w:val="16"/>
          <w:szCs w:val="16"/>
          <w:rtl w:val="0"/>
        </w:rPr>
        <w:t xml:space="preserve">  [9] D. Fett, R. Küsters, and G. Schmitz, "A comprehensive formal security</w:t>
      </w:r>
    </w:p>
    <w:p w:rsidR="00000000" w:rsidDel="00000000" w:rsidP="00000000" w:rsidRDefault="00000000" w:rsidRPr="00000000" w14:paraId="00000072">
      <w:pPr>
        <w:spacing w:after="40" w:line="240" w:lineRule="auto"/>
        <w:ind w:left="259"/>
        <w:jc w:val="both"/>
        <w:rPr>
          <w:sz w:val="16"/>
          <w:szCs w:val="16"/>
        </w:rPr>
      </w:pPr>
      <w:r w:rsidDel="00000000" w:rsidR="00000000" w:rsidRPr="00000000">
        <w:rPr>
          <w:sz w:val="16"/>
          <w:szCs w:val="16"/>
          <w:rtl w:val="0"/>
        </w:rPr>
        <w:t xml:space="preserve">  analysis of OAuth 2.0," in Proc. 2016 ACM SIGSAC Conf. Computer and</w:t>
      </w:r>
    </w:p>
    <w:p w:rsidR="00000000" w:rsidDel="00000000" w:rsidP="00000000" w:rsidRDefault="00000000" w:rsidRPr="00000000" w14:paraId="00000073">
      <w:pPr>
        <w:spacing w:after="40" w:line="240" w:lineRule="auto"/>
        <w:ind w:left="259"/>
        <w:jc w:val="both"/>
        <w:rPr>
          <w:sz w:val="16"/>
          <w:szCs w:val="16"/>
        </w:rPr>
      </w:pPr>
      <w:r w:rsidDel="00000000" w:rsidR="00000000" w:rsidRPr="00000000">
        <w:rPr>
          <w:sz w:val="16"/>
          <w:szCs w:val="16"/>
          <w:rtl w:val="0"/>
        </w:rPr>
        <w:t xml:space="preserve">  Communications Security (CCS '16), Vienna, Austria, Oct. 2016, pp.</w:t>
      </w:r>
    </w:p>
    <w:p w:rsidR="00000000" w:rsidDel="00000000" w:rsidP="00000000" w:rsidRDefault="00000000" w:rsidRPr="00000000" w14:paraId="00000074">
      <w:pPr>
        <w:spacing w:after="40" w:line="240" w:lineRule="auto"/>
        <w:ind w:left="259"/>
        <w:jc w:val="both"/>
        <w:rPr>
          <w:sz w:val="16"/>
          <w:szCs w:val="16"/>
        </w:rPr>
      </w:pPr>
      <w:r w:rsidDel="00000000" w:rsidR="00000000" w:rsidRPr="00000000">
        <w:rPr>
          <w:sz w:val="16"/>
          <w:szCs w:val="16"/>
          <w:rtl w:val="0"/>
        </w:rPr>
        <w:t xml:space="preserve">  1204-1215. doi: 10.1145/2976749.2978385.</w:t>
      </w:r>
    </w:p>
    <w:p w:rsidR="00000000" w:rsidDel="00000000" w:rsidP="00000000" w:rsidRDefault="00000000" w:rsidRPr="00000000" w14:paraId="00000075">
      <w:pPr>
        <w:spacing w:after="40" w:line="240" w:lineRule="auto"/>
        <w:ind w:left="259"/>
        <w:jc w:val="both"/>
        <w:rPr>
          <w:sz w:val="16"/>
          <w:szCs w:val="16"/>
        </w:rPr>
      </w:pPr>
      <w:r w:rsidDel="00000000" w:rsidR="00000000" w:rsidRPr="00000000">
        <w:rPr>
          <w:sz w:val="16"/>
          <w:szCs w:val="16"/>
          <w:rtl w:val="0"/>
        </w:rPr>
        <w:t xml:space="preserve">  [10] M. Jones, J. Bradley, and N. Sakimura, "JSON Web Token (JWT),"</w:t>
      </w:r>
    </w:p>
    <w:p w:rsidR="00000000" w:rsidDel="00000000" w:rsidP="00000000" w:rsidRDefault="00000000" w:rsidRPr="00000000" w14:paraId="00000076">
      <w:pPr>
        <w:spacing w:after="40" w:line="240" w:lineRule="auto"/>
        <w:ind w:left="259"/>
        <w:jc w:val="both"/>
        <w:rPr>
          <w:sz w:val="16"/>
          <w:szCs w:val="16"/>
        </w:rPr>
      </w:pPr>
      <w:r w:rsidDel="00000000" w:rsidR="00000000" w:rsidRPr="00000000">
        <w:rPr>
          <w:sz w:val="16"/>
          <w:szCs w:val="16"/>
          <w:rtl w:val="0"/>
        </w:rPr>
        <w:t xml:space="preserve">  Internet Eng. Task Force (IETF), RFC 7519, May 2015.</w:t>
      </w:r>
    </w:p>
    <w:p w:rsidR="00000000" w:rsidDel="00000000" w:rsidP="00000000" w:rsidRDefault="00000000" w:rsidRPr="00000000" w14:paraId="00000077">
      <w:pPr>
        <w:spacing w:after="40" w:line="240" w:lineRule="auto"/>
        <w:ind w:left="259"/>
        <w:jc w:val="both"/>
        <w:rPr>
          <w:sz w:val="16"/>
          <w:szCs w:val="16"/>
        </w:rPr>
      </w:pPr>
      <w:r w:rsidDel="00000000" w:rsidR="00000000" w:rsidRPr="00000000">
        <w:rPr>
          <w:sz w:val="16"/>
          <w:szCs w:val="16"/>
          <w:rtl w:val="0"/>
        </w:rPr>
        <w:t xml:space="preserve">  [11] D. M'Raihi, S. Machani, M. Pei, and J. Rydell, "TOTP: Time-Based</w:t>
      </w:r>
    </w:p>
    <w:p w:rsidR="00000000" w:rsidDel="00000000" w:rsidP="00000000" w:rsidRDefault="00000000" w:rsidRPr="00000000" w14:paraId="00000078">
      <w:pPr>
        <w:spacing w:after="40" w:line="240" w:lineRule="auto"/>
        <w:ind w:left="259"/>
        <w:jc w:val="both"/>
        <w:rPr>
          <w:sz w:val="16"/>
          <w:szCs w:val="16"/>
        </w:rPr>
      </w:pPr>
      <w:r w:rsidDel="00000000" w:rsidR="00000000" w:rsidRPr="00000000">
        <w:rPr>
          <w:sz w:val="16"/>
          <w:szCs w:val="16"/>
          <w:rtl w:val="0"/>
        </w:rPr>
        <w:t xml:space="preserve">  One-Time Password Algorithm," Internet Eng. Task Force (IETF), RFC 6238,</w:t>
      </w:r>
    </w:p>
    <w:p w:rsidR="00000000" w:rsidDel="00000000" w:rsidP="00000000" w:rsidRDefault="00000000" w:rsidRPr="00000000" w14:paraId="00000079">
      <w:pPr>
        <w:spacing w:after="40" w:line="240" w:lineRule="auto"/>
        <w:ind w:left="259"/>
        <w:jc w:val="both"/>
        <w:rPr>
          <w:sz w:val="16"/>
          <w:szCs w:val="16"/>
        </w:rPr>
      </w:pPr>
      <w:r w:rsidDel="00000000" w:rsidR="00000000" w:rsidRPr="00000000">
        <w:rPr>
          <w:sz w:val="16"/>
          <w:szCs w:val="16"/>
          <w:rtl w:val="0"/>
        </w:rPr>
        <w:t xml:space="preserve">  May 2011.</w:t>
      </w:r>
    </w:p>
    <w:p w:rsidR="00000000" w:rsidDel="00000000" w:rsidP="00000000" w:rsidRDefault="00000000" w:rsidRPr="00000000" w14:paraId="0000007A">
      <w:pPr>
        <w:spacing w:after="40" w:line="240" w:lineRule="auto"/>
        <w:ind w:left="259"/>
        <w:jc w:val="both"/>
        <w:rPr>
          <w:sz w:val="16"/>
          <w:szCs w:val="16"/>
        </w:rPr>
      </w:pPr>
      <w:r w:rsidDel="00000000" w:rsidR="00000000" w:rsidRPr="00000000">
        <w:rPr>
          <w:sz w:val="16"/>
          <w:szCs w:val="16"/>
          <w:rtl w:val="0"/>
        </w:rPr>
        <w:t xml:space="preserve">  [12] M. Kepkowski, M. Machulak, I. Wood, and D. Kaafar, "Challenges with</w:t>
      </w:r>
    </w:p>
    <w:p w:rsidR="00000000" w:rsidDel="00000000" w:rsidP="00000000" w:rsidRDefault="00000000" w:rsidRPr="00000000" w14:paraId="0000007B">
      <w:pPr>
        <w:spacing w:after="40" w:line="240" w:lineRule="auto"/>
        <w:ind w:left="259"/>
        <w:jc w:val="both"/>
        <w:rPr>
          <w:sz w:val="16"/>
          <w:szCs w:val="16"/>
        </w:rPr>
      </w:pPr>
      <w:r w:rsidDel="00000000" w:rsidR="00000000" w:rsidRPr="00000000">
        <w:rPr>
          <w:sz w:val="16"/>
          <w:szCs w:val="16"/>
          <w:rtl w:val="0"/>
        </w:rPr>
        <w:t xml:space="preserve">  passwordless FIDO2 in an enterprise setting: A usability study," in Proc.</w:t>
      </w:r>
    </w:p>
    <w:p w:rsidR="00000000" w:rsidDel="00000000" w:rsidP="00000000" w:rsidRDefault="00000000" w:rsidRPr="00000000" w14:paraId="0000007C">
      <w:pPr>
        <w:spacing w:after="40" w:line="240" w:lineRule="auto"/>
        <w:ind w:left="259"/>
        <w:jc w:val="both"/>
        <w:rPr>
          <w:sz w:val="16"/>
          <w:szCs w:val="16"/>
        </w:rPr>
      </w:pPr>
      <w:r w:rsidDel="00000000" w:rsidR="00000000" w:rsidRPr="00000000">
        <w:rPr>
          <w:sz w:val="16"/>
          <w:szCs w:val="16"/>
          <w:rtl w:val="0"/>
        </w:rPr>
        <w:t xml:space="preserve">  2023 IEEE Secure Development Conf. (SecDev), Atlanta, GA, USA, Oct.</w:t>
      </w:r>
    </w:p>
    <w:p w:rsidR="00000000" w:rsidDel="00000000" w:rsidP="00000000" w:rsidRDefault="00000000" w:rsidRPr="00000000" w14:paraId="0000007D">
      <w:pPr>
        <w:spacing w:after="40" w:line="240" w:lineRule="auto"/>
        <w:ind w:left="259"/>
        <w:jc w:val="both"/>
        <w:rPr>
          <w:sz w:val="16"/>
          <w:szCs w:val="16"/>
        </w:rPr>
      </w:pPr>
      <w:r w:rsidDel="00000000" w:rsidR="00000000" w:rsidRPr="00000000">
        <w:rPr>
          <w:sz w:val="16"/>
          <w:szCs w:val="16"/>
          <w:rtl w:val="0"/>
        </w:rPr>
        <w:t xml:space="preserve">  2023, pp. 37-48. doi: 10.1109/SecDev56634.2023.00017.</w:t>
      </w:r>
    </w:p>
    <w:p w:rsidR="00000000" w:rsidDel="00000000" w:rsidP="00000000" w:rsidRDefault="00000000" w:rsidRPr="00000000" w14:paraId="0000007E">
      <w:pPr>
        <w:spacing w:after="40" w:line="240" w:lineRule="auto"/>
        <w:ind w:left="259"/>
        <w:jc w:val="both"/>
        <w:rPr>
          <w:sz w:val="16"/>
          <w:szCs w:val="16"/>
        </w:rPr>
      </w:pPr>
      <w:r w:rsidDel="00000000" w:rsidR="00000000" w:rsidRPr="00000000">
        <w:rPr>
          <w:sz w:val="16"/>
          <w:szCs w:val="16"/>
          <w:rtl w:val="0"/>
        </w:rPr>
        <w:t xml:space="preserve">  [13] T. Baumer, S. Kern, L. Fuchs, and G. Pernul, "Identity and access</w:t>
      </w:r>
    </w:p>
    <w:p w:rsidR="00000000" w:rsidDel="00000000" w:rsidP="00000000" w:rsidRDefault="00000000" w:rsidRPr="00000000" w14:paraId="0000007F">
      <w:pPr>
        <w:spacing w:after="40" w:line="240" w:lineRule="auto"/>
        <w:ind w:left="259"/>
        <w:jc w:val="both"/>
        <w:rPr>
          <w:sz w:val="16"/>
          <w:szCs w:val="16"/>
        </w:rPr>
      </w:pPr>
      <w:r w:rsidDel="00000000" w:rsidR="00000000" w:rsidRPr="00000000">
        <w:rPr>
          <w:sz w:val="16"/>
          <w:szCs w:val="16"/>
          <w:rtl w:val="0"/>
        </w:rPr>
        <w:t xml:space="preserve">  management metrics: A systematic review," ACM Comput. Surv., vol. 58, no.</w:t>
      </w:r>
    </w:p>
    <w:p w:rsidR="00000000" w:rsidDel="00000000" w:rsidP="00000000" w:rsidRDefault="00000000" w:rsidRPr="00000000" w14:paraId="00000080">
      <w:pPr>
        <w:spacing w:after="40" w:line="240" w:lineRule="auto"/>
        <w:ind w:left="259"/>
        <w:jc w:val="both"/>
        <w:rPr>
          <w:sz w:val="16"/>
          <w:szCs w:val="16"/>
        </w:rPr>
      </w:pPr>
      <w:r w:rsidDel="00000000" w:rsidR="00000000" w:rsidRPr="00000000">
        <w:rPr>
          <w:sz w:val="16"/>
          <w:szCs w:val="16"/>
          <w:rtl w:val="0"/>
        </w:rPr>
        <w:t xml:space="preserve">  8, Art. no. 213, 2026. doi: 10.1145/3788858.</w:t>
      </w:r>
    </w:p>
    <w:p w:rsidR="00000000" w:rsidDel="00000000" w:rsidP="00000000" w:rsidRDefault="00000000" w:rsidRPr="00000000" w14:paraId="00000081">
      <w:pPr>
        <w:spacing w:after="40" w:line="240" w:lineRule="auto"/>
        <w:ind w:left="259"/>
        <w:jc w:val="both"/>
        <w:rPr>
          <w:sz w:val="16"/>
          <w:szCs w:val="16"/>
        </w:rPr>
      </w:pPr>
      <w:r w:rsidDel="00000000" w:rsidR="00000000" w:rsidRPr="00000000">
        <w:rPr>
          <w:sz w:val="16"/>
          <w:szCs w:val="16"/>
          <w:rtl w:val="0"/>
        </w:rPr>
        <w:t xml:space="preserve">  [14] S. Simpson and T. Groß, "A survey of security analysis in federated</w:t>
      </w:r>
    </w:p>
    <w:p w:rsidR="00000000" w:rsidDel="00000000" w:rsidP="00000000" w:rsidRDefault="00000000" w:rsidRPr="00000000" w14:paraId="00000082">
      <w:pPr>
        <w:spacing w:after="40" w:line="240" w:lineRule="auto"/>
        <w:ind w:left="259"/>
        <w:jc w:val="both"/>
        <w:rPr>
          <w:sz w:val="16"/>
          <w:szCs w:val="16"/>
        </w:rPr>
      </w:pPr>
      <w:r w:rsidDel="00000000" w:rsidR="00000000" w:rsidRPr="00000000">
        <w:rPr>
          <w:sz w:val="16"/>
          <w:szCs w:val="16"/>
          <w:rtl w:val="0"/>
        </w:rPr>
        <w:t xml:space="preserve">  identity management," in Privacy and Identity Management. Facing up to</w:t>
      </w:r>
    </w:p>
    <w:p w:rsidR="00000000" w:rsidDel="00000000" w:rsidP="00000000" w:rsidRDefault="00000000" w:rsidRPr="00000000" w14:paraId="00000083">
      <w:pPr>
        <w:spacing w:after="40" w:line="240" w:lineRule="auto"/>
        <w:ind w:left="259"/>
        <w:jc w:val="both"/>
        <w:rPr>
          <w:sz w:val="16"/>
          <w:szCs w:val="16"/>
        </w:rPr>
      </w:pPr>
      <w:r w:rsidDel="00000000" w:rsidR="00000000" w:rsidRPr="00000000">
        <w:rPr>
          <w:sz w:val="16"/>
          <w:szCs w:val="16"/>
          <w:rtl w:val="0"/>
        </w:rPr>
        <w:t xml:space="preserve">  Next Steps (IFIP Advances in Information and Communication Technology,</w:t>
      </w:r>
    </w:p>
    <w:p w:rsidR="00000000" w:rsidDel="00000000" w:rsidP="00000000" w:rsidRDefault="00000000" w:rsidRPr="00000000" w14:paraId="00000084">
      <w:pPr>
        <w:spacing w:after="40" w:line="240" w:lineRule="auto"/>
        <w:ind w:left="259"/>
        <w:jc w:val="both"/>
        <w:rPr>
          <w:sz w:val="16"/>
          <w:szCs w:val="16"/>
        </w:rPr>
      </w:pPr>
      <w:r w:rsidDel="00000000" w:rsidR="00000000" w:rsidRPr="00000000">
        <w:rPr>
          <w:sz w:val="16"/>
          <w:szCs w:val="16"/>
          <w:rtl w:val="0"/>
        </w:rPr>
        <w:t xml:space="preserve">  vol. 498), A. Lehmann, D. Whitehouse, S. Fischer-Hübner, L. Fritsch, and</w:t>
      </w:r>
    </w:p>
    <w:p w:rsidR="00000000" w:rsidDel="00000000" w:rsidP="00000000" w:rsidRDefault="00000000" w:rsidRPr="00000000" w14:paraId="00000085">
      <w:pPr>
        <w:spacing w:after="40" w:line="240" w:lineRule="auto"/>
        <w:ind w:left="259"/>
        <w:jc w:val="both"/>
        <w:rPr>
          <w:sz w:val="16"/>
          <w:szCs w:val="16"/>
        </w:rPr>
      </w:pPr>
      <w:r w:rsidDel="00000000" w:rsidR="00000000" w:rsidRPr="00000000">
        <w:rPr>
          <w:sz w:val="16"/>
          <w:szCs w:val="16"/>
          <w:rtl w:val="0"/>
        </w:rPr>
        <w:t xml:space="preserve">  C. Raab, Eds. Cham, Switzerland: Springer, 2016, pp. 231-247. doi:</w:t>
      </w:r>
    </w:p>
    <w:p w:rsidR="00000000" w:rsidDel="00000000" w:rsidP="00000000" w:rsidRDefault="00000000" w:rsidRPr="00000000" w14:paraId="00000086">
      <w:pPr>
        <w:spacing w:after="40" w:line="240" w:lineRule="auto"/>
        <w:ind w:left="259"/>
        <w:jc w:val="both"/>
        <w:rPr>
          <w:sz w:val="16"/>
          <w:szCs w:val="16"/>
        </w:rPr>
      </w:pPr>
      <w:r w:rsidDel="00000000" w:rsidR="00000000" w:rsidRPr="00000000">
        <w:rPr>
          <w:sz w:val="16"/>
          <w:szCs w:val="16"/>
          <w:rtl w:val="0"/>
        </w:rPr>
        <w:t xml:space="preserve">  10.1007/978-3-319-55783-0_16.</w:t>
      </w:r>
    </w:p>
    <w:p w:rsidR="00000000" w:rsidDel="00000000" w:rsidP="00000000" w:rsidRDefault="00000000" w:rsidRPr="00000000" w14:paraId="00000087">
      <w:pPr>
        <w:spacing w:after="40" w:line="240" w:lineRule="auto"/>
        <w:ind w:left="259"/>
        <w:jc w:val="both"/>
        <w:rPr>
          <w:sz w:val="16"/>
          <w:szCs w:val="16"/>
        </w:rPr>
      </w:pPr>
      <w:r w:rsidDel="00000000" w:rsidR="00000000" w:rsidRPr="00000000">
        <w:rPr>
          <w:sz w:val="16"/>
          <w:szCs w:val="16"/>
          <w:rtl w:val="0"/>
        </w:rPr>
        <w:t xml:space="preserve">  [15] B. Guthrie, N. Harris, A. Data, and J. Murphy, "Magic Quadrant for</w:t>
      </w:r>
    </w:p>
    <w:p w:rsidR="00000000" w:rsidDel="00000000" w:rsidP="00000000" w:rsidRDefault="00000000" w:rsidRPr="00000000" w14:paraId="00000088">
      <w:pPr>
        <w:spacing w:after="40" w:line="240" w:lineRule="auto"/>
        <w:ind w:left="259"/>
        <w:jc w:val="both"/>
        <w:rPr>
          <w:sz w:val="16"/>
          <w:szCs w:val="16"/>
        </w:rPr>
      </w:pPr>
      <w:r w:rsidDel="00000000" w:rsidR="00000000" w:rsidRPr="00000000">
        <w:rPr>
          <w:sz w:val="16"/>
          <w:szCs w:val="16"/>
          <w:rtl w:val="0"/>
        </w:rPr>
        <w:t xml:space="preserve">  Access Management," Gartner, Stamford, CT, USA, Dec. 2, 2024. [Online].</w:t>
      </w:r>
    </w:p>
    <w:p w:rsidR="00000000" w:rsidDel="00000000" w:rsidP="00000000" w:rsidRDefault="00000000" w:rsidRPr="00000000" w14:paraId="00000089">
      <w:pPr>
        <w:spacing w:after="40" w:line="240" w:lineRule="auto"/>
        <w:ind w:left="259"/>
        <w:jc w:val="both"/>
        <w:rPr>
          <w:sz w:val="16"/>
          <w:szCs w:val="16"/>
        </w:rPr>
      </w:pPr>
      <w:r w:rsidDel="00000000" w:rsidR="00000000" w:rsidRPr="00000000">
        <w:rPr>
          <w:sz w:val="16"/>
          <w:szCs w:val="16"/>
          <w:rtl w:val="0"/>
        </w:rPr>
        <w:t xml:space="preserve">  Available: vendor reprints via Okta, Microsoft, and Ping Identity.</w:t>
      </w:r>
    </w:p>
    <w:p w:rsidR="00000000" w:rsidDel="00000000" w:rsidP="00000000" w:rsidRDefault="00000000" w:rsidRPr="00000000" w14:paraId="0000008A">
      <w:pPr>
        <w:spacing w:after="40" w:line="240" w:lineRule="auto"/>
        <w:ind w:left="259"/>
        <w:jc w:val="both"/>
        <w:rPr>
          <w:sz w:val="16"/>
          <w:szCs w:val="16"/>
        </w:rPr>
      </w:pPr>
      <w:r w:rsidDel="00000000" w:rsidR="00000000" w:rsidRPr="00000000">
        <w:rPr>
          <w:sz w:val="16"/>
          <w:szCs w:val="16"/>
          <w:rtl w:val="0"/>
        </w:rPr>
        <w:t xml:space="preserve">  [Accessed: Jun. 8, 2026].</w:t>
      </w:r>
    </w:p>
    <w:p w:rsidR="00000000" w:rsidDel="00000000" w:rsidP="00000000" w:rsidRDefault="00000000" w:rsidRPr="00000000" w14:paraId="0000008B">
      <w:pPr>
        <w:spacing w:after="40" w:line="240" w:lineRule="auto"/>
        <w:ind w:left="259"/>
        <w:jc w:val="both"/>
        <w:rPr>
          <w:sz w:val="16"/>
          <w:szCs w:val="16"/>
        </w:rPr>
      </w:pPr>
      <w:r w:rsidDel="00000000" w:rsidR="00000000" w:rsidRPr="00000000">
        <w:rPr>
          <w:sz w:val="16"/>
          <w:szCs w:val="16"/>
          <w:rtl w:val="0"/>
        </w:rPr>
        <w:t xml:space="preserve">  [16] Auth0 by Okta, "Customer Identity and Access Management (CIAM)."</w:t>
      </w:r>
    </w:p>
    <w:p w:rsidR="00000000" w:rsidDel="00000000" w:rsidP="00000000" w:rsidRDefault="00000000" w:rsidRPr="00000000" w14:paraId="0000008C">
      <w:pPr>
        <w:spacing w:after="40" w:line="240" w:lineRule="auto"/>
        <w:ind w:left="259"/>
        <w:jc w:val="both"/>
        <w:rPr>
          <w:sz w:val="16"/>
          <w:szCs w:val="16"/>
        </w:rPr>
      </w:pPr>
      <w:r w:rsidDel="00000000" w:rsidR="00000000" w:rsidRPr="00000000">
        <w:rPr>
          <w:sz w:val="16"/>
          <w:szCs w:val="16"/>
          <w:rtl w:val="0"/>
        </w:rPr>
        <w:t xml:space="preserve">  [Online]. Available: https://auth0.com/ciam. [Accessed: Jun. 6, 2026].</w:t>
      </w:r>
    </w:p>
    <w:p w:rsidR="00000000" w:rsidDel="00000000" w:rsidP="00000000" w:rsidRDefault="00000000" w:rsidRPr="00000000" w14:paraId="0000008D">
      <w:pPr>
        <w:spacing w:after="40" w:line="240" w:lineRule="auto"/>
        <w:ind w:left="259"/>
        <w:jc w:val="both"/>
        <w:rPr>
          <w:sz w:val="16"/>
          <w:szCs w:val="16"/>
        </w:rPr>
      </w:pPr>
      <w:r w:rsidDel="00000000" w:rsidR="00000000" w:rsidRPr="00000000">
        <w:rPr>
          <w:sz w:val="16"/>
          <w:szCs w:val="16"/>
          <w:rtl w:val="0"/>
        </w:rPr>
        <w:t xml:space="preserve">  [17] Microsoft, "Microsoft Entra External ID documentation." [Online].</w:t>
      </w:r>
    </w:p>
    <w:p w:rsidR="00000000" w:rsidDel="00000000" w:rsidP="00000000" w:rsidRDefault="00000000" w:rsidRPr="00000000" w14:paraId="0000008E">
      <w:pPr>
        <w:spacing w:after="40" w:line="240" w:lineRule="auto"/>
        <w:ind w:left="259"/>
        <w:jc w:val="both"/>
        <w:rPr>
          <w:sz w:val="16"/>
          <w:szCs w:val="16"/>
        </w:rPr>
      </w:pPr>
      <w:r w:rsidDel="00000000" w:rsidR="00000000" w:rsidRPr="00000000">
        <w:rPr>
          <w:sz w:val="16"/>
          <w:szCs w:val="16"/>
          <w:rtl w:val="0"/>
        </w:rPr>
        <w:t xml:space="preserve">  Available: https://learn.microsoft.com/entra/external-id/. [Accessed:</w:t>
      </w:r>
    </w:p>
    <w:p w:rsidR="00000000" w:rsidDel="00000000" w:rsidP="00000000" w:rsidRDefault="00000000" w:rsidRPr="00000000" w14:paraId="0000008F">
      <w:pPr>
        <w:spacing w:after="40" w:line="240" w:lineRule="auto"/>
        <w:ind w:left="259"/>
        <w:jc w:val="both"/>
        <w:rPr>
          <w:sz w:val="16"/>
          <w:szCs w:val="16"/>
        </w:rPr>
      </w:pPr>
      <w:r w:rsidDel="00000000" w:rsidR="00000000" w:rsidRPr="00000000">
        <w:rPr>
          <w:sz w:val="16"/>
          <w:szCs w:val="16"/>
          <w:rtl w:val="0"/>
        </w:rPr>
        <w:t xml:space="preserve">  Jun. 6, 2026].</w:t>
      </w:r>
    </w:p>
    <w:p w:rsidR="00000000" w:rsidDel="00000000" w:rsidP="00000000" w:rsidRDefault="00000000" w:rsidRPr="00000000" w14:paraId="00000090">
      <w:pPr>
        <w:spacing w:after="40" w:line="240" w:lineRule="auto"/>
        <w:ind w:left="259"/>
        <w:jc w:val="both"/>
        <w:rPr>
          <w:sz w:val="16"/>
          <w:szCs w:val="16"/>
        </w:rPr>
      </w:pPr>
      <w:r w:rsidDel="00000000" w:rsidR="00000000" w:rsidRPr="00000000">
        <w:rPr>
          <w:sz w:val="16"/>
          <w:szCs w:val="16"/>
          <w:rtl w:val="0"/>
        </w:rPr>
        <w:t xml:space="preserve">  [18] Ping Identity, "Product documentation." [Online]. Available:</w:t>
      </w:r>
    </w:p>
    <w:p w:rsidR="00000000" w:rsidDel="00000000" w:rsidP="00000000" w:rsidRDefault="00000000" w:rsidRPr="00000000" w14:paraId="00000091">
      <w:pPr>
        <w:spacing w:after="40" w:line="240" w:lineRule="auto"/>
        <w:ind w:left="259"/>
        <w:jc w:val="both"/>
        <w:rPr>
          <w:sz w:val="16"/>
          <w:szCs w:val="16"/>
        </w:rPr>
      </w:pPr>
      <w:r w:rsidDel="00000000" w:rsidR="00000000" w:rsidRPr="00000000">
        <w:rPr>
          <w:sz w:val="16"/>
          <w:szCs w:val="16"/>
          <w:rtl w:val="0"/>
        </w:rPr>
        <w:t xml:space="preserve">  https://docs.pingidentity.com/. [Accessed: Jun. 6, 2026].</w:t>
      </w:r>
    </w:p>
    <w:p w:rsidR="00000000" w:rsidDel="00000000" w:rsidP="00000000" w:rsidRDefault="00000000" w:rsidRPr="00000000" w14:paraId="00000092">
      <w:pPr>
        <w:spacing w:after="40" w:line="240" w:lineRule="auto"/>
        <w:ind w:left="259"/>
        <w:jc w:val="both"/>
        <w:rPr>
          <w:sz w:val="16"/>
          <w:szCs w:val="16"/>
        </w:rPr>
      </w:pPr>
      <w:r w:rsidDel="00000000" w:rsidR="00000000" w:rsidRPr="00000000">
        <w:rPr>
          <w:sz w:val="16"/>
          <w:szCs w:val="16"/>
          <w:rtl w:val="0"/>
        </w:rPr>
        <w:t xml:space="preserve">  [19] Amazon Web Services, "Amazon Cognito Developer Guide." [Online].</w:t>
      </w:r>
    </w:p>
    <w:p w:rsidR="00000000" w:rsidDel="00000000" w:rsidP="00000000" w:rsidRDefault="00000000" w:rsidRPr="00000000" w14:paraId="00000093">
      <w:pPr>
        <w:spacing w:after="40" w:line="240" w:lineRule="auto"/>
        <w:ind w:left="259"/>
        <w:jc w:val="both"/>
        <w:rPr>
          <w:sz w:val="16"/>
          <w:szCs w:val="16"/>
        </w:rPr>
      </w:pPr>
      <w:r w:rsidDel="00000000" w:rsidR="00000000" w:rsidRPr="00000000">
        <w:rPr>
          <w:sz w:val="16"/>
          <w:szCs w:val="16"/>
          <w:rtl w:val="0"/>
        </w:rPr>
        <w:t xml:space="preserve">  Available: https://docs.aws.amazon.com/cognito/. [Accessed: Jun. 8,</w:t>
      </w:r>
    </w:p>
    <w:p w:rsidR="00000000" w:rsidDel="00000000" w:rsidP="00000000" w:rsidRDefault="00000000" w:rsidRPr="00000000" w14:paraId="00000094">
      <w:pPr>
        <w:spacing w:after="40" w:line="240" w:lineRule="auto"/>
        <w:ind w:left="259"/>
        <w:jc w:val="both"/>
        <w:rPr>
          <w:sz w:val="16"/>
          <w:szCs w:val="16"/>
        </w:rPr>
      </w:pPr>
      <w:r w:rsidDel="00000000" w:rsidR="00000000" w:rsidRPr="00000000">
        <w:rPr>
          <w:sz w:val="16"/>
          <w:szCs w:val="16"/>
          <w:rtl w:val="0"/>
        </w:rPr>
        <w:t xml:space="preserve">  2026].</w:t>
      </w:r>
    </w:p>
    <w:p w:rsidR="00000000" w:rsidDel="00000000" w:rsidP="00000000" w:rsidRDefault="00000000" w:rsidRPr="00000000" w14:paraId="00000095">
      <w:pPr>
        <w:spacing w:after="40" w:line="240" w:lineRule="auto"/>
        <w:ind w:left="259"/>
        <w:jc w:val="both"/>
        <w:rPr>
          <w:sz w:val="16"/>
          <w:szCs w:val="16"/>
        </w:rPr>
      </w:pPr>
      <w:r w:rsidDel="00000000" w:rsidR="00000000" w:rsidRPr="00000000">
        <w:rPr>
          <w:sz w:val="16"/>
          <w:szCs w:val="16"/>
          <w:rtl w:val="0"/>
        </w:rPr>
        <w:t xml:space="preserve">  [20] Keycloak, "Keycloak Documentation." [Online]. Available:</w:t>
      </w:r>
    </w:p>
    <w:p w:rsidR="00000000" w:rsidDel="00000000" w:rsidP="00000000" w:rsidRDefault="00000000" w:rsidRPr="00000000" w14:paraId="00000096">
      <w:pPr>
        <w:spacing w:after="40" w:line="240" w:lineRule="auto"/>
        <w:ind w:left="259"/>
        <w:jc w:val="both"/>
        <w:rPr>
          <w:sz w:val="16"/>
          <w:szCs w:val="16"/>
        </w:rPr>
      </w:pPr>
      <w:r w:rsidDel="00000000" w:rsidR="00000000" w:rsidRPr="00000000">
        <w:rPr>
          <w:sz w:val="16"/>
          <w:szCs w:val="16"/>
          <w:rtl w:val="0"/>
        </w:rPr>
        <w:t xml:space="preserve">  https://www.keycloak.org/documentation. [Accessed: Jun. 6, 2026].</w:t>
      </w:r>
    </w:p>
    <w:p w:rsidR="00000000" w:rsidDel="00000000" w:rsidP="00000000" w:rsidRDefault="00000000" w:rsidRPr="00000000" w14:paraId="00000097">
      <w:pPr>
        <w:spacing w:after="40" w:line="240" w:lineRule="auto"/>
        <w:ind w:left="259"/>
        <w:jc w:val="both"/>
        <w:rPr>
          <w:sz w:val="16"/>
          <w:szCs w:val="16"/>
        </w:rPr>
      </w:pPr>
      <w:r w:rsidDel="00000000" w:rsidR="00000000" w:rsidRPr="00000000">
        <w:rPr>
          <w:sz w:val="16"/>
          <w:szCs w:val="16"/>
          <w:rtl w:val="0"/>
        </w:rPr>
        <w:t xml:space="preserve">  [21] Grand View Research, "Customer Identity and Access Management Market</w:t>
      </w:r>
    </w:p>
    <w:p w:rsidR="00000000" w:rsidDel="00000000" w:rsidP="00000000" w:rsidRDefault="00000000" w:rsidRPr="00000000" w14:paraId="00000098">
      <w:pPr>
        <w:spacing w:after="40" w:line="240" w:lineRule="auto"/>
        <w:ind w:left="259"/>
        <w:jc w:val="both"/>
        <w:rPr>
          <w:sz w:val="16"/>
          <w:szCs w:val="16"/>
        </w:rPr>
      </w:pPr>
      <w:r w:rsidDel="00000000" w:rsidR="00000000" w:rsidRPr="00000000">
        <w:rPr>
          <w:sz w:val="16"/>
          <w:szCs w:val="16"/>
          <w:rtl w:val="0"/>
        </w:rPr>
        <w:t xml:space="preserve">  Size, Share &amp; Trends Report, 2030," 2024. [Online]. Available:</w:t>
      </w:r>
    </w:p>
    <w:p w:rsidR="00000000" w:rsidDel="00000000" w:rsidP="00000000" w:rsidRDefault="00000000" w:rsidRPr="00000000" w14:paraId="00000099">
      <w:pPr>
        <w:spacing w:after="40" w:line="240" w:lineRule="auto"/>
        <w:ind w:left="259"/>
        <w:jc w:val="both"/>
        <w:rPr>
          <w:sz w:val="16"/>
          <w:szCs w:val="16"/>
        </w:rPr>
      </w:pPr>
      <w:r w:rsidDel="00000000" w:rsidR="00000000" w:rsidRPr="00000000">
        <w:rPr>
          <w:sz w:val="16"/>
          <w:szCs w:val="16"/>
          <w:rtl w:val="0"/>
        </w:rPr>
        <w:t xml:space="preserve">  https://www.grandviewresearch.com/. [Accessed: Jun. 7, 2026].</w:t>
      </w:r>
    </w:p>
    <w:p w:rsidR="00000000" w:rsidDel="00000000" w:rsidP="00000000" w:rsidRDefault="00000000" w:rsidRPr="00000000" w14:paraId="0000009A">
      <w:pPr>
        <w:spacing w:after="40" w:line="240" w:lineRule="auto"/>
        <w:ind w:left="259"/>
        <w:jc w:val="both"/>
        <w:rPr>
          <w:sz w:val="16"/>
          <w:szCs w:val="16"/>
        </w:rPr>
      </w:pPr>
      <w:r w:rsidDel="00000000" w:rsidR="00000000" w:rsidRPr="00000000">
        <w:rPr>
          <w:sz w:val="16"/>
          <w:szCs w:val="16"/>
          <w:rtl w:val="0"/>
        </w:rPr>
        <w:t xml:space="preserve">  [22] U.S. Chamber of Commerce, "Small Business Data Center." [Online].</w:t>
      </w:r>
    </w:p>
    <w:p w:rsidR="00000000" w:rsidDel="00000000" w:rsidP="00000000" w:rsidRDefault="00000000" w:rsidRPr="00000000" w14:paraId="0000009B">
      <w:pPr>
        <w:spacing w:after="40" w:line="240" w:lineRule="auto"/>
        <w:ind w:left="259"/>
        <w:jc w:val="both"/>
        <w:rPr>
          <w:sz w:val="16"/>
          <w:szCs w:val="16"/>
        </w:rPr>
      </w:pPr>
      <w:r w:rsidDel="00000000" w:rsidR="00000000" w:rsidRPr="00000000">
        <w:rPr>
          <w:sz w:val="16"/>
          <w:szCs w:val="16"/>
          <w:rtl w:val="0"/>
        </w:rPr>
        <w:t xml:space="preserve">  Available:</w:t>
      </w:r>
    </w:p>
    <w:p w:rsidR="00000000" w:rsidDel="00000000" w:rsidP="00000000" w:rsidRDefault="00000000" w:rsidRPr="00000000" w14:paraId="0000009C">
      <w:pPr>
        <w:spacing w:after="40" w:line="240" w:lineRule="auto"/>
        <w:ind w:left="259"/>
        <w:jc w:val="both"/>
        <w:rPr>
          <w:sz w:val="16"/>
          <w:szCs w:val="16"/>
        </w:rPr>
      </w:pPr>
      <w:r w:rsidDel="00000000" w:rsidR="00000000" w:rsidRPr="00000000">
        <w:rPr>
          <w:sz w:val="16"/>
          <w:szCs w:val="16"/>
          <w:rtl w:val="0"/>
        </w:rPr>
        <w:t xml:space="preserve">  https://www.uschamber.com/small-business/small-business-data-center.</w:t>
      </w:r>
    </w:p>
    <w:p w:rsidR="00000000" w:rsidDel="00000000" w:rsidP="00000000" w:rsidRDefault="00000000" w:rsidRPr="00000000" w14:paraId="0000009D">
      <w:pPr>
        <w:spacing w:after="40" w:line="240" w:lineRule="auto"/>
        <w:ind w:left="259"/>
        <w:jc w:val="both"/>
        <w:rPr>
          <w:sz w:val="16"/>
          <w:szCs w:val="16"/>
        </w:rPr>
      </w:pPr>
      <w:r w:rsidDel="00000000" w:rsidR="00000000" w:rsidRPr="00000000">
        <w:rPr>
          <w:sz w:val="16"/>
          <w:szCs w:val="16"/>
          <w:rtl w:val="0"/>
        </w:rPr>
        <w:t xml:space="preserve">  [Accessed: Jun. 14, 2026].</w:t>
      </w:r>
    </w:p>
    <w:p w:rsidR="00000000" w:rsidDel="00000000" w:rsidP="00000000" w:rsidRDefault="00000000" w:rsidRPr="00000000" w14:paraId="0000009E">
      <w:pPr>
        <w:spacing w:after="40" w:line="240" w:lineRule="auto"/>
        <w:ind w:left="259"/>
        <w:jc w:val="both"/>
        <w:rPr>
          <w:sz w:val="16"/>
          <w:szCs w:val="16"/>
        </w:rPr>
      </w:pPr>
      <w:r w:rsidDel="00000000" w:rsidR="00000000" w:rsidRPr="00000000">
        <w:rPr>
          <w:rtl w:val="0"/>
        </w:rPr>
      </w:r>
    </w:p>
    <w:p w:rsidR="00000000" w:rsidDel="00000000" w:rsidP="00000000" w:rsidRDefault="00000000" w:rsidRPr="00000000" w14:paraId="0000009F">
      <w:pPr>
        <w:spacing w:after="40" w:line="240" w:lineRule="auto"/>
        <w:ind w:left="259"/>
        <w:jc w:val="both"/>
        <w:rPr>
          <w:sz w:val="16"/>
          <w:szCs w:val="16"/>
        </w:rPr>
      </w:pPr>
      <w:r w:rsidDel="00000000" w:rsidR="00000000" w:rsidRPr="00000000">
        <w:rPr>
          <w:rtl w:val="0"/>
        </w:rPr>
      </w:r>
    </w:p>
    <w:p w:rsidR="00000000" w:rsidDel="00000000" w:rsidP="00000000" w:rsidRDefault="00000000" w:rsidRPr="00000000" w14:paraId="000000A0">
      <w:pPr>
        <w:spacing w:after="40" w:line="240" w:lineRule="auto"/>
        <w:ind w:left="259"/>
        <w:jc w:val="both"/>
        <w:rPr>
          <w:sz w:val="16"/>
          <w:szCs w:val="16"/>
        </w:rPr>
      </w:pPr>
      <w:r w:rsidDel="00000000" w:rsidR="00000000" w:rsidRPr="00000000">
        <w:rPr>
          <w:rtl w:val="0"/>
        </w:rPr>
      </w:r>
    </w:p>
    <w:sectPr>
      <w:type w:val="continuous"/>
      <w:pgSz w:h="15840" w:w="12240" w:orient="portrait"/>
      <w:pgMar w:bottom="1440" w:top="1080" w:left="900" w:right="900" w:header="720" w:footer="720"/>
      <w:cols w:equalWidth="0" w:num="2">
        <w:col w:space="288" w:w="5076"/>
        <w:col w:space="0" w:w="50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BiuhVbqT1pRRrVn3SIbGY+BA==">CgMxLjA4AGooChRzdWdnZXN0LjJsaWhuNnJoMTd3aRIQUm9iZXJ0IE9saXZlciBKcmooChRzdWdnZXN0LnRtaTZiYndnbXNucBIQUm9iZXJ0IE9saXZlciBKcnIhMXdQQVo2ZmdlM2VhbkVGZ2R5TDlRX2w5emhtRGNVdnhw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0x0101009059360FFD30DE4588114FAD296B74D7</vt:lpwstr>
  </property>
</Properties>
</file>