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3.png" ContentType="image/png"/>
  <Override PartName="/word/media/rId36.png" ContentType="image/png"/>
  <Override PartName="/word/media/rId50.png" ContentType="image/png"/>
  <Override PartName="/word/media/rId25.png" ContentType="image/png"/>
  <Override PartName="/word/media/rId22.png" ContentType="image/png"/>
  <Override PartName="/word/media/rId39.png" ContentType="image/png"/>
  <Override PartName="/word/media/rId2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evolution of virulence</w:t>
      </w:r>
    </w:p>
    <w:p>
      <w:pPr>
        <w:pStyle w:val="Date"/>
      </w:pPr>
      <w:r>
        <w:t xml:space="preserve">19 October 2025</w:t>
      </w:r>
    </w:p>
    <w:bookmarkStart w:id="20" w:name="definitions"/>
    <w:p>
      <w:pPr>
        <w:pStyle w:val="Heading1"/>
      </w:pPr>
      <w:r>
        <w:t xml:space="preserve">Definitions</w:t>
      </w:r>
    </w:p>
    <w:p>
      <w:pPr>
        <w:numPr>
          <w:ilvl w:val="0"/>
          <w:numId w:val="1001"/>
        </w:numPr>
      </w:pPr>
      <w:r>
        <w:rPr>
          <w:b/>
          <w:bCs/>
        </w:rPr>
        <w:t xml:space="preserve">virulence</w:t>
      </w:r>
    </w:p>
    <w:p>
      <w:pPr>
        <w:pStyle w:val="Compact"/>
        <w:numPr>
          <w:ilvl w:val="1"/>
          <w:numId w:val="1002"/>
        </w:numPr>
      </w:pPr>
      <w:r>
        <w:t xml:space="preserve">(broad): decrease in a host’s fitness caused by a parasite.</w:t>
      </w:r>
      <w:r>
        <w:br/>
      </w:r>
    </w:p>
    <w:p>
      <w:pPr>
        <w:pStyle w:val="Compact"/>
        <w:numPr>
          <w:ilvl w:val="1"/>
          <w:numId w:val="1002"/>
        </w:numPr>
      </w:pPr>
      <w:r>
        <w:t xml:space="preserve">(narrow):</w:t>
      </w:r>
      <w:r>
        <w:t xml:space="preserve"> </w:t>
      </w:r>
      <w:r>
        <w:rPr>
          <w:i/>
          <w:iCs/>
        </w:rPr>
        <w:t xml:space="preserve">per capita</w:t>
      </w:r>
      <w:r>
        <w:t xml:space="preserve"> </w:t>
      </w:r>
      <w:r>
        <w:t xml:space="preserve">rate of parasite-induced host mortality</w:t>
      </w:r>
    </w:p>
    <w:p>
      <w:pPr>
        <w:numPr>
          <w:ilvl w:val="0"/>
          <w:numId w:val="1002"/>
        </w:numPr>
      </w:pPr>
      <w:r>
        <w:rPr>
          <w:b/>
          <w:bCs/>
        </w:rPr>
        <w:t xml:space="preserve">resistance</w:t>
      </w:r>
      <w:r>
        <w:t xml:space="preserve">: host’s ability to resist or minimize infection</w:t>
      </w:r>
    </w:p>
    <w:p>
      <w:pPr>
        <w:numPr>
          <w:ilvl w:val="0"/>
          <w:numId w:val="1002"/>
        </w:numPr>
      </w:pPr>
      <w:r>
        <w:rPr>
          <w:b/>
          <w:bCs/>
        </w:rPr>
        <w:t xml:space="preserve">tolerance</w:t>
      </w:r>
      <w:r>
        <w:t xml:space="preserve">: host’s ability to support parasite infection without losing fitness</w:t>
      </w:r>
    </w:p>
    <w:p>
      <w:pPr>
        <w:numPr>
          <w:ilvl w:val="0"/>
          <w:numId w:val="1002"/>
        </w:numPr>
      </w:pPr>
      <w:r>
        <w:rPr>
          <w:b/>
          <w:bCs/>
        </w:rPr>
        <w:t xml:space="preserve">case mortality</w:t>
      </w:r>
      <w:r>
        <w:t xml:space="preserve"> </w:t>
      </w:r>
      <w:r>
        <w:t xml:space="preserve">(CM): fraction of hosts killed by infection</w:t>
      </w:r>
    </w:p>
    <w:p>
      <w:pPr>
        <w:numPr>
          <w:ilvl w:val="0"/>
          <w:numId w:val="1002"/>
        </w:numPr>
      </w:pPr>
      <w:r>
        <w:t xml:space="preserve">Parasite-host interaction complicates the definition of virulence (assumes that a more virulent parasite is more virulent for</w:t>
      </w:r>
      <w:r>
        <w:t xml:space="preserve"> </w:t>
      </w:r>
      <w:r>
        <w:rPr>
          <w:i/>
          <w:iCs/>
        </w:rPr>
        <w:t xml:space="preserve">all</w:t>
      </w:r>
      <w:r>
        <w:t xml:space="preserve"> </w:t>
      </w:r>
      <w:r>
        <w:t xml:space="preserve">host genotypes/species)</w:t>
      </w:r>
    </w:p>
    <w:p>
      <w:pPr>
        <w:numPr>
          <w:ilvl w:val="0"/>
          <w:numId w:val="1002"/>
        </w:numPr>
      </w:pPr>
      <w:r>
        <w:t xml:space="preserve">conceptually:</w:t>
      </w:r>
    </w:p>
    <w:p>
      <w:pPr>
        <w:pStyle w:val="Compact"/>
        <w:numPr>
          <w:ilvl w:val="1"/>
          <w:numId w:val="1003"/>
        </w:numPr>
      </w:pPr>
      <w:r>
        <w:t xml:space="preserve">parasite load depends on balance between parasite</w:t>
      </w:r>
      <w:r>
        <w:t xml:space="preserve"> </w:t>
      </w:r>
      <w:r>
        <w:rPr>
          <w:i/>
          <w:iCs/>
        </w:rPr>
        <w:t xml:space="preserve">within-host reproduction rate</w:t>
      </w:r>
      <w:r>
        <w:t xml:space="preserve"> </w:t>
      </w:r>
      <w:r>
        <w:t xml:space="preserve">and host’s</w:t>
      </w:r>
      <w:r>
        <w:t xml:space="preserve"> </w:t>
      </w:r>
      <w:r>
        <w:rPr>
          <w:i/>
          <w:iCs/>
        </w:rPr>
        <w:t xml:space="preserve">parasite clearance rate</w:t>
      </w:r>
    </w:p>
    <w:p>
      <w:pPr>
        <w:pStyle w:val="Compact"/>
        <w:numPr>
          <w:ilvl w:val="1"/>
          <w:numId w:val="1003"/>
        </w:numPr>
      </w:pPr>
      <w:r>
        <w:t xml:space="preserve">virulence depends on parasite load and per-copy parasite</w:t>
      </w:r>
      <w:r>
        <w:t xml:space="preserve"> </w:t>
      </w:r>
      <w:r>
        <w:rPr>
          <w:i/>
          <w:iCs/>
        </w:rPr>
        <w:t xml:space="preserve">pathogenicity</w:t>
      </w:r>
      <w:r>
        <w:t xml:space="preserve"> </w:t>
      </w:r>
      <w:r>
        <w:t xml:space="preserve">and host</w:t>
      </w:r>
      <w:r>
        <w:t xml:space="preserve"> </w:t>
      </w:r>
      <w:r>
        <w:rPr>
          <w:i/>
          <w:iCs/>
        </w:rPr>
        <w:t xml:space="preserve">tolerance</w:t>
      </w:r>
    </w:p>
    <w:p>
      <w:pPr>
        <w:pStyle w:val="Compact"/>
        <w:numPr>
          <w:ilvl w:val="1"/>
          <w:numId w:val="1003"/>
        </w:numPr>
      </w:pPr>
      <w:r>
        <w:t xml:space="preserve">this establishes the terms of the arms race, but these components can’t be separated if we look at a single host-parasite pair (parasite virulence is often confounded with host tolerance)</w:t>
      </w:r>
    </w:p>
    <w:p>
      <w:pPr>
        <w:numPr>
          <w:ilvl w:val="0"/>
          <w:numId w:val="1003"/>
        </w:numPr>
      </w:pPr>
      <w:r>
        <w:t xml:space="preserve">all in an arms race (</w:t>
      </w:r>
      <w:r>
        <w:t xml:space="preserve">“trench warfare”</w:t>
      </w:r>
      <w:r>
        <w:t xml:space="preserve">, quantitative resistance) rather than RQ context (qualitative resistance)</w:t>
      </w:r>
    </w:p>
    <w:bookmarkEnd w:id="20"/>
    <w:bookmarkStart w:id="21" w:name="classical-dogma"/>
    <w:p>
      <w:pPr>
        <w:pStyle w:val="Heading1"/>
      </w:pPr>
      <w:r>
        <w:t xml:space="preserve">Classical dogma</w:t>
      </w:r>
    </w:p>
    <w:p>
      <w:pPr>
        <w:pStyle w:val="Compact"/>
        <w:numPr>
          <w:ilvl w:val="0"/>
          <w:numId w:val="1004"/>
        </w:numPr>
      </w:pPr>
      <w:r>
        <w:t xml:space="preserve">Parasites evolve lower virulence over time</w:t>
      </w:r>
      <w:r>
        <w:t xml:space="preserve"> </w:t>
      </w:r>
      <w:r>
        <w:t xml:space="preserve">“for the good of the species”</w:t>
      </w:r>
      <w:r>
        <w:t xml:space="preserve">. Group-selectionist</w:t>
      </w:r>
      <w:r>
        <w:t xml:space="preserve"> </w:t>
      </w:r>
      <w:r>
        <w:rPr>
          <w:i/>
          <w:iCs/>
        </w:rPr>
        <w:t xml:space="preserve">but</w:t>
      </w:r>
      <w:r>
        <w:t xml:space="preserve"> </w:t>
      </w:r>
      <w:r>
        <w:t xml:space="preserve">some evidence?</w:t>
      </w:r>
      <w:r>
        <w:t xml:space="preserve"> </w:t>
      </w:r>
      <w:r>
        <w:t xml:space="preserve">(Méthot, n.d.)</w:t>
      </w:r>
    </w:p>
    <w:p>
      <w:pPr>
        <w:pStyle w:val="Compact"/>
        <w:numPr>
          <w:ilvl w:val="1"/>
          <w:numId w:val="1005"/>
        </w:numPr>
      </w:pPr>
      <w:r>
        <w:t xml:space="preserve">syphilis; first seen in Europe in 1495 (the</w:t>
      </w:r>
      <w:r>
        <w:t xml:space="preserve"> </w:t>
      </w:r>
      <w:r>
        <w:t xml:space="preserve">“Great Pox”</w:t>
      </w:r>
      <w:r>
        <w:t xml:space="preserve">)</w:t>
      </w:r>
      <w:r>
        <w:t xml:space="preserve"> </w:t>
      </w:r>
      <w:r>
        <w:t xml:space="preserve">(Knell 2004)</w:t>
      </w:r>
    </w:p>
    <w:p>
      <w:pPr>
        <w:pStyle w:val="Compact"/>
        <w:numPr>
          <w:ilvl w:val="2"/>
          <w:numId w:val="1006"/>
        </w:numPr>
      </w:pPr>
      <w:r>
        <w:t xml:space="preserve">origins? (previously misdiagnosed; evolved increased virulence; from Africa; from the New World)</w:t>
      </w:r>
    </w:p>
    <w:p>
      <w:pPr>
        <w:pStyle w:val="Compact"/>
        <w:numPr>
          <w:ilvl w:val="2"/>
          <w:numId w:val="1006"/>
        </w:numPr>
      </w:pPr>
      <w:r>
        <w:t xml:space="preserve">virulence decreased rapidly over 50 years (maybe even 5-7 years?)</w:t>
      </w:r>
    </w:p>
    <w:p>
      <w:pPr>
        <w:pStyle w:val="Compact"/>
        <w:numPr>
          <w:ilvl w:val="1"/>
          <w:numId w:val="1006"/>
        </w:numPr>
      </w:pPr>
      <w:r>
        <w:rPr>
          <w:i/>
          <w:iCs/>
        </w:rPr>
        <w:t xml:space="preserve">virgin-soil epidemics</w:t>
      </w:r>
      <w:r>
        <w:t xml:space="preserve">: smallpox, etc.</w:t>
      </w:r>
      <w:r>
        <w:t xml:space="preserve"> </w:t>
      </w:r>
      <w:r>
        <w:t xml:space="preserve">(Crosby 1976; Ostler 2020)</w:t>
      </w:r>
      <w:r>
        <w:t xml:space="preserve"> </w:t>
      </w:r>
      <w:r>
        <w:t xml:space="preserve">(probably</w:t>
      </w:r>
      <w:r>
        <w:t xml:space="preserve"> </w:t>
      </w:r>
      <w:r>
        <w:rPr>
          <w:i/>
          <w:iCs/>
        </w:rPr>
        <w:t xml:space="preserve">not</w:t>
      </w:r>
      <w:r>
        <w:t xml:space="preserve"> </w:t>
      </w:r>
      <w:r>
        <w:t xml:space="preserve">virulence: lack of genetic resistance, previous exposure, societal breakdown, effects of colonization?)</w:t>
      </w:r>
    </w:p>
    <w:p>
      <w:pPr>
        <w:pStyle w:val="Compact"/>
        <w:numPr>
          <w:ilvl w:val="0"/>
          <w:numId w:val="1006"/>
        </w:numPr>
      </w:pPr>
      <w:r>
        <w:t xml:space="preserve">sampling bias?</w:t>
      </w:r>
    </w:p>
    <w:p>
      <w:pPr>
        <w:pStyle w:val="Compact"/>
        <w:numPr>
          <w:ilvl w:val="1"/>
          <w:numId w:val="1007"/>
        </w:numPr>
      </w:pPr>
      <w:r>
        <w:t xml:space="preserve">biocontrol efforts always select for maximal virulence (even though</w:t>
      </w:r>
      <w:r>
        <w:t xml:space="preserve"> </w:t>
      </w:r>
      <w:r>
        <w:rPr>
          <w:i/>
          <w:iCs/>
        </w:rPr>
        <w:t xml:space="preserve">intermediate</w:t>
      </w:r>
      <w:r>
        <w:t xml:space="preserve"> </w:t>
      </w:r>
      <w:r>
        <w:t xml:space="preserve">virulence may have more impact on host populations)</w:t>
      </w:r>
    </w:p>
    <w:p>
      <w:pPr>
        <w:pStyle w:val="Compact"/>
        <w:numPr>
          <w:ilvl w:val="1"/>
          <w:numId w:val="1007"/>
        </w:numPr>
      </w:pPr>
      <w:r>
        <w:t xml:space="preserve">mild introductions may not be noticed</w:t>
      </w:r>
    </w:p>
    <w:bookmarkEnd w:id="21"/>
    <w:bookmarkStart w:id="112" w:name="tradeoff-theory"/>
    <w:p>
      <w:pPr>
        <w:pStyle w:val="Heading1"/>
      </w:pPr>
      <w:r>
        <w:t xml:space="preserve">Tradeoff theory</w:t>
      </w:r>
    </w:p>
    <w:p>
      <w:pPr>
        <w:pStyle w:val="Compact"/>
        <w:numPr>
          <w:ilvl w:val="0"/>
          <w:numId w:val="1008"/>
        </w:numPr>
      </w:pPr>
      <w:r>
        <w:t xml:space="preserve">Intermediate virulence evolves due to</w:t>
      </w:r>
      <w:r>
        <w:t xml:space="preserve"> </w:t>
      </w:r>
      <w:r>
        <w:rPr>
          <w:i/>
          <w:iCs/>
        </w:rPr>
        <w:t xml:space="preserve">host-level</w:t>
      </w:r>
      <w:r>
        <w:t xml:space="preserve"> </w:t>
      </w:r>
      <w:r>
        <w:t xml:space="preserve">selection (group theory returns); a tradeoff between transmission</w:t>
      </w:r>
      <w:r>
        <w:t xml:space="preserve"> </w:t>
      </w:r>
      <w:r>
        <w:rPr>
          <w:i/>
          <w:iCs/>
        </w:rPr>
        <w:t xml:space="preserve">rate</w:t>
      </w:r>
      <w:r>
        <w:t xml:space="preserve"> </w:t>
      </w:r>
      <w:r>
        <w:t xml:space="preserve">(infections/host/time) and virulence (</w:t>
      </w:r>
      <w:r>
        <w:rPr>
          <w:i/>
          <w:iCs/>
        </w:rPr>
        <w:t xml:space="preserve">defined as mortality/time</w:t>
      </w:r>
      <w:r>
        <w:t xml:space="preserve">) maximizes</w:t>
      </w:r>
      <w:r>
        <w:t xml:space="preserve"> </w:t>
      </w:r>
      <m:oMath>
        <m:sSub>
          <m:e>
            <m:r>
              <m:t>R</m:t>
            </m:r>
          </m:e>
          <m:sub>
            <m:r>
              <m:t>0</m:t>
            </m:r>
          </m:sub>
        </m:sSub>
      </m:oMath>
      <w:r>
        <w:t xml:space="preserve"> </w:t>
      </w:r>
      <w:r>
        <w:t xml:space="preserve">(total transmission per generation) at</w:t>
      </w:r>
      <w:r>
        <w:t xml:space="preserve"> </w:t>
      </w:r>
      <w:r>
        <w:rPr>
          <w:b/>
          <w:bCs/>
        </w:rPr>
        <w:t xml:space="preserve">intermediate</w:t>
      </w:r>
      <w:r>
        <w:t xml:space="preserve"> </w:t>
      </w:r>
      <w:r>
        <w:t xml:space="preserve">virulence.</w:t>
      </w:r>
    </w:p>
    <w:p>
      <w:pPr>
        <w:pStyle w:val="Compact"/>
        <w:numPr>
          <w:ilvl w:val="0"/>
          <w:numId w:val="1008"/>
        </w:numPr>
      </w:pPr>
      <w:r>
        <w:t xml:space="preserve">conceptually, mediated by parasite replication rate or load (cf spore production/</w:t>
      </w:r>
      <w:r>
        <w:rPr>
          <w:i/>
          <w:iCs/>
        </w:rPr>
        <w:t xml:space="preserve">Daphnia</w:t>
      </w:r>
      <w:r>
        <w:t xml:space="preserve"> </w:t>
      </w:r>
      <w:r>
        <w:t xml:space="preserve">fecundity example</w:t>
      </w:r>
      <w:r>
        <w:t xml:space="preserve"> </w:t>
      </w:r>
      <w:r>
        <w:t xml:space="preserve">(Decaestecker et al. 2007)</w:t>
      </w:r>
    </w:p>
    <w:bookmarkStart w:id="28" w:name="example-myxomatosis"/>
    <w:p>
      <w:pPr>
        <w:pStyle w:val="Heading2"/>
      </w:pPr>
      <w:r>
        <w:t xml:space="preserve">Example: myxomatosis</w:t>
      </w:r>
    </w:p>
    <w:p>
      <w:pPr>
        <w:pStyle w:val="FirstParagraph"/>
      </w:pPr>
      <w:r>
        <w:t xml:space="preserve">Viral disease; mild in Brazilian rabbits (</w:t>
      </w:r>
      <w:r>
        <w:rPr>
          <w:i/>
          <w:iCs/>
        </w:rPr>
        <w:t xml:space="preserve">Sylvilagus brasiliensis</w:t>
      </w:r>
      <w:r>
        <w:t xml:space="preserve">),</w:t>
      </w:r>
      <w:r>
        <w:t xml:space="preserve"> </w:t>
      </w:r>
      <w:r>
        <w:t xml:space="preserve">virulent in European rabbits (</w:t>
      </w:r>
      <w:r>
        <w:rPr>
          <w:i/>
          <w:iCs/>
        </w:rPr>
        <w:t xml:space="preserve">Oryctolagus cuniculus</w:t>
      </w:r>
      <w:r>
        <w:t xml:space="preserve">).</w:t>
      </w:r>
      <w:r>
        <w:t xml:space="preserve"> </w:t>
      </w:r>
      <w:r>
        <w:t xml:space="preserve">Mosquito- and flea-borne. Introduced (several times)</w:t>
      </w:r>
      <w:r>
        <w:t xml:space="preserve"> </w:t>
      </w:r>
      <w:r>
        <w:t xml:space="preserve">in Australia to control introduced rabbits, finally spread 1950-1951.</w:t>
      </w:r>
      <w:r>
        <w:t xml:space="preserve"> </w:t>
      </w:r>
      <w:r>
        <w:t xml:space="preserve">Case mortality originally &gt;99%, populations</w:t>
      </w:r>
      <w:r>
        <w:t xml:space="preserve"> </w:t>
      </w:r>
      <w:r>
        <w:t xml:space="preserve">initially decreased by 90%. CM initially dropped to 90%, then further.</w:t>
      </w:r>
      <w:r>
        <w:t xml:space="preserve"> </w:t>
      </w:r>
      <w:r>
        <w:t xml:space="preserve">Resistance: test by infecting laboratory rabbits that</w:t>
      </w:r>
      <w:r>
        <w:t xml:space="preserve"> </w:t>
      </w:r>
      <w:r>
        <w:t xml:space="preserve">haven’t evolved. CM of grade III strain drops from</w:t>
      </w:r>
      <w:r>
        <w:t xml:space="preserve"> </w:t>
      </w:r>
      <w:r>
        <w:t xml:space="preserve">90% to about 50% as populations experience more epizootics.</w:t>
      </w:r>
      <w:r>
        <w:t xml:space="preserve"> </w:t>
      </w:r>
      <w:r>
        <w:t xml:space="preserve">At the same time mean virus grade drops from I to III, then rebounds.</w:t>
      </w:r>
    </w:p>
    <w:p>
      <w:pPr>
        <w:pStyle w:val="BodyText"/>
      </w:pPr>
      <w:r>
        <w:t xml:space="preserve">Evidence for tradeoff theory:</w:t>
      </w:r>
      <w:r>
        <w:t xml:space="preserve"> </w:t>
      </w:r>
      <w:r>
        <w:t xml:space="preserve">Higher grades (higher case mortality)</w:t>
      </w:r>
      <w:r>
        <w:t xml:space="preserve"> </w:t>
      </w:r>
      <w:r>
        <w:t xml:space="preserve">also have faster mortality (&lt;13 days to &gt;50 day</w:t>
      </w:r>
      <w:r>
        <w:t xml:space="preserve"> </w:t>
      </w:r>
      <w:r>
        <w:t xml:space="preserve">survival as CM goes from &gt;99% to &lt;50%).</w:t>
      </w:r>
      <w:r>
        <w:t xml:space="preserve"> </w:t>
      </w:r>
      <w:r>
        <w:t xml:space="preserve">Skin virus</w:t>
      </w:r>
      <w:r>
        <w:t xml:space="preserve"> </w:t>
      </w:r>
      <w:r>
        <w:rPr>
          <w:i/>
          <w:iCs/>
        </w:rPr>
        <w:t xml:space="preserve">titer</w:t>
      </w:r>
      <w:r>
        <w:t xml:space="preserve"> </w:t>
      </w:r>
      <w:r>
        <w:t xml:space="preserve">is also higher (and increases faster with time) for higher grades. Mosquito infection probability is proportional to skin titer.</w:t>
      </w:r>
      <w:r>
        <w:t xml:space="preserve"> </w:t>
      </w:r>
      <w:r>
        <w:t xml:space="preserve">(Some biological complications.)</w:t>
      </w:r>
    </w:p>
    <w:p>
      <w:pPr>
        <w:pStyle w:val="BodyText"/>
      </w:pPr>
      <w:r>
        <w:drawing>
          <wp:inline>
            <wp:extent cx="5334000" cy="3644972"/>
            <wp:effectExtent b="0" l="0" r="0" t="0"/>
            <wp:docPr descr="" title="" id="23" name="Picture"/>
            <a:graphic>
              <a:graphicData uri="http://schemas.openxmlformats.org/drawingml/2006/picture">
                <pic:pic>
                  <pic:nvPicPr>
                    <pic:cNvPr descr="pix/fenner_vir.png" id="24" name="Picture"/>
                    <pic:cNvPicPr>
                      <a:picLocks noChangeArrowheads="1" noChangeAspect="1"/>
                    </pic:cNvPicPr>
                  </pic:nvPicPr>
                  <pic:blipFill>
                    <a:blip r:embed="rId22"/>
                    <a:stretch>
                      <a:fillRect/>
                    </a:stretch>
                  </pic:blipFill>
                  <pic:spPr bwMode="auto">
                    <a:xfrm>
                      <a:off x="0" y="0"/>
                      <a:ext cx="5334000" cy="3644972"/>
                    </a:xfrm>
                    <a:prstGeom prst="rect">
                      <a:avLst/>
                    </a:prstGeom>
                    <a:noFill/>
                    <a:ln w="9525">
                      <a:noFill/>
                      <a:headEnd/>
                      <a:tailEnd/>
                    </a:ln>
                  </pic:spPr>
                </pic:pic>
              </a:graphicData>
            </a:graphic>
          </wp:inline>
        </w:drawing>
      </w:r>
    </w:p>
    <w:p>
      <w:pPr>
        <w:pStyle w:val="BodyText"/>
      </w:pPr>
      <w:r>
        <w:t xml:space="preserve">Bottom line: myxomavirus probably still reduces populations</w:t>
      </w:r>
      <w:r>
        <w:t xml:space="preserve"> </w:t>
      </w:r>
      <w:r>
        <w:t xml:space="preserve">somewhat, but the Australians continue to look for other biocontrol</w:t>
      </w:r>
      <w:r>
        <w:t xml:space="preserve"> </w:t>
      </w:r>
      <w:r>
        <w:t xml:space="preserve">solutions (calicivirus, rabbit haemhorrhagic disease).</w:t>
      </w:r>
    </w:p>
    <w:p>
      <w:pPr>
        <w:pStyle w:val="BodyText"/>
      </w:pPr>
      <w:r>
        <w:t xml:space="preserve">Lab experiments on titers, transmission probabilities, etc. etc. etc.</w:t>
      </w:r>
      <w:r>
        <w:t xml:space="preserve"> </w:t>
      </w:r>
      <w:r>
        <w:t xml:space="preserve">(Fenner, Day, and Woodroofe 1956)</w:t>
      </w:r>
      <w:r>
        <w:t xml:space="preserve">; simulation model</w:t>
      </w:r>
      <w:r>
        <w:t xml:space="preserve"> </w:t>
      </w:r>
      <w:r>
        <w:t xml:space="preserve">(Dwyer, Levin, and Buttel 1990)</w:t>
      </w:r>
    </w:p>
    <w:p>
      <w:pPr>
        <w:pStyle w:val="BodyText"/>
      </w:pPr>
      <w:r>
        <w:drawing>
          <wp:inline>
            <wp:extent cx="5334000" cy="4057417"/>
            <wp:effectExtent b="0" l="0" r="0" t="0"/>
            <wp:docPr descr="" title="" id="26" name="Picture"/>
            <a:graphic>
              <a:graphicData uri="http://schemas.openxmlformats.org/drawingml/2006/picture">
                <pic:pic>
                  <pic:nvPicPr>
                    <pic:cNvPr descr="pix/fenner_myxo.png" id="27" name="Picture"/>
                    <pic:cNvPicPr>
                      <a:picLocks noChangeArrowheads="1" noChangeAspect="1"/>
                    </pic:cNvPicPr>
                  </pic:nvPicPr>
                  <pic:blipFill>
                    <a:blip r:embed="rId25"/>
                    <a:stretch>
                      <a:fillRect/>
                    </a:stretch>
                  </pic:blipFill>
                  <pic:spPr bwMode="auto">
                    <a:xfrm>
                      <a:off x="0" y="0"/>
                      <a:ext cx="5334000" cy="4057417"/>
                    </a:xfrm>
                    <a:prstGeom prst="rect">
                      <a:avLst/>
                    </a:prstGeom>
                    <a:noFill/>
                    <a:ln w="9525">
                      <a:noFill/>
                      <a:headEnd/>
                      <a:tailEnd/>
                    </a:ln>
                  </pic:spPr>
                </pic:pic>
              </a:graphicData>
            </a:graphic>
          </wp:inline>
        </w:drawing>
      </w:r>
    </w:p>
    <w:p>
      <w:pPr>
        <w:pStyle w:val="BodyText"/>
      </w:pPr>
      <w:r>
        <w:t xml:space="preserve">Genomic analysis:</w:t>
      </w:r>
      <w:r>
        <w:t xml:space="preserve"> </w:t>
      </w:r>
      <w:r>
        <w:t xml:space="preserve">Kerr et al. (2012)</w:t>
      </w:r>
      <w:r>
        <w:t xml:space="preserve">,</w:t>
      </w:r>
      <w:r>
        <w:t xml:space="preserve"> </w:t>
      </w:r>
      <w:r>
        <w:t xml:space="preserve">Kerr et al. (2013)</w:t>
      </w:r>
      <w:r>
        <w:t xml:space="preserve">,</w:t>
      </w:r>
      <w:r>
        <w:t xml:space="preserve"> </w:t>
      </w:r>
      <w:r>
        <w:t xml:space="preserve">Kerr et al. (2022)</w:t>
      </w:r>
    </w:p>
    <w:p>
      <w:pPr>
        <w:pStyle w:val="Compact"/>
        <w:numPr>
          <w:ilvl w:val="0"/>
          <w:numId w:val="1009"/>
        </w:numPr>
      </w:pPr>
      <w:r>
        <w:t xml:space="preserve">Australia</w:t>
      </w:r>
    </w:p>
    <w:p>
      <w:pPr>
        <w:pStyle w:val="Compact"/>
        <w:numPr>
          <w:ilvl w:val="1"/>
          <w:numId w:val="1010"/>
        </w:numPr>
      </w:pPr>
      <w:r>
        <w:t xml:space="preserve">some mutations with clear virulence effects (insertion disrupts reading frame involving cell cycle; deletion affects immunosuppressive pathway)</w:t>
      </w:r>
    </w:p>
    <w:p>
      <w:pPr>
        <w:pStyle w:val="Compact"/>
        <w:numPr>
          <w:ilvl w:val="1"/>
          <w:numId w:val="1010"/>
        </w:numPr>
      </w:pPr>
      <w:r>
        <w:t xml:space="preserve">probably</w:t>
      </w:r>
      <w:r>
        <w:t xml:space="preserve"> </w:t>
      </w:r>
      <w:r>
        <w:t xml:space="preserve">“attenuation-restoration”</w:t>
      </w:r>
      <w:r>
        <w:t xml:space="preserve">: new mutations reverse previous evolutionary attenuation</w:t>
      </w:r>
      <w:r>
        <w:t xml:space="preserve"> </w:t>
      </w:r>
      <w:r>
        <w:t xml:space="preserve">&gt; Whether MYXV and European rabbits can coevolve [to tolerance/lower virulence] probably depends on whether systemic spread and multiple cutaneous lesions leads to more overall transmission and better fitness than does a single fibroma-like lesion and on whether European rabbit populations have immune system alleles that could constrain virus replication to the initial cutaneous site. If dissemination is critical for transmission, then mutations in the virus that favor dissemination by suppressing immune responses may also increase virulence.</w:t>
      </w:r>
    </w:p>
    <w:p>
      <w:pPr>
        <w:pStyle w:val="Compact"/>
        <w:numPr>
          <w:ilvl w:val="0"/>
          <w:numId w:val="1010"/>
        </w:numPr>
      </w:pPr>
      <w:r>
        <w:t xml:space="preserve">Britain</w:t>
      </w:r>
    </w:p>
    <w:p>
      <w:pPr>
        <w:pStyle w:val="Compact"/>
        <w:numPr>
          <w:ilvl w:val="1"/>
          <w:numId w:val="1011"/>
        </w:numPr>
      </w:pPr>
      <w:r>
        <w:t xml:space="preserve">premature stop codon disrupts immunosuppression</w:t>
      </w:r>
    </w:p>
    <w:p>
      <w:pPr>
        <w:pStyle w:val="Compact"/>
        <w:numPr>
          <w:ilvl w:val="1"/>
          <w:numId w:val="1011"/>
        </w:numPr>
      </w:pPr>
      <w:r>
        <w:t xml:space="preserve">parallel evolutions, but different substitutions</w:t>
      </w:r>
    </w:p>
    <w:bookmarkEnd w:id="28"/>
    <w:bookmarkStart w:id="42" w:name="example-hiv"/>
    <w:p>
      <w:pPr>
        <w:pStyle w:val="Heading2"/>
      </w:pPr>
      <w:r>
        <w:t xml:space="preserve">Example: HIV</w:t>
      </w:r>
    </w:p>
    <w:p>
      <w:pPr>
        <w:pStyle w:val="Compact"/>
        <w:numPr>
          <w:ilvl w:val="0"/>
          <w:numId w:val="1012"/>
        </w:numPr>
      </w:pPr>
      <w:r>
        <w:t xml:space="preserve">Correlations among</w:t>
      </w:r>
    </w:p>
    <w:p>
      <w:pPr>
        <w:pStyle w:val="Compact"/>
        <w:numPr>
          <w:ilvl w:val="1"/>
          <w:numId w:val="1013"/>
        </w:numPr>
      </w:pPr>
      <w:r>
        <w:rPr>
          <w:i/>
          <w:iCs/>
        </w:rPr>
        <w:t xml:space="preserve">setpoint viral load</w:t>
      </w:r>
    </w:p>
    <w:p>
      <w:pPr>
        <w:pStyle w:val="Compact"/>
        <w:numPr>
          <w:ilvl w:val="1"/>
          <w:numId w:val="1013"/>
        </w:numPr>
      </w:pPr>
      <w:r>
        <w:rPr>
          <w:i/>
          <w:iCs/>
        </w:rPr>
        <w:t xml:space="preserve">time to progression</w:t>
      </w:r>
      <w:r>
        <w:t xml:space="preserve"> </w:t>
      </w:r>
      <w:r>
        <w:t xml:space="preserve">or</w:t>
      </w:r>
      <w:r>
        <w:t xml:space="preserve"> </w:t>
      </w:r>
      <w:r>
        <w:rPr>
          <w:i/>
          <w:iCs/>
        </w:rPr>
        <w:t xml:space="preserve">rate of CD4 decline</w:t>
      </w:r>
      <w:r>
        <w:t xml:space="preserve"> </w:t>
      </w:r>
      <w:r>
        <w:t xml:space="preserve">(mechanisms still poorly understood! within-host evolution for diversity, virulence, immune escape? immune aging?? accumulation of opportunistic infections?)</w:t>
      </w:r>
    </w:p>
    <w:p>
      <w:pPr>
        <w:pStyle w:val="Compact"/>
        <w:numPr>
          <w:ilvl w:val="1"/>
          <w:numId w:val="1013"/>
        </w:numPr>
      </w:pPr>
      <w:r>
        <w:rPr>
          <w:i/>
          <w:iCs/>
        </w:rPr>
        <w:t xml:space="preserve">transmission probability</w:t>
      </w:r>
      <w:r>
        <w:t xml:space="preserve"> </w:t>
      </w:r>
      <w:r>
        <w:t xml:space="preserve">(as measured in</w:t>
      </w:r>
      <w:r>
        <w:t xml:space="preserve"> </w:t>
      </w:r>
      <w:r>
        <w:rPr>
          <w:i/>
          <w:iCs/>
        </w:rPr>
        <w:t xml:space="preserve">serodiscordant couples</w:t>
      </w:r>
      <w:r>
        <w:t xml:space="preserve">;</w:t>
      </w:r>
      <w:r>
        <w:t xml:space="preserve"> </w:t>
      </w:r>
      <w:r>
        <w:rPr>
          <w:i/>
          <w:iCs/>
        </w:rPr>
        <w:t xml:space="preserve">Rakai cohort</w:t>
      </w:r>
      <w:r>
        <w:t xml:space="preserve">)</w:t>
      </w:r>
    </w:p>
    <w:p>
      <w:pPr>
        <w:pStyle w:val="Compact"/>
        <w:numPr>
          <w:ilvl w:val="0"/>
          <w:numId w:val="1013"/>
        </w:numPr>
      </w:pPr>
      <w:r>
        <w:t xml:space="preserve">no longer ethically measurable</w:t>
      </w:r>
    </w:p>
    <w:p>
      <w:pPr>
        <w:pStyle w:val="FirstParagraph"/>
      </w:pPr>
      <w:r>
        <w:drawing>
          <wp:inline>
            <wp:extent cx="2667000" cy="1713547"/>
            <wp:effectExtent b="0" l="0" r="0" t="0"/>
            <wp:docPr descr="" title="" id="30" name="Picture"/>
            <a:graphic>
              <a:graphicData uri="http://schemas.openxmlformats.org/drawingml/2006/picture">
                <pic:pic>
                  <pic:nvPicPr>
                    <pic:cNvPr descr="pix/hiv_prog.png" id="31" name="Picture"/>
                    <pic:cNvPicPr>
                      <a:picLocks noChangeArrowheads="1" noChangeAspect="1"/>
                    </pic:cNvPicPr>
                  </pic:nvPicPr>
                  <pic:blipFill>
                    <a:blip r:embed="rId29"/>
                    <a:stretch>
                      <a:fillRect/>
                    </a:stretch>
                  </pic:blipFill>
                  <pic:spPr bwMode="auto">
                    <a:xfrm>
                      <a:off x="0" y="0"/>
                      <a:ext cx="2667000" cy="1713547"/>
                    </a:xfrm>
                    <a:prstGeom prst="rect">
                      <a:avLst/>
                    </a:prstGeom>
                    <a:noFill/>
                    <a:ln w="9525">
                      <a:noFill/>
                      <a:headEnd/>
                      <a:tailEnd/>
                    </a:ln>
                  </pic:spPr>
                </pic:pic>
              </a:graphicData>
            </a:graphic>
          </wp:inline>
        </w:drawing>
      </w:r>
    </w:p>
    <w:p>
      <w:pPr>
        <w:pStyle w:val="BodyText"/>
      </w:pPr>
      <w:hyperlink r:id="rId32">
        <w:r>
          <w:rPr>
            <w:rStyle w:val="Hyperlink"/>
          </w:rPr>
          <w:t xml:space="preserve">https://www.thebodypro.com/article/course-hiv-disease</w:t>
        </w:r>
      </w:hyperlink>
    </w:p>
    <w:p>
      <w:pPr>
        <w:pStyle w:val="BodyText"/>
      </w:pPr>
      <w:r>
        <w:drawing>
          <wp:inline>
            <wp:extent cx="5334000" cy="4358433"/>
            <wp:effectExtent b="0" l="0" r="0" t="0"/>
            <wp:docPr descr="" title="" id="34" name="Picture"/>
            <a:graphic>
              <a:graphicData uri="http://schemas.openxmlformats.org/drawingml/2006/picture">
                <pic:pic>
                  <pic:nvPicPr>
                    <pic:cNvPr descr="pix/blanquart_fig1.png" id="35" name="Picture"/>
                    <pic:cNvPicPr>
                      <a:picLocks noChangeArrowheads="1" noChangeAspect="1"/>
                    </pic:cNvPicPr>
                  </pic:nvPicPr>
                  <pic:blipFill>
                    <a:blip r:embed="rId33"/>
                    <a:stretch>
                      <a:fillRect/>
                    </a:stretch>
                  </pic:blipFill>
                  <pic:spPr bwMode="auto">
                    <a:xfrm>
                      <a:off x="0" y="0"/>
                      <a:ext cx="5334000" cy="4358433"/>
                    </a:xfrm>
                    <a:prstGeom prst="rect">
                      <a:avLst/>
                    </a:prstGeom>
                    <a:noFill/>
                    <a:ln w="9525">
                      <a:noFill/>
                      <a:headEnd/>
                      <a:tailEnd/>
                    </a:ln>
                  </pic:spPr>
                </pic:pic>
              </a:graphicData>
            </a:graphic>
          </wp:inline>
        </w:drawing>
      </w:r>
    </w:p>
    <w:p>
      <w:pPr>
        <w:pStyle w:val="BodyText"/>
      </w:pPr>
      <w:r>
        <w:drawing>
          <wp:inline>
            <wp:extent cx="5334000" cy="4299112"/>
            <wp:effectExtent b="0" l="0" r="0" t="0"/>
            <wp:docPr descr="" title="" id="37" name="Picture"/>
            <a:graphic>
              <a:graphicData uri="http://schemas.openxmlformats.org/drawingml/2006/picture">
                <pic:pic>
                  <pic:nvPicPr>
                    <pic:cNvPr descr="pix/blanquart_fig2.png" id="38" name="Picture"/>
                    <pic:cNvPicPr>
                      <a:picLocks noChangeArrowheads="1" noChangeAspect="1"/>
                    </pic:cNvPicPr>
                  </pic:nvPicPr>
                  <pic:blipFill>
                    <a:blip r:embed="rId36"/>
                    <a:stretch>
                      <a:fillRect/>
                    </a:stretch>
                  </pic:blipFill>
                  <pic:spPr bwMode="auto">
                    <a:xfrm>
                      <a:off x="0" y="0"/>
                      <a:ext cx="5334000" cy="4299112"/>
                    </a:xfrm>
                    <a:prstGeom prst="rect">
                      <a:avLst/>
                    </a:prstGeom>
                    <a:noFill/>
                    <a:ln w="9525">
                      <a:noFill/>
                      <a:headEnd/>
                      <a:tailEnd/>
                    </a:ln>
                  </pic:spPr>
                </pic:pic>
              </a:graphicData>
            </a:graphic>
          </wp:inline>
        </w:drawing>
      </w:r>
    </w:p>
    <w:p>
      <w:pPr>
        <w:pStyle w:val="Compact"/>
        <w:numPr>
          <w:ilvl w:val="0"/>
          <w:numId w:val="1014"/>
        </w:numPr>
      </w:pPr>
      <w:r>
        <w:t xml:space="preserve">some suggestion of overall increase in virulence (decreased CD4 count/increased viral load)</w:t>
      </w:r>
    </w:p>
    <w:p>
      <w:pPr>
        <w:pStyle w:val="Compact"/>
        <w:numPr>
          <w:ilvl w:val="0"/>
          <w:numId w:val="1014"/>
        </w:numPr>
      </w:pPr>
      <w:r>
        <w:t xml:space="preserve">highly variable (e.g. increasing in Italy</w:t>
      </w:r>
      <w:r>
        <w:t xml:space="preserve"> </w:t>
      </w:r>
      <w:r>
        <w:t xml:space="preserve">(Müller et al. 2009)</w:t>
      </w:r>
      <w:r>
        <w:t xml:space="preserve">? attenuating due to spread of less virulent subtype C</w:t>
      </w:r>
      <w:r>
        <w:t xml:space="preserve"> </w:t>
      </w:r>
      <w:r>
        <w:t xml:space="preserve">(Ariën, Vanham, and Arts 2007)</w:t>
      </w:r>
      <w:r>
        <w:t xml:space="preserve">? decreasing in Uganda</w:t>
      </w:r>
      <w:r>
        <w:t xml:space="preserve"> </w:t>
      </w:r>
      <w:r>
        <w:t xml:space="preserve">(Blanquart et al. 2016)</w:t>
      </w:r>
      <w:r>
        <w:t xml:space="preserve">? increasing overall</w:t>
      </w:r>
      <w:r>
        <w:t xml:space="preserve"> </w:t>
      </w:r>
      <w:r>
        <w:t xml:space="preserve">(Herbeck et al. 2012)</w:t>
      </w:r>
      <w:r>
        <w:t xml:space="preserve">?</w:t>
      </w:r>
    </w:p>
    <w:p>
      <w:pPr>
        <w:pStyle w:val="FirstParagraph"/>
      </w:pPr>
      <w:r>
        <w:drawing>
          <wp:inline>
            <wp:extent cx="5334000" cy="8294370"/>
            <wp:effectExtent b="0" l="0" r="0" t="0"/>
            <wp:docPr descr="" title="" id="40" name="Picture"/>
            <a:graphic>
              <a:graphicData uri="http://schemas.openxmlformats.org/drawingml/2006/picture">
                <pic:pic>
                  <pic:nvPicPr>
                    <pic:cNvPr descr="pix/herbeck_hivmeta.png" id="41" name="Picture"/>
                    <pic:cNvPicPr>
                      <a:picLocks noChangeArrowheads="1" noChangeAspect="1"/>
                    </pic:cNvPicPr>
                  </pic:nvPicPr>
                  <pic:blipFill>
                    <a:blip r:embed="rId39"/>
                    <a:stretch>
                      <a:fillRect/>
                    </a:stretch>
                  </pic:blipFill>
                  <pic:spPr bwMode="auto">
                    <a:xfrm>
                      <a:off x="0" y="0"/>
                      <a:ext cx="5334000" cy="8294370"/>
                    </a:xfrm>
                    <a:prstGeom prst="rect">
                      <a:avLst/>
                    </a:prstGeom>
                    <a:noFill/>
                    <a:ln w="9525">
                      <a:noFill/>
                      <a:headEnd/>
                      <a:tailEnd/>
                    </a:ln>
                  </pic:spPr>
                </pic:pic>
              </a:graphicData>
            </a:graphic>
          </wp:inline>
        </w:drawing>
      </w:r>
    </w:p>
    <w:bookmarkEnd w:id="42"/>
    <w:bookmarkStart w:id="43" w:name="example-sars-cov-2"/>
    <w:p>
      <w:pPr>
        <w:pStyle w:val="Heading2"/>
      </w:pPr>
      <w:r>
        <w:t xml:space="preserve">Example: SARS-COV-2</w:t>
      </w:r>
    </w:p>
    <w:p>
      <w:pPr>
        <w:pStyle w:val="Compact"/>
        <w:numPr>
          <w:ilvl w:val="0"/>
          <w:numId w:val="1015"/>
        </w:numPr>
      </w:pPr>
      <w:r>
        <w:t xml:space="preserve">successive waves tended to have higher</w:t>
      </w:r>
      <w:r>
        <w:t xml:space="preserve"> </w:t>
      </w:r>
      <w:r>
        <w:t xml:space="preserve">${\cal R}_0$</w:t>
      </w:r>
    </w:p>
    <w:p>
      <w:pPr>
        <w:pStyle w:val="Compact"/>
        <w:numPr>
          <w:ilvl w:val="0"/>
          <w:numId w:val="1015"/>
        </w:numPr>
      </w:pPr>
      <w:r>
        <w:t xml:space="preserve">higher</w:t>
      </w:r>
      <w:r>
        <w:t xml:space="preserve"> </w:t>
      </w:r>
      <w:r>
        <w:t xml:space="preserve">${\cal R}_0$</w:t>
      </w:r>
      <w:r>
        <w:t xml:space="preserve"> </w:t>
      </w:r>
      <w:r>
        <w:t xml:space="preserve">partly from</w:t>
      </w:r>
      <w:r>
        <w:t xml:space="preserve"> </w:t>
      </w:r>
      <w:r>
        <w:rPr>
          <w:i/>
          <w:iCs/>
        </w:rPr>
        <w:t xml:space="preserve">immune evasion</w:t>
      </w:r>
      <w:r>
        <w:t xml:space="preserve">; re-infection of individuals recovered from/immune to previous strains</w:t>
      </w:r>
    </w:p>
    <w:p>
      <w:pPr>
        <w:pStyle w:val="Compact"/>
        <w:numPr>
          <w:ilvl w:val="0"/>
          <w:numId w:val="1015"/>
        </w:numPr>
      </w:pPr>
      <w:r>
        <w:t xml:space="preserve">virulence changes: alpha, delta higher, omega lower (reduced</w:t>
      </w:r>
      <w:r>
        <w:t xml:space="preserve"> </w:t>
      </w:r>
      <w:r>
        <w:t xml:space="preserve">“fusogenicity”</w:t>
      </w:r>
      <w:r>
        <w:t xml:space="preserve"> </w:t>
      </w:r>
      <w:r>
        <w:t xml:space="preserve">[ability to fuse with/enter host cells]; tropism for cells higher in respiratory tract?</w:t>
      </w:r>
      <w:r>
        <w:t xml:space="preserve"> </w:t>
      </w:r>
      <w:r>
        <w:t xml:space="preserve">(Carabelli et al. 2023)</w:t>
      </w:r>
    </w:p>
    <w:bookmarkEnd w:id="43"/>
    <w:bookmarkStart w:id="47" w:name="theory"/>
    <w:p>
      <w:pPr>
        <w:pStyle w:val="Heading2"/>
      </w:pPr>
      <w:r>
        <w:t xml:space="preserve">Theory</w:t>
      </w:r>
    </w:p>
    <w:p>
      <w:pPr>
        <w:numPr>
          <w:ilvl w:val="0"/>
          <w:numId w:val="1016"/>
        </w:numPr>
      </w:pPr>
      <w:r>
        <w:t xml:space="preserve">if there is a tradeoff, we would expect expect strong effects of</w:t>
      </w:r>
      <w:r>
        <w:t xml:space="preserve"> </w:t>
      </w:r>
      <w:r>
        <w:rPr>
          <w:b/>
          <w:bCs/>
        </w:rPr>
        <w:t xml:space="preserve">transmission mode</w:t>
      </w:r>
    </w:p>
    <w:p>
      <w:pPr>
        <w:pStyle w:val="Compact"/>
        <w:numPr>
          <w:ilvl w:val="1"/>
          <w:numId w:val="1017"/>
        </w:numPr>
      </w:pPr>
      <w:r>
        <w:t xml:space="preserve">vector-borne &gt; direct</w:t>
      </w:r>
    </w:p>
    <w:p>
      <w:pPr>
        <w:pStyle w:val="Compact"/>
        <w:numPr>
          <w:ilvl w:val="1"/>
          <w:numId w:val="1017"/>
        </w:numPr>
      </w:pPr>
      <w:r>
        <w:t xml:space="preserve">high virulence for</w:t>
      </w:r>
      <w:r>
        <w:t xml:space="preserve"> </w:t>
      </w:r>
      <w:r>
        <w:t xml:space="preserve">“necrotransmission”</w:t>
      </w:r>
      <w:r>
        <w:t xml:space="preserve"> </w:t>
      </w:r>
      <w:r>
        <w:t xml:space="preserve">(via dead hosts: anthrax, chronic wasting disease)</w:t>
      </w:r>
    </w:p>
    <w:p>
      <w:pPr>
        <w:pStyle w:val="Compact"/>
        <w:numPr>
          <w:ilvl w:val="1"/>
          <w:numId w:val="1017"/>
        </w:numPr>
      </w:pPr>
      <w:r>
        <w:t xml:space="preserve">horizontal transmission &gt; vertical</w:t>
      </w:r>
    </w:p>
    <w:p>
      <w:pPr>
        <w:pStyle w:val="Compact"/>
        <w:numPr>
          <w:ilvl w:val="1"/>
          <w:numId w:val="1017"/>
        </w:numPr>
      </w:pPr>
      <w:r>
        <w:t xml:space="preserve">needle-borne &gt; STD?</w:t>
      </w:r>
    </w:p>
    <w:p>
      <w:pPr>
        <w:pStyle w:val="Compact"/>
        <w:numPr>
          <w:ilvl w:val="1"/>
          <w:numId w:val="1017"/>
        </w:numPr>
      </w:pPr>
      <w:r>
        <w:t xml:space="preserve">environmental (water-borne, e.g. cholera) &gt; direct</w:t>
      </w:r>
    </w:p>
    <w:p>
      <w:pPr>
        <w:numPr>
          <w:ilvl w:val="0"/>
          <w:numId w:val="1017"/>
        </w:numPr>
      </w:pPr>
      <w:r>
        <w:t xml:space="preserve">does higher overall transmission rate (due to population density, poor hygiene, etc.) select for higher transmission?</w:t>
      </w:r>
    </w:p>
    <w:p>
      <w:pPr>
        <w:numPr>
          <w:ilvl w:val="0"/>
          <w:numId w:val="1017"/>
        </w:numPr>
      </w:pPr>
      <w:r>
        <w:rPr>
          <w:b/>
          <w:bCs/>
        </w:rPr>
        <w:t xml:space="preserve">facultative</w:t>
      </w:r>
      <w:r>
        <w:t xml:space="preserve"> </w:t>
      </w:r>
      <w:r>
        <w:t xml:space="preserve">parasites (e.g. soil-borne microbes with a</w:t>
      </w:r>
      <w:r>
        <w:t xml:space="preserve"> </w:t>
      </w:r>
      <w:r>
        <w:rPr>
          <w:b/>
          <w:bCs/>
        </w:rPr>
        <w:t xml:space="preserve">facultative</w:t>
      </w:r>
      <w:r>
        <w:t xml:space="preserve"> </w:t>
      </w:r>
      <w:r>
        <w:t xml:space="preserve">stage) should be more virulent</w:t>
      </w:r>
    </w:p>
    <w:p>
      <w:pPr>
        <w:numPr>
          <w:ilvl w:val="0"/>
          <w:numId w:val="1017"/>
        </w:numPr>
      </w:pPr>
      <w:r>
        <w:t xml:space="preserve">“curse of the pharaoh”</w:t>
      </w:r>
      <w:r>
        <w:t xml:space="preserve">: effect of resting stages?</w:t>
      </w:r>
      <w:r>
        <w:t xml:space="preserve"> </w:t>
      </w:r>
      <w:r>
        <w:t xml:space="preserve">(Bonhoeffer, Lenski, and Ebert 1996)</w:t>
      </w:r>
    </w:p>
    <w:p>
      <w:pPr>
        <w:numPr>
          <w:ilvl w:val="0"/>
          <w:numId w:val="1017"/>
        </w:numPr>
      </w:pPr>
      <w:r>
        <w:t xml:space="preserve">spatial restriction should? decrease virulence</w:t>
      </w:r>
      <w:r>
        <w:t xml:space="preserve"> </w:t>
      </w:r>
      <w:r>
        <w:t xml:space="preserve">(Kamo and Boots 2006)</w:t>
      </w:r>
    </w:p>
    <w:p>
      <w:pPr>
        <w:numPr>
          <w:ilvl w:val="0"/>
          <w:numId w:val="1017"/>
        </w:numPr>
      </w:pPr>
      <w:r>
        <w:t xml:space="preserve">Maximizing</w:t>
      </w:r>
      <w:r>
        <w:t xml:space="preserve"> </w:t>
      </w:r>
      <m:oMath>
        <m:sSub>
          <m:e>
            <m:r>
              <m:t>R</m:t>
            </m:r>
          </m:e>
          <m:sub>
            <m:r>
              <m:t>0</m:t>
            </m:r>
          </m:sub>
        </m:sSub>
      </m:oMath>
      <w:r>
        <w:t xml:space="preserve">:</w:t>
      </w:r>
    </w:p>
    <w:p>
      <w:pPr>
        <w:pStyle w:val="FirstParagraph"/>
      </w:pPr>
      <w:r>
        <w:drawing>
          <wp:inline>
            <wp:extent cx="5334000" cy="4445000"/>
            <wp:effectExtent b="0" l="0" r="0" t="0"/>
            <wp:docPr descr="" title="" id="45" name="Picture"/>
            <a:graphic>
              <a:graphicData uri="http://schemas.openxmlformats.org/drawingml/2006/picture">
                <pic:pic>
                  <pic:nvPicPr>
                    <pic:cNvPr descr="tmp_files/figure-docx/r0max-1.png" id="46" name="Picture"/>
                    <pic:cNvPicPr>
                      <a:picLocks noChangeArrowheads="1" noChangeAspect="1"/>
                    </pic:cNvPicPr>
                  </pic:nvPicPr>
                  <pic:blipFill>
                    <a:blip r:embed="rId44"/>
                    <a:stretch>
                      <a:fillRect/>
                    </a:stretch>
                  </pic:blipFill>
                  <pic:spPr bwMode="auto">
                    <a:xfrm>
                      <a:off x="0" y="0"/>
                      <a:ext cx="5334000" cy="4445000"/>
                    </a:xfrm>
                    <a:prstGeom prst="rect">
                      <a:avLst/>
                    </a:prstGeom>
                    <a:noFill/>
                    <a:ln w="9525">
                      <a:noFill/>
                      <a:headEnd/>
                      <a:tailEnd/>
                    </a:ln>
                  </pic:spPr>
                </pic:pic>
              </a:graphicData>
            </a:graphic>
          </wp:inline>
        </w:drawing>
      </w:r>
    </w:p>
    <w:p>
      <w:pPr>
        <w:pStyle w:val="Compact"/>
        <w:numPr>
          <w:ilvl w:val="0"/>
          <w:numId w:val="1018"/>
        </w:numPr>
      </w:pPr>
      <w:r>
        <w:t xml:space="preserve">“Virulence”</w:t>
      </w:r>
      <w:r>
        <w:t xml:space="preserve"> </w:t>
      </w:r>
      <w:r>
        <w:t xml:space="preserve">could be effect of host mortality, or rapid clearance.</w:t>
      </w:r>
    </w:p>
    <w:bookmarkEnd w:id="47"/>
    <w:bookmarkStart w:id="48" w:name="within-host-competition"/>
    <w:p>
      <w:pPr>
        <w:pStyle w:val="Heading2"/>
      </w:pPr>
      <w:r>
        <w:t xml:space="preserve">Within-host competition</w:t>
      </w:r>
    </w:p>
    <w:p>
      <w:pPr>
        <w:pStyle w:val="Compact"/>
        <w:numPr>
          <w:ilvl w:val="0"/>
          <w:numId w:val="1019"/>
        </w:numPr>
      </w:pPr>
      <w:r>
        <w:t xml:space="preserve">basic tradeoff theory assumes one infection/strain per host</w:t>
      </w:r>
    </w:p>
    <w:p>
      <w:pPr>
        <w:pStyle w:val="Compact"/>
        <w:numPr>
          <w:ilvl w:val="0"/>
          <w:numId w:val="1019"/>
        </w:numPr>
      </w:pPr>
      <w:r>
        <w:t xml:space="preserve">effects of mutation,</w:t>
      </w:r>
      <w:r>
        <w:t xml:space="preserve"> </w:t>
      </w:r>
      <w:r>
        <w:rPr>
          <w:b/>
          <w:bCs/>
        </w:rPr>
        <w:t xml:space="preserve">superinfection</w:t>
      </w:r>
      <w:r>
        <w:t xml:space="preserve">: within-host competition</w:t>
      </w:r>
    </w:p>
    <w:p>
      <w:pPr>
        <w:pStyle w:val="Compact"/>
        <w:numPr>
          <w:ilvl w:val="0"/>
          <w:numId w:val="1019"/>
        </w:numPr>
      </w:pPr>
      <w:r>
        <w:t xml:space="preserve">tends to</w:t>
      </w:r>
      <w:r>
        <w:t xml:space="preserve"> </w:t>
      </w:r>
      <w:r>
        <w:rPr>
          <w:i/>
          <w:iCs/>
        </w:rPr>
        <w:t xml:space="preserve">increase</w:t>
      </w:r>
      <w:r>
        <w:t xml:space="preserve"> </w:t>
      </w:r>
      <w:r>
        <w:t xml:space="preserve">optimal virulence</w:t>
      </w:r>
    </w:p>
    <w:bookmarkEnd w:id="48"/>
    <w:bookmarkStart w:id="49" w:name="short-sighted-evolution"/>
    <w:p>
      <w:pPr>
        <w:pStyle w:val="Heading2"/>
      </w:pPr>
      <w:r>
        <w:t xml:space="preserve">Short-sighted evolution</w:t>
      </w:r>
    </w:p>
    <w:p>
      <w:pPr>
        <w:pStyle w:val="Compact"/>
        <w:numPr>
          <w:ilvl w:val="0"/>
          <w:numId w:val="1020"/>
        </w:numPr>
      </w:pPr>
      <w:r>
        <w:t xml:space="preserve">sometimes evolution is just stupid</w:t>
      </w:r>
      <w:r>
        <w:t xml:space="preserve"> </w:t>
      </w:r>
      <w:r>
        <w:t xml:space="preserve">(Levin and Bull 1994)</w:t>
      </w:r>
    </w:p>
    <w:p>
      <w:pPr>
        <w:pStyle w:val="Compact"/>
        <w:numPr>
          <w:ilvl w:val="0"/>
          <w:numId w:val="1020"/>
        </w:numPr>
      </w:pPr>
      <w:r>
        <w:t xml:space="preserve">meningitis-producing, paralytic polio strains (central nervous system tropism)</w:t>
      </w:r>
    </w:p>
    <w:p>
      <w:pPr>
        <w:pStyle w:val="Compact"/>
        <w:numPr>
          <w:ilvl w:val="0"/>
          <w:numId w:val="1020"/>
        </w:numPr>
      </w:pPr>
      <w:r>
        <w:t xml:space="preserve">HIV [most transmission probably occurs during acute phases]</w:t>
      </w:r>
    </w:p>
    <w:bookmarkEnd w:id="49"/>
    <w:bookmarkStart w:id="56" w:name="X299b735f122f5e15eb75e4abf8a3d7aef344e17"/>
    <w:p>
      <w:pPr>
        <w:pStyle w:val="Heading2"/>
      </w:pPr>
      <w:r>
        <w:t xml:space="preserve">Epidemic vs. endemic phases; transient virulence</w:t>
      </w:r>
    </w:p>
    <w:p>
      <w:pPr>
        <w:pStyle w:val="Compact"/>
        <w:numPr>
          <w:ilvl w:val="0"/>
          <w:numId w:val="1021"/>
        </w:numPr>
      </w:pPr>
      <w:r>
        <w:t xml:space="preserve">Most theory assumes that disease is at an</w:t>
      </w:r>
      <w:r>
        <w:t xml:space="preserve"> </w:t>
      </w:r>
      <w:r>
        <w:rPr>
          <w:i/>
          <w:iCs/>
        </w:rPr>
        <w:t xml:space="preserve">endemic equilibrium</w:t>
      </w:r>
      <w:r>
        <w:t xml:space="preserve">, so that</w:t>
      </w:r>
      <w:r>
        <w:t xml:space="preserve"> </w:t>
      </w:r>
      <w:r>
        <w:rPr>
          <w:i/>
          <w:iCs/>
        </w:rPr>
        <w:t xml:space="preserve">lifetime fitness</w:t>
      </w:r>
      <w:r>
        <w:t xml:space="preserve"> </w:t>
      </w:r>
      <w:r>
        <w:t xml:space="preserve">(i.e. </w:t>
      </w:r>
      <m:oMath>
        <m:sSub>
          <m:e>
            <m:r>
              <m:t>R</m:t>
            </m:r>
          </m:e>
          <m:sub>
            <m:r>
              <m:t>0</m:t>
            </m:r>
          </m:sub>
        </m:sSub>
      </m:oMath>
      <w:r>
        <w:t xml:space="preserve"> </w:t>
      </w:r>
      <w:r>
        <w:t xml:space="preserve">maximization) is what matters</w:t>
      </w:r>
    </w:p>
    <w:p>
      <w:pPr>
        <w:pStyle w:val="Compact"/>
        <w:numPr>
          <w:ilvl w:val="1"/>
          <w:numId w:val="1022"/>
        </w:numPr>
      </w:pPr>
      <w:r>
        <w:t xml:space="preserve">this also means that increasing overall transmission (due to population density, poor hygiene, etc.)</w:t>
      </w:r>
      <w:r>
        <w:t xml:space="preserve"> </w:t>
      </w:r>
      <w:r>
        <w:rPr>
          <w:b/>
          <w:bCs/>
        </w:rPr>
        <w:t xml:space="preserve">doesn’t</w:t>
      </w:r>
      <w:r>
        <w:t xml:space="preserve"> </w:t>
      </w:r>
      <w:r>
        <w:t xml:space="preserve">select for higher virulence</w:t>
      </w:r>
    </w:p>
    <w:p>
      <w:pPr>
        <w:pStyle w:val="Compact"/>
        <w:numPr>
          <w:ilvl w:val="0"/>
          <w:numId w:val="1022"/>
        </w:numPr>
      </w:pPr>
      <w:r>
        <w:t xml:space="preserve">During the exponential growth phase of an epidemic,</w:t>
      </w:r>
      <w:r>
        <w:t xml:space="preserve"> </w:t>
      </w:r>
      <w:r>
        <w:rPr>
          <w:i/>
          <w:iCs/>
        </w:rPr>
        <w:t xml:space="preserve">speed of increase</w:t>
      </w:r>
      <w:r>
        <w:t xml:space="preserve"> </w:t>
      </w:r>
      <w:r>
        <w:t xml:space="preserve">(</w:t>
      </w:r>
      <m:oMath>
        <m:r>
          <m:t>r</m:t>
        </m:r>
      </m:oMath>
      <w:r>
        <w:t xml:space="preserve"> </w:t>
      </w:r>
      <w:r>
        <w:t xml:space="preserve">maximization) is what matters</w:t>
      </w:r>
    </w:p>
    <w:p>
      <w:pPr>
        <w:pStyle w:val="Compact"/>
        <w:numPr>
          <w:ilvl w:val="1"/>
          <w:numId w:val="1023"/>
        </w:numPr>
      </w:pPr>
      <w:r>
        <w:t xml:space="preserve">optimal virulence is higher than for endemic equilibrium</w:t>
      </w:r>
    </w:p>
    <w:p>
      <w:pPr>
        <w:pStyle w:val="Compact"/>
        <w:numPr>
          <w:ilvl w:val="0"/>
          <w:numId w:val="1023"/>
        </w:numPr>
      </w:pPr>
      <w:r>
        <w:t xml:space="preserve">We expect</w:t>
      </w:r>
      <w:r>
        <w:t xml:space="preserve"> </w:t>
      </w:r>
      <w:r>
        <w:rPr>
          <w:i/>
          <w:iCs/>
        </w:rPr>
        <w:t xml:space="preserve">transient</w:t>
      </w:r>
      <w:r>
        <w:t xml:space="preserve"> </w:t>
      </w:r>
      <w:r>
        <w:t xml:space="preserve">selection for higher virulence at the beginning of an epidemic</w:t>
      </w:r>
    </w:p>
    <w:p>
      <w:pPr>
        <w:pStyle w:val="FirstParagraph"/>
      </w:pPr>
      <w:r>
        <w:t xml:space="preserve">(Frank 1996; Bolker, Nanda, and Shah 2010; Visher et al. 2021; Day and Proulx 2004; Berngruber et al. 2013; Park and Bolker 2017)</w:t>
      </w:r>
    </w:p>
    <w:p>
      <w:pPr>
        <w:pStyle w:val="BodyText"/>
      </w:pPr>
      <w:r>
        <w:drawing>
          <wp:inline>
            <wp:extent cx="5334000" cy="6205337"/>
            <wp:effectExtent b="0" l="0" r="0" t="0"/>
            <wp:docPr descr="" title="" id="51" name="Picture"/>
            <a:graphic>
              <a:graphicData uri="http://schemas.openxmlformats.org/drawingml/2006/picture">
                <pic:pic>
                  <pic:nvPicPr>
                    <pic:cNvPr descr="pix/boots_trans.png" id="52" name="Picture"/>
                    <pic:cNvPicPr>
                      <a:picLocks noChangeArrowheads="1" noChangeAspect="1"/>
                    </pic:cNvPicPr>
                  </pic:nvPicPr>
                  <pic:blipFill>
                    <a:blip r:embed="rId50"/>
                    <a:stretch>
                      <a:fillRect/>
                    </a:stretch>
                  </pic:blipFill>
                  <pic:spPr bwMode="auto">
                    <a:xfrm>
                      <a:off x="0" y="0"/>
                      <a:ext cx="5334000" cy="6205337"/>
                    </a:xfrm>
                    <a:prstGeom prst="rect">
                      <a:avLst/>
                    </a:prstGeom>
                    <a:noFill/>
                    <a:ln w="9525">
                      <a:noFill/>
                      <a:headEnd/>
                      <a:tailEnd/>
                    </a:ln>
                  </pic:spPr>
                </pic:pic>
              </a:graphicData>
            </a:graphic>
          </wp:inline>
        </w:drawing>
      </w:r>
    </w:p>
    <w:p>
      <w:pPr>
        <w:pStyle w:val="BodyText"/>
      </w:pPr>
      <w:r>
        <w:drawing>
          <wp:inline>
            <wp:extent cx="5334000" cy="2142717"/>
            <wp:effectExtent b="0" l="0" r="0" t="0"/>
            <wp:docPr descr="" title="" id="54" name="Picture"/>
            <a:graphic>
              <a:graphicData uri="http://schemas.openxmlformats.org/drawingml/2006/picture">
                <pic:pic>
                  <pic:nvPicPr>
                    <pic:cNvPr descr="pix/berngruber_fig.png" id="55" name="Picture"/>
                    <pic:cNvPicPr>
                      <a:picLocks noChangeArrowheads="1" noChangeAspect="1"/>
                    </pic:cNvPicPr>
                  </pic:nvPicPr>
                  <pic:blipFill>
                    <a:blip r:embed="rId53"/>
                    <a:stretch>
                      <a:fillRect/>
                    </a:stretch>
                  </pic:blipFill>
                  <pic:spPr bwMode="auto">
                    <a:xfrm>
                      <a:off x="0" y="0"/>
                      <a:ext cx="5334000" cy="2142717"/>
                    </a:xfrm>
                    <a:prstGeom prst="rect">
                      <a:avLst/>
                    </a:prstGeom>
                    <a:noFill/>
                    <a:ln w="9525">
                      <a:noFill/>
                      <a:headEnd/>
                      <a:tailEnd/>
                    </a:ln>
                  </pic:spPr>
                </pic:pic>
              </a:graphicData>
            </a:graphic>
          </wp:inline>
        </w:drawing>
      </w:r>
    </w:p>
    <w:bookmarkEnd w:id="56"/>
    <w:bookmarkStart w:id="57" w:name="effects-of-vaccines-and-treatment"/>
    <w:p>
      <w:pPr>
        <w:pStyle w:val="Heading2"/>
      </w:pPr>
      <w:r>
        <w:t xml:space="preserve">Effects of vaccines and treatment</w:t>
      </w:r>
    </w:p>
    <w:p>
      <w:pPr>
        <w:pStyle w:val="Compact"/>
        <w:numPr>
          <w:ilvl w:val="0"/>
          <w:numId w:val="1024"/>
        </w:numPr>
      </w:pPr>
      <w:r>
        <w:t xml:space="preserve">evolution due to</w:t>
      </w:r>
      <w:r>
        <w:t xml:space="preserve"> </w:t>
      </w:r>
      <w:r>
        <w:rPr>
          <w:b/>
          <w:bCs/>
        </w:rPr>
        <w:t xml:space="preserve">risk compensation</w:t>
      </w:r>
      <w:r>
        <w:t xml:space="preserve"> </w:t>
      </w:r>
      <w:r>
        <w:t xml:space="preserve">(Massad et al. 2006)</w:t>
      </w:r>
      <w:r>
        <w:t xml:space="preserve">?</w:t>
      </w:r>
    </w:p>
    <w:p>
      <w:pPr>
        <w:pStyle w:val="Compact"/>
        <w:numPr>
          <w:ilvl w:val="0"/>
          <w:numId w:val="1024"/>
        </w:numPr>
      </w:pPr>
      <w:r>
        <w:t xml:space="preserve">evolution of higher virulence in unvaccinated people due to</w:t>
      </w:r>
      <w:r>
        <w:t xml:space="preserve"> </w:t>
      </w:r>
      <w:r>
        <w:t xml:space="preserve">“leaky”</w:t>
      </w:r>
      <w:r>
        <w:t xml:space="preserve"> </w:t>
      </w:r>
      <w:r>
        <w:t xml:space="preserve">vaccination</w:t>
      </w:r>
      <w:r>
        <w:t xml:space="preserve"> </w:t>
      </w:r>
      <w:r>
        <w:t xml:space="preserve">(Gandon et al. 2001)</w:t>
      </w:r>
      <w:r>
        <w:t xml:space="preserve">?</w:t>
      </w:r>
    </w:p>
    <w:p>
      <w:pPr>
        <w:pStyle w:val="Compact"/>
        <w:numPr>
          <w:ilvl w:val="0"/>
          <w:numId w:val="1024"/>
        </w:numPr>
      </w:pPr>
      <w:r>
        <w:t xml:space="preserve">mouse malaria:</w:t>
      </w:r>
      <w:r>
        <w:t xml:space="preserve"> </w:t>
      </w:r>
      <w:r>
        <w:t xml:space="preserve">(Margaret J. Mackinnon and Read 2004; M. J. Mackinnon, Gandon, and Read 2008)</w:t>
      </w:r>
      <w:r>
        <w:t xml:space="preserve">; consistent with</w:t>
      </w:r>
      <w:r>
        <w:t xml:space="preserve"> </w:t>
      </w:r>
      <w:r>
        <w:t xml:space="preserve">“arms race”</w:t>
      </w:r>
      <w:r>
        <w:t xml:space="preserve"> </w:t>
      </w:r>
      <w:r>
        <w:t xml:space="preserve">upregulation of replication</w:t>
      </w:r>
    </w:p>
    <w:p>
      <w:pPr>
        <w:pStyle w:val="Compact"/>
        <w:numPr>
          <w:ilvl w:val="0"/>
          <w:numId w:val="1024"/>
        </w:numPr>
      </w:pPr>
      <w:r>
        <w:t xml:space="preserve">increased virulence in Marek’s disease: reduced host generation time or effects of leaky vaccine?</w:t>
      </w:r>
      <w:r>
        <w:t xml:space="preserve"> </w:t>
      </w:r>
      <w:r>
        <w:t xml:space="preserve">(Atkins et al. 2013)</w:t>
      </w:r>
    </w:p>
    <w:p>
      <w:pPr>
        <w:pStyle w:val="Compact"/>
        <w:numPr>
          <w:ilvl w:val="0"/>
          <w:numId w:val="1024"/>
        </w:numPr>
      </w:pPr>
      <w:r>
        <w:t xml:space="preserve">in HIV due to antiretroviral therapy</w:t>
      </w:r>
      <w:r>
        <w:t xml:space="preserve"> </w:t>
      </w:r>
      <w:r>
        <w:t xml:space="preserve">(Herbeck et al. 2016)</w:t>
      </w:r>
      <w:r>
        <w:t xml:space="preserve">?</w:t>
      </w:r>
    </w:p>
    <w:p>
      <w:pPr>
        <w:pStyle w:val="FirstParagraph"/>
      </w:pPr>
      <w:r>
        <w:t xml:space="preserve">M. J. Mackinnon, Gandon, and Read (2008)</w:t>
      </w:r>
      <w:r>
        <w:t xml:space="preserve">:</w:t>
      </w:r>
    </w:p>
    <w:p>
      <w:pPr>
        <w:pStyle w:val="BlockText"/>
      </w:pPr>
      <w:r>
        <w:t xml:space="preserve">a cautionary approach to the widespread use of anti-replication or anti-disease vaccines seems justified. Ideally, this means combining such vaccines with transmission-blocking vaccines, bednets, drugs, housing improvements and other transmission-reducing measures</w:t>
      </w:r>
    </w:p>
    <w:bookmarkEnd w:id="57"/>
    <w:bookmarkStart w:id="111" w:name="references"/>
    <w:p>
      <w:pPr>
        <w:pStyle w:val="Heading2"/>
      </w:pPr>
      <w:r>
        <w:t xml:space="preserve">References</w:t>
      </w:r>
    </w:p>
    <w:bookmarkStart w:id="110" w:name="refs"/>
    <w:bookmarkStart w:id="59" w:name="ref-arien_is_2007"/>
    <w:p>
      <w:pPr>
        <w:pStyle w:val="Bibliography"/>
      </w:pPr>
      <w:r>
        <w:t xml:space="preserve">Ariën, Kevin K., Guido Vanham, and Eric J. Arts. 2007.</w:t>
      </w:r>
      <w:r>
        <w:t xml:space="preserve"> </w:t>
      </w:r>
      <w:r>
        <w:t xml:space="preserve">“Is</w:t>
      </w:r>
      <w:r>
        <w:t xml:space="preserve"> </w:t>
      </w:r>
      <w:r>
        <w:t xml:space="preserve">HIV</w:t>
      </w:r>
      <w:r>
        <w:t xml:space="preserve">-1 Evolving to a Less Virulent Form in Humans?”</w:t>
      </w:r>
      <w:r>
        <w:t xml:space="preserve"> </w:t>
      </w:r>
      <w:r>
        <w:rPr>
          <w:i/>
          <w:iCs/>
        </w:rPr>
        <w:t xml:space="preserve">Nature Reviews Microbiology</w:t>
      </w:r>
      <w:r>
        <w:t xml:space="preserve"> </w:t>
      </w:r>
      <w:r>
        <w:t xml:space="preserve">5 (2): 141–51.</w:t>
      </w:r>
      <w:r>
        <w:t xml:space="preserve"> </w:t>
      </w:r>
      <w:hyperlink r:id="rId58">
        <w:r>
          <w:rPr>
            <w:rStyle w:val="Hyperlink"/>
          </w:rPr>
          <w:t xml:space="preserve">https://doi.org/10.1038/nrmicro1594</w:t>
        </w:r>
      </w:hyperlink>
      <w:r>
        <w:t xml:space="preserve">.</w:t>
      </w:r>
    </w:p>
    <w:bookmarkEnd w:id="59"/>
    <w:bookmarkStart w:id="61" w:name="ref-atkins_vaccination_2013"/>
    <w:p>
      <w:pPr>
        <w:pStyle w:val="Bibliography"/>
      </w:pPr>
      <w:r>
        <w:t xml:space="preserve">Atkins, Katherine E., Andrew F. Read, Nicholas J. Savill, Katrin G. Renz, AFM Fakhrul Islam, Stephen W. Walkden-Brown, and Mark E. J. Woolhouse. 2013.</w:t>
      </w:r>
      <w:r>
        <w:t xml:space="preserve"> </w:t>
      </w:r>
      <w:r>
        <w:t xml:space="preserve">“Vaccination and</w:t>
      </w:r>
      <w:r>
        <w:t xml:space="preserve"> </w:t>
      </w:r>
      <w:r>
        <w:t xml:space="preserve">Reduced</w:t>
      </w:r>
      <w:r>
        <w:t xml:space="preserve"> </w:t>
      </w:r>
      <w:r>
        <w:t xml:space="preserve">Cohort</w:t>
      </w:r>
      <w:r>
        <w:t xml:space="preserve"> </w:t>
      </w:r>
      <w:r>
        <w:t xml:space="preserve">Duration</w:t>
      </w:r>
      <w:r>
        <w:t xml:space="preserve"> </w:t>
      </w:r>
      <w:r>
        <w:t xml:space="preserve">Can</w:t>
      </w:r>
      <w:r>
        <w:t xml:space="preserve"> </w:t>
      </w:r>
      <w:r>
        <w:t xml:space="preserve">Drive</w:t>
      </w:r>
      <w:r>
        <w:t xml:space="preserve"> </w:t>
      </w:r>
      <w:r>
        <w:t xml:space="preserve">Virulence</w:t>
      </w:r>
      <w:r>
        <w:t xml:space="preserve"> </w:t>
      </w:r>
      <w:r>
        <w:t xml:space="preserve">Evolution</w:t>
      </w:r>
      <w:r>
        <w:t xml:space="preserve">:</w:t>
      </w:r>
      <w:r>
        <w:t xml:space="preserve"> </w:t>
      </w:r>
      <w:r>
        <w:t xml:space="preserve">Marek</w:t>
      </w:r>
      <w:r>
        <w:t xml:space="preserve">’s</w:t>
      </w:r>
      <w:r>
        <w:t xml:space="preserve"> </w:t>
      </w:r>
      <w:r>
        <w:t xml:space="preserve">Disease</w:t>
      </w:r>
      <w:r>
        <w:t xml:space="preserve"> </w:t>
      </w:r>
      <w:r>
        <w:t xml:space="preserve">Virus</w:t>
      </w:r>
      <w:r>
        <w:t xml:space="preserve"> </w:t>
      </w:r>
      <w:r>
        <w:t xml:space="preserve">and</w:t>
      </w:r>
      <w:r>
        <w:t xml:space="preserve"> </w:t>
      </w:r>
      <w:r>
        <w:t xml:space="preserve">Industrialized</w:t>
      </w:r>
      <w:r>
        <w:t xml:space="preserve"> </w:t>
      </w:r>
      <w:r>
        <w:t xml:space="preserve">Agriculture</w:t>
      </w:r>
      <w:r>
        <w:t xml:space="preserve">.”</w:t>
      </w:r>
      <w:r>
        <w:t xml:space="preserve"> </w:t>
      </w:r>
      <w:r>
        <w:rPr>
          <w:i/>
          <w:iCs/>
        </w:rPr>
        <w:t xml:space="preserve">Evolution</w:t>
      </w:r>
      <w:r>
        <w:t xml:space="preserve"> </w:t>
      </w:r>
      <w:r>
        <w:t xml:space="preserve">67 (3): 851–60.</w:t>
      </w:r>
      <w:r>
        <w:t xml:space="preserve"> </w:t>
      </w:r>
      <w:hyperlink r:id="rId60">
        <w:r>
          <w:rPr>
            <w:rStyle w:val="Hyperlink"/>
          </w:rPr>
          <w:t xml:space="preserve">https://doi.org/10.1111/j.1558-5646.2012.01803.x</w:t>
        </w:r>
      </w:hyperlink>
      <w:r>
        <w:t xml:space="preserve">.</w:t>
      </w:r>
    </w:p>
    <w:bookmarkEnd w:id="61"/>
    <w:bookmarkStart w:id="63" w:name="ref-berngruber_evolution_2013"/>
    <w:p>
      <w:pPr>
        <w:pStyle w:val="Bibliography"/>
      </w:pPr>
      <w:r>
        <w:t xml:space="preserve">Berngruber, Thomas W., Rémy Froissart, Marc Choisy, and Sylvain Gandon. 2013.</w:t>
      </w:r>
      <w:r>
        <w:t xml:space="preserve"> </w:t>
      </w:r>
      <w:r>
        <w:t xml:space="preserve">“Evolution of</w:t>
      </w:r>
      <w:r>
        <w:t xml:space="preserve"> </w:t>
      </w:r>
      <w:r>
        <w:t xml:space="preserve">Virulence</w:t>
      </w:r>
      <w:r>
        <w:t xml:space="preserve"> </w:t>
      </w:r>
      <w:r>
        <w:t xml:space="preserve">in</w:t>
      </w:r>
      <w:r>
        <w:t xml:space="preserve"> </w:t>
      </w:r>
      <w:r>
        <w:t xml:space="preserve">Emerging</w:t>
      </w:r>
      <w:r>
        <w:t xml:space="preserve"> </w:t>
      </w:r>
      <w:r>
        <w:t xml:space="preserve">Epidemics</w:t>
      </w:r>
      <w:r>
        <w:t xml:space="preserve">.”</w:t>
      </w:r>
      <w:r>
        <w:t xml:space="preserve"> </w:t>
      </w:r>
      <w:r>
        <w:rPr>
          <w:i/>
          <w:iCs/>
        </w:rPr>
        <w:t xml:space="preserve">PLoS Pathog</w:t>
      </w:r>
      <w:r>
        <w:t xml:space="preserve"> </w:t>
      </w:r>
      <w:r>
        <w:t xml:space="preserve">9 (3): e1003209.</w:t>
      </w:r>
      <w:r>
        <w:t xml:space="preserve"> </w:t>
      </w:r>
      <w:hyperlink r:id="rId62">
        <w:r>
          <w:rPr>
            <w:rStyle w:val="Hyperlink"/>
          </w:rPr>
          <w:t xml:space="preserve">https://doi.org/10.1371/journal.ppat.1003209</w:t>
        </w:r>
      </w:hyperlink>
      <w:r>
        <w:t xml:space="preserve">.</w:t>
      </w:r>
    </w:p>
    <w:bookmarkEnd w:id="63"/>
    <w:bookmarkStart w:id="65" w:name="X2bd2ebfb20cf493f3f502fe8b8c88ba661c2b97"/>
    <w:p>
      <w:pPr>
        <w:pStyle w:val="Bibliography"/>
      </w:pPr>
      <w:r>
        <w:t xml:space="preserve">Blanquart, François, Mary Kate Grabowski, Joshua Herbeck, Fred Nalugoda, David Serwadda, Michael A. Eller, Merlin L. Robb, et al. 2016.</w:t>
      </w:r>
      <w:r>
        <w:t xml:space="preserve"> </w:t>
      </w:r>
      <w:r>
        <w:t xml:space="preserve">“A Transmission-Virulence Evolutionary Trade-Off Explains Attenuation of</w:t>
      </w:r>
      <w:r>
        <w:t xml:space="preserve"> </w:t>
      </w:r>
      <w:r>
        <w:t xml:space="preserve">HIV</w:t>
      </w:r>
      <w:r>
        <w:t xml:space="preserve">-1 in</w:t>
      </w:r>
      <w:r>
        <w:t xml:space="preserve"> </w:t>
      </w:r>
      <w:r>
        <w:t xml:space="preserve">Uganda</w:t>
      </w:r>
      <w:r>
        <w:t xml:space="preserve">.”</w:t>
      </w:r>
      <w:r>
        <w:t xml:space="preserve"> </w:t>
      </w:r>
      <w:r>
        <w:rPr>
          <w:i/>
          <w:iCs/>
        </w:rPr>
        <w:t xml:space="preserve">eLife</w:t>
      </w:r>
      <w:r>
        <w:t xml:space="preserve"> </w:t>
      </w:r>
      <w:r>
        <w:t xml:space="preserve">5 (November): e20492.</w:t>
      </w:r>
      <w:r>
        <w:t xml:space="preserve"> </w:t>
      </w:r>
      <w:hyperlink r:id="rId64">
        <w:r>
          <w:rPr>
            <w:rStyle w:val="Hyperlink"/>
          </w:rPr>
          <w:t xml:space="preserve">https://doi.org/10.7554/eLife.20492</w:t>
        </w:r>
      </w:hyperlink>
      <w:r>
        <w:t xml:space="preserve">.</w:t>
      </w:r>
    </w:p>
    <w:bookmarkEnd w:id="65"/>
    <w:bookmarkStart w:id="67" w:name="ref-bolker_transient_2010"/>
    <w:p>
      <w:pPr>
        <w:pStyle w:val="Bibliography"/>
      </w:pPr>
      <w:r>
        <w:t xml:space="preserve">Bolker, Benjamin M., Arjun Nanda, and Dharmini Shah. 2010.</w:t>
      </w:r>
      <w:r>
        <w:t xml:space="preserve"> </w:t>
      </w:r>
      <w:r>
        <w:t xml:space="preserve">“Transient Virulence of Emerging Pathogens.”</w:t>
      </w:r>
      <w:r>
        <w:t xml:space="preserve"> </w:t>
      </w:r>
      <w:r>
        <w:rPr>
          <w:i/>
          <w:iCs/>
        </w:rPr>
        <w:t xml:space="preserve">Journal of the Royal Society Interface</w:t>
      </w:r>
      <w:r>
        <w:t xml:space="preserve"> </w:t>
      </w:r>
      <w:r>
        <w:t xml:space="preserve">7 (46): 811–22.</w:t>
      </w:r>
      <w:r>
        <w:t xml:space="preserve"> </w:t>
      </w:r>
      <w:hyperlink r:id="rId66">
        <w:r>
          <w:rPr>
            <w:rStyle w:val="Hyperlink"/>
          </w:rPr>
          <w:t xml:space="preserve">https://doi.org/10.1098/rsif.2009.0384</w:t>
        </w:r>
      </w:hyperlink>
      <w:r>
        <w:t xml:space="preserve">.</w:t>
      </w:r>
    </w:p>
    <w:bookmarkEnd w:id="67"/>
    <w:bookmarkStart w:id="69" w:name="ref-bonhoeffer_curse_1996"/>
    <w:p>
      <w:pPr>
        <w:pStyle w:val="Bibliography"/>
      </w:pPr>
      <w:r>
        <w:t xml:space="preserve">Bonhoeffer, S., R. E Lenski, and D. Ebert. 1996.</w:t>
      </w:r>
      <w:r>
        <w:t xml:space="preserve"> </w:t>
      </w:r>
      <w:r>
        <w:t xml:space="preserve">“The Curse of the Pharaoh: The Evolution of Virulence in Pathogens with Long Living Propagules.”</w:t>
      </w:r>
      <w:r>
        <w:t xml:space="preserve"> </w:t>
      </w:r>
      <w:r>
        <w:rPr>
          <w:i/>
          <w:iCs/>
        </w:rPr>
        <w:t xml:space="preserve">Proceedings of the Royal Society of London. Series B: Biological Sciences</w:t>
      </w:r>
      <w:r>
        <w:t xml:space="preserve"> </w:t>
      </w:r>
      <w:r>
        <w:t xml:space="preserve">263 (1371): 715–21.</w:t>
      </w:r>
      <w:r>
        <w:t xml:space="preserve"> </w:t>
      </w:r>
      <w:hyperlink r:id="rId68">
        <w:r>
          <w:rPr>
            <w:rStyle w:val="Hyperlink"/>
          </w:rPr>
          <w:t xml:space="preserve">https://doi.org/10.1098/rspb.1996.0107</w:t>
        </w:r>
      </w:hyperlink>
      <w:r>
        <w:t xml:space="preserve">.</w:t>
      </w:r>
    </w:p>
    <w:bookmarkEnd w:id="69"/>
    <w:bookmarkStart w:id="71" w:name="ref-carabelliSARSCoV2VariantBiology2023"/>
    <w:p>
      <w:pPr>
        <w:pStyle w:val="Bibliography"/>
      </w:pPr>
      <w:r>
        <w:t xml:space="preserve">Carabelli, Alessandro M., Thomas P. Peacock, Lucy G. Thorne, William T. Harvey, Joseph Hughes, Thushan I. de Silva, Sharon J. Peacock, et al. 2023.</w:t>
      </w:r>
      <w:r>
        <w:t xml:space="preserve"> </w:t>
      </w:r>
      <w:r>
        <w:t xml:space="preserve">“</w:t>
      </w:r>
      <w:r>
        <w:t xml:space="preserve">SARS-CoV-2</w:t>
      </w:r>
      <w:r>
        <w:t xml:space="preserve"> </w:t>
      </w:r>
      <w:r>
        <w:t xml:space="preserve">Variant Biology: Immune Escape, Transmission and Fitness.”</w:t>
      </w:r>
      <w:r>
        <w:t xml:space="preserve"> </w:t>
      </w:r>
      <w:r>
        <w:rPr>
          <w:i/>
          <w:iCs/>
        </w:rPr>
        <w:t xml:space="preserve">Nature Reviews Microbiology</w:t>
      </w:r>
      <w:r>
        <w:t xml:space="preserve"> </w:t>
      </w:r>
      <w:r>
        <w:t xml:space="preserve">21 (3): 162–77.</w:t>
      </w:r>
      <w:r>
        <w:t xml:space="preserve"> </w:t>
      </w:r>
      <w:hyperlink r:id="rId70">
        <w:r>
          <w:rPr>
            <w:rStyle w:val="Hyperlink"/>
          </w:rPr>
          <w:t xml:space="preserve">https://doi.org/10.1038/s41579-022-00841-7</w:t>
        </w:r>
      </w:hyperlink>
      <w:r>
        <w:t xml:space="preserve">.</w:t>
      </w:r>
    </w:p>
    <w:bookmarkEnd w:id="71"/>
    <w:bookmarkStart w:id="73" w:name="ref-crosby_virgin_1976"/>
    <w:p>
      <w:pPr>
        <w:pStyle w:val="Bibliography"/>
      </w:pPr>
      <w:r>
        <w:t xml:space="preserve">Crosby, Alfred W. 1976.</w:t>
      </w:r>
      <w:r>
        <w:t xml:space="preserve"> </w:t>
      </w:r>
      <w:r>
        <w:t xml:space="preserve">“Virgin</w:t>
      </w:r>
      <w:r>
        <w:t xml:space="preserve"> </w:t>
      </w:r>
      <w:r>
        <w:t xml:space="preserve">Soil</w:t>
      </w:r>
      <w:r>
        <w:t xml:space="preserve"> </w:t>
      </w:r>
      <w:r>
        <w:t xml:space="preserve">Epidemics</w:t>
      </w:r>
      <w:r>
        <w:t xml:space="preserve"> </w:t>
      </w:r>
      <w:r>
        <w:t xml:space="preserve">as a</w:t>
      </w:r>
      <w:r>
        <w:t xml:space="preserve"> </w:t>
      </w:r>
      <w:r>
        <w:t xml:space="preserve">Factor</w:t>
      </w:r>
      <w:r>
        <w:t xml:space="preserve"> </w:t>
      </w:r>
      <w:r>
        <w:t xml:space="preserve">in the</w:t>
      </w:r>
      <w:r>
        <w:t xml:space="preserve"> </w:t>
      </w:r>
      <w:r>
        <w:t xml:space="preserve">Aboriginal</w:t>
      </w:r>
      <w:r>
        <w:t xml:space="preserve"> </w:t>
      </w:r>
      <w:r>
        <w:t xml:space="preserve">Depopulation</w:t>
      </w:r>
      <w:r>
        <w:t xml:space="preserve"> </w:t>
      </w:r>
      <w:r>
        <w:t xml:space="preserve">in</w:t>
      </w:r>
      <w:r>
        <w:t xml:space="preserve"> </w:t>
      </w:r>
      <w:r>
        <w:t xml:space="preserve">America</w:t>
      </w:r>
      <w:r>
        <w:t xml:space="preserve">.”</w:t>
      </w:r>
      <w:r>
        <w:t xml:space="preserve"> </w:t>
      </w:r>
      <w:r>
        <w:rPr>
          <w:i/>
          <w:iCs/>
        </w:rPr>
        <w:t xml:space="preserve">The William and Mary Quarterly</w:t>
      </w:r>
      <w:r>
        <w:t xml:space="preserve"> </w:t>
      </w:r>
      <w:r>
        <w:t xml:space="preserve">33 (2): 289–99.</w:t>
      </w:r>
      <w:r>
        <w:t xml:space="preserve"> </w:t>
      </w:r>
      <w:hyperlink r:id="rId72">
        <w:r>
          <w:rPr>
            <w:rStyle w:val="Hyperlink"/>
          </w:rPr>
          <w:t xml:space="preserve">https://doi.org/10.2307/1922166</w:t>
        </w:r>
      </w:hyperlink>
      <w:r>
        <w:t xml:space="preserve">.</w:t>
      </w:r>
    </w:p>
    <w:bookmarkEnd w:id="73"/>
    <w:bookmarkStart w:id="75" w:name="ref-day_general_2004"/>
    <w:p>
      <w:pPr>
        <w:pStyle w:val="Bibliography"/>
      </w:pPr>
      <w:r>
        <w:t xml:space="preserve">Day, Troy, and Stephen R. Proulx. 2004.</w:t>
      </w:r>
      <w:r>
        <w:t xml:space="preserve"> </w:t>
      </w:r>
      <w:r>
        <w:t xml:space="preserve">“A General Theory for the Evolutionary Dynamics of Virulence.”</w:t>
      </w:r>
      <w:r>
        <w:t xml:space="preserve"> </w:t>
      </w:r>
      <w:r>
        <w:rPr>
          <w:i/>
          <w:iCs/>
        </w:rPr>
        <w:t xml:space="preserve">The American Naturalist</w:t>
      </w:r>
      <w:r>
        <w:t xml:space="preserve"> </w:t>
      </w:r>
      <w:r>
        <w:t xml:space="preserve">163 (4): E40–63.</w:t>
      </w:r>
      <w:r>
        <w:t xml:space="preserve"> </w:t>
      </w:r>
      <w:hyperlink r:id="rId74">
        <w:r>
          <w:rPr>
            <w:rStyle w:val="Hyperlink"/>
          </w:rPr>
          <w:t xml:space="preserve">http://www.jstor.org/stable/10.1086/382548</w:t>
        </w:r>
      </w:hyperlink>
      <w:r>
        <w:t xml:space="preserve">.</w:t>
      </w:r>
    </w:p>
    <w:bookmarkEnd w:id="75"/>
    <w:bookmarkStart w:id="77" w:name="ref-decaestecker_hostparasite_2007"/>
    <w:p>
      <w:pPr>
        <w:pStyle w:val="Bibliography"/>
      </w:pPr>
      <w:r>
        <w:t xml:space="preserve">Decaestecker, Ellen, Sabrina Gaba, Joost A. M. Raeymaekers, Robby Stoks, Liesbeth Van Kerckhoven, Dieter Ebert, and Luc De Meester. 2007.</w:t>
      </w:r>
      <w:r>
        <w:t xml:space="preserve"> </w:t>
      </w:r>
      <w:r>
        <w:t xml:space="preserve">“Host–Parasite</w:t>
      </w:r>
      <w:r>
        <w:t xml:space="preserve"> </w:t>
      </w:r>
      <w:r>
        <w:t xml:space="preserve">‘</w:t>
      </w:r>
      <w:r>
        <w:t xml:space="preserve">Red</w:t>
      </w:r>
      <w:r>
        <w:t xml:space="preserve"> </w:t>
      </w:r>
      <w:r>
        <w:t xml:space="preserve">Queen</w:t>
      </w:r>
      <w:r>
        <w:t xml:space="preserve">’</w:t>
      </w:r>
      <w:r>
        <w:t xml:space="preserve"> </w:t>
      </w:r>
      <w:r>
        <w:t xml:space="preserve">Dynamics Archived in Pond Sediment.”</w:t>
      </w:r>
      <w:r>
        <w:t xml:space="preserve"> </w:t>
      </w:r>
      <w:r>
        <w:rPr>
          <w:i/>
          <w:iCs/>
        </w:rPr>
        <w:t xml:space="preserve">Nature</w:t>
      </w:r>
      <w:r>
        <w:t xml:space="preserve"> </w:t>
      </w:r>
      <w:r>
        <w:t xml:space="preserve">450 (7171): 870–73.</w:t>
      </w:r>
      <w:r>
        <w:t xml:space="preserve"> </w:t>
      </w:r>
      <w:hyperlink r:id="rId76">
        <w:r>
          <w:rPr>
            <w:rStyle w:val="Hyperlink"/>
          </w:rPr>
          <w:t xml:space="preserve">https://doi.org/10.1038/nature06291</w:t>
        </w:r>
      </w:hyperlink>
      <w:r>
        <w:t xml:space="preserve">.</w:t>
      </w:r>
    </w:p>
    <w:bookmarkEnd w:id="77"/>
    <w:bookmarkStart w:id="78" w:name="ref-dwyerSimulation1990a"/>
    <w:p>
      <w:pPr>
        <w:pStyle w:val="Bibliography"/>
      </w:pPr>
      <w:r>
        <w:t xml:space="preserve">Dwyer, G., S. A. Levin, and L. Buttel. 1990.</w:t>
      </w:r>
      <w:r>
        <w:t xml:space="preserve"> </w:t>
      </w:r>
      <w:r>
        <w:t xml:space="preserve">“A Simulation Model of the Population Dynamics and Evolution of Myxomatosis.”</w:t>
      </w:r>
      <w:r>
        <w:t xml:space="preserve"> </w:t>
      </w:r>
      <w:r>
        <w:rPr>
          <w:i/>
          <w:iCs/>
        </w:rPr>
        <w:t xml:space="preserve">Ecological Monographs</w:t>
      </w:r>
      <w:r>
        <w:t xml:space="preserve"> </w:t>
      </w:r>
      <w:r>
        <w:t xml:space="preserve">60: 423–47.</w:t>
      </w:r>
    </w:p>
    <w:bookmarkEnd w:id="78"/>
    <w:bookmarkStart w:id="79" w:name="ref-fennerEpidemiological1956"/>
    <w:p>
      <w:pPr>
        <w:pStyle w:val="Bibliography"/>
      </w:pPr>
      <w:r>
        <w:t xml:space="preserve">Fenner, Frank, M. F. Day, and Gwendolyn M. Woodroofe. 1956.</w:t>
      </w:r>
      <w:r>
        <w:t xml:space="preserve"> </w:t>
      </w:r>
      <w:r>
        <w:t xml:space="preserve">“Epidemiological Consequences of the Mechanical Transmission of Myxomatosis by Mosquitoes.”</w:t>
      </w:r>
      <w:r>
        <w:t xml:space="preserve"> </w:t>
      </w:r>
      <w:r>
        <w:rPr>
          <w:i/>
          <w:iCs/>
        </w:rPr>
        <w:t xml:space="preserve">J. Hyg. (London)</w:t>
      </w:r>
      <w:r>
        <w:t xml:space="preserve"> </w:t>
      </w:r>
      <w:r>
        <w:t xml:space="preserve">54 (2): 284–302.</w:t>
      </w:r>
    </w:p>
    <w:bookmarkEnd w:id="79"/>
    <w:bookmarkStart w:id="80" w:name="ref-frank_models_1996"/>
    <w:p>
      <w:pPr>
        <w:pStyle w:val="Bibliography"/>
      </w:pPr>
      <w:r>
        <w:t xml:space="preserve">Frank, S. A. 1996.</w:t>
      </w:r>
      <w:r>
        <w:t xml:space="preserve"> </w:t>
      </w:r>
      <w:r>
        <w:t xml:space="preserve">“Models of Parasite Virulence.”</w:t>
      </w:r>
      <w:r>
        <w:t xml:space="preserve"> </w:t>
      </w:r>
      <w:r>
        <w:rPr>
          <w:i/>
          <w:iCs/>
        </w:rPr>
        <w:t xml:space="preserve">Quarterly Review of Biology</w:t>
      </w:r>
      <w:r>
        <w:t xml:space="preserve"> </w:t>
      </w:r>
      <w:r>
        <w:t xml:space="preserve">71 (1): 37–78.</w:t>
      </w:r>
    </w:p>
    <w:bookmarkEnd w:id="80"/>
    <w:bookmarkStart w:id="81" w:name="ref-Gandon+2001"/>
    <w:p>
      <w:pPr>
        <w:pStyle w:val="Bibliography"/>
      </w:pPr>
      <w:r>
        <w:t xml:space="preserve">Gandon, Sylvain, Margaret J. Mackinnon, Sean Nee, and Andrew F. Read. 2001.</w:t>
      </w:r>
      <w:r>
        <w:t xml:space="preserve"> </w:t>
      </w:r>
      <w:r>
        <w:t xml:space="preserve">“Imperfect Vaccines and the Evolution of Pathogen Virulence.”</w:t>
      </w:r>
      <w:r>
        <w:t xml:space="preserve"> </w:t>
      </w:r>
      <w:r>
        <w:rPr>
          <w:i/>
          <w:iCs/>
        </w:rPr>
        <w:t xml:space="preserve">Nature</w:t>
      </w:r>
      <w:r>
        <w:t xml:space="preserve"> </w:t>
      </w:r>
      <w:r>
        <w:t xml:space="preserve">414: 751–55.</w:t>
      </w:r>
    </w:p>
    <w:bookmarkEnd w:id="81"/>
    <w:bookmarkStart w:id="83" w:name="ref-herbeck_evolution_2016"/>
    <w:p>
      <w:pPr>
        <w:pStyle w:val="Bibliography"/>
      </w:pPr>
      <w:r>
        <w:t xml:space="preserve">Herbeck, Joshua T., John E. Mittler, Geoffrey S. Gottlieb, Steven M. Goodreau, James T. Murphy, Anne Cori, Michael Pickles, and Christophe Fraser. 2016.</w:t>
      </w:r>
      <w:r>
        <w:t xml:space="preserve"> </w:t>
      </w:r>
      <w:r>
        <w:t xml:space="preserve">“Evolution of</w:t>
      </w:r>
      <w:r>
        <w:t xml:space="preserve"> </w:t>
      </w:r>
      <w:r>
        <w:t xml:space="preserve">HIV</w:t>
      </w:r>
      <w:r>
        <w:t xml:space="preserve"> </w:t>
      </w:r>
      <w:r>
        <w:t xml:space="preserve">Virulence in Response to Widespread Scale up of Antiretroviral Therapy: A Modeling Study.”</w:t>
      </w:r>
      <w:r>
        <w:t xml:space="preserve"> </w:t>
      </w:r>
      <w:r>
        <w:rPr>
          <w:i/>
          <w:iCs/>
        </w:rPr>
        <w:t xml:space="preserve">Virus Evolution</w:t>
      </w:r>
      <w:r>
        <w:t xml:space="preserve"> </w:t>
      </w:r>
      <w:r>
        <w:t xml:space="preserve">2 (2): vew028.</w:t>
      </w:r>
      <w:r>
        <w:t xml:space="preserve"> </w:t>
      </w:r>
      <w:hyperlink r:id="rId82">
        <w:r>
          <w:rPr>
            <w:rStyle w:val="Hyperlink"/>
          </w:rPr>
          <w:t xml:space="preserve">https://doi.org/10.1093/ve/vew028</w:t>
        </w:r>
      </w:hyperlink>
      <w:r>
        <w:t xml:space="preserve">.</w:t>
      </w:r>
    </w:p>
    <w:bookmarkEnd w:id="83"/>
    <w:bookmarkStart w:id="85" w:name="ref-herbeck_is_2012"/>
    <w:p>
      <w:pPr>
        <w:pStyle w:val="Bibliography"/>
      </w:pPr>
      <w:r>
        <w:t xml:space="preserve">Herbeck, Joshua T., Viktor Müller, Brandon S. Maust, Bruno Ledergerber, Carlo Torti, Simona Di Giambenedetto, Luuk Gras, et al. 2012.</w:t>
      </w:r>
      <w:r>
        <w:t xml:space="preserve"> </w:t>
      </w:r>
      <w:r>
        <w:t xml:space="preserve">“Is the Virulence of</w:t>
      </w:r>
      <w:r>
        <w:t xml:space="preserve"> </w:t>
      </w:r>
      <w:r>
        <w:t xml:space="preserve">HIV</w:t>
      </w:r>
      <w:r>
        <w:t xml:space="preserve"> </w:t>
      </w:r>
      <w:r>
        <w:t xml:space="preserve">Changing?</w:t>
      </w:r>
      <w:r>
        <w:t xml:space="preserve"> </w:t>
      </w:r>
      <w:r>
        <w:t xml:space="preserve">A</w:t>
      </w:r>
      <w:r>
        <w:t xml:space="preserve"> </w:t>
      </w:r>
      <w:r>
        <w:t xml:space="preserve">Meta-Analysis of Trends in Prognostic Markers of</w:t>
      </w:r>
      <w:r>
        <w:t xml:space="preserve"> </w:t>
      </w:r>
      <w:r>
        <w:t xml:space="preserve">HIV</w:t>
      </w:r>
      <w:r>
        <w:t xml:space="preserve"> </w:t>
      </w:r>
      <w:r>
        <w:t xml:space="preserve">Disease Progression and Transmission.”</w:t>
      </w:r>
      <w:r>
        <w:t xml:space="preserve"> </w:t>
      </w:r>
      <w:r>
        <w:rPr>
          <w:i/>
          <w:iCs/>
        </w:rPr>
        <w:t xml:space="preserve">AIDS (London, England)</w:t>
      </w:r>
      <w:r>
        <w:t xml:space="preserve"> </w:t>
      </w:r>
      <w:r>
        <w:t xml:space="preserve">26 (2): 193–205.</w:t>
      </w:r>
      <w:r>
        <w:t xml:space="preserve"> </w:t>
      </w:r>
      <w:hyperlink r:id="rId84">
        <w:r>
          <w:rPr>
            <w:rStyle w:val="Hyperlink"/>
          </w:rPr>
          <w:t xml:space="preserve">https://doi.org/10.1097/QAD.0b013e32834db418</w:t>
        </w:r>
      </w:hyperlink>
      <w:r>
        <w:t xml:space="preserve">.</w:t>
      </w:r>
    </w:p>
    <w:bookmarkEnd w:id="85"/>
    <w:bookmarkStart w:id="86" w:name="ref-kamo_evolution_2006"/>
    <w:p>
      <w:pPr>
        <w:pStyle w:val="Bibliography"/>
      </w:pPr>
      <w:r>
        <w:t xml:space="preserve">Kamo, M., and M. Boots. 2006.</w:t>
      </w:r>
      <w:r>
        <w:t xml:space="preserve"> </w:t>
      </w:r>
      <w:r>
        <w:t xml:space="preserve">“The Evolution of Parasite Dispersal, Transmission, and Virulence in Spatial Host Populations.”</w:t>
      </w:r>
      <w:r>
        <w:t xml:space="preserve"> </w:t>
      </w:r>
      <w:r>
        <w:rPr>
          <w:i/>
          <w:iCs/>
        </w:rPr>
        <w:t xml:space="preserve">Evolutionary Ecology Research</w:t>
      </w:r>
      <w:r>
        <w:t xml:space="preserve"> </w:t>
      </w:r>
      <w:r>
        <w:t xml:space="preserve">8 (7): 1333–47.</w:t>
      </w:r>
    </w:p>
    <w:bookmarkEnd w:id="86"/>
    <w:bookmarkStart w:id="88" w:name="ref-kerrDivergent2022"/>
    <w:p>
      <w:pPr>
        <w:pStyle w:val="Bibliography"/>
      </w:pPr>
      <w:r>
        <w:t xml:space="preserve">Kerr, Peter J., Isabella M. Cattadori, Derek Sim, June Liu, Edward C. Holmes, and Andrew F. Read. 2022.</w:t>
      </w:r>
      <w:r>
        <w:t xml:space="preserve"> </w:t>
      </w:r>
      <w:r>
        <w:t xml:space="preserve">“Divergent Evolutionary Pathways of Myxoma Virus in</w:t>
      </w:r>
      <w:r>
        <w:t xml:space="preserve"> </w:t>
      </w:r>
      <w:r>
        <w:t xml:space="preserve">Australia</w:t>
      </w:r>
      <w:r>
        <w:t xml:space="preserve">: Virulence Phenotypes in Susceptible and Partially Resistant Rabbits Indicate Possible Selection for Transmissibility.”</w:t>
      </w:r>
      <w:r>
        <w:t xml:space="preserve"> </w:t>
      </w:r>
      <w:r>
        <w:rPr>
          <w:i/>
          <w:iCs/>
        </w:rPr>
        <w:t xml:space="preserve">Journal of Virology</w:t>
      </w:r>
      <w:r>
        <w:t xml:space="preserve"> </w:t>
      </w:r>
      <w:r>
        <w:t xml:space="preserve">96 (20): e00886–22.</w:t>
      </w:r>
      <w:r>
        <w:t xml:space="preserve"> </w:t>
      </w:r>
      <w:hyperlink r:id="rId87">
        <w:r>
          <w:rPr>
            <w:rStyle w:val="Hyperlink"/>
          </w:rPr>
          <w:t xml:space="preserve">https://doi.org/10.1128/jvi.00886-22</w:t>
        </w:r>
      </w:hyperlink>
      <w:r>
        <w:t xml:space="preserve">.</w:t>
      </w:r>
    </w:p>
    <w:bookmarkEnd w:id="88"/>
    <w:bookmarkStart w:id="90" w:name="ref-kerrEvolutionary2012a"/>
    <w:p>
      <w:pPr>
        <w:pStyle w:val="Bibliography"/>
      </w:pPr>
      <w:r>
        <w:t xml:space="preserve">Kerr, Peter J., Elodie Ghedin, Jay V. DePasse, Adam Fitch, Isabella M. Cattadori, Peter J. Hudson, David C. Tscharke, Andrew F. Read, and Edward C. Holmes. 2012.</w:t>
      </w:r>
      <w:r>
        <w:t xml:space="preserve"> </w:t>
      </w:r>
      <w:r>
        <w:t xml:space="preserve">“Evolutionary</w:t>
      </w:r>
      <w:r>
        <w:t xml:space="preserve"> </w:t>
      </w:r>
      <w:r>
        <w:t xml:space="preserve">History</w:t>
      </w:r>
      <w:r>
        <w:t xml:space="preserve"> </w:t>
      </w:r>
      <w:r>
        <w:t xml:space="preserve">and</w:t>
      </w:r>
      <w:r>
        <w:t xml:space="preserve"> </w:t>
      </w:r>
      <w:r>
        <w:t xml:space="preserve">Attenuation</w:t>
      </w:r>
      <w:r>
        <w:t xml:space="preserve"> </w:t>
      </w:r>
      <w:r>
        <w:t xml:space="preserve">of</w:t>
      </w:r>
      <w:r>
        <w:t xml:space="preserve"> </w:t>
      </w:r>
      <w:r>
        <w:t xml:space="preserve">Myxoma Virus</w:t>
      </w:r>
      <w:r>
        <w:t xml:space="preserve"> </w:t>
      </w:r>
      <w:r>
        <w:t xml:space="preserve">on</w:t>
      </w:r>
      <w:r>
        <w:t xml:space="preserve"> </w:t>
      </w:r>
      <w:r>
        <w:t xml:space="preserve">Two Continents</w:t>
      </w:r>
      <w:r>
        <w:t xml:space="preserve">.”</w:t>
      </w:r>
      <w:r>
        <w:t xml:space="preserve"> </w:t>
      </w:r>
      <w:r>
        <w:rPr>
          <w:i/>
          <w:iCs/>
        </w:rPr>
        <w:t xml:space="preserve">PLoS Pathog</w:t>
      </w:r>
      <w:r>
        <w:t xml:space="preserve"> </w:t>
      </w:r>
      <w:r>
        <w:t xml:space="preserve">8 (10): e1002950.</w:t>
      </w:r>
      <w:r>
        <w:t xml:space="preserve"> </w:t>
      </w:r>
      <w:hyperlink r:id="rId89">
        <w:r>
          <w:rPr>
            <w:rStyle w:val="Hyperlink"/>
          </w:rPr>
          <w:t xml:space="preserve">https://doi.org/10.1371/journal.ppat.1002950</w:t>
        </w:r>
      </w:hyperlink>
      <w:r>
        <w:t xml:space="preserve">.</w:t>
      </w:r>
    </w:p>
    <w:bookmarkEnd w:id="90"/>
    <w:bookmarkStart w:id="91" w:name="ref-kerrComparative2013"/>
    <w:p>
      <w:pPr>
        <w:pStyle w:val="Bibliography"/>
      </w:pPr>
      <w:r>
        <w:t xml:space="preserve">Kerr, Peter J., Matthew B. Rogers, Adam Fitch, Jay V. DePasse, Isabella M. Cattadori, Peter J. Hudson, David C. Tscharke, Edward C. Holmes, and Elodie Ghedin. 2013.</w:t>
      </w:r>
      <w:r>
        <w:t xml:space="preserve"> </w:t>
      </w:r>
      <w:r>
        <w:t xml:space="preserve">“Comparative Analysis of the Complete Genome Sequence of the</w:t>
      </w:r>
      <w:r>
        <w:t xml:space="preserve"> </w:t>
      </w:r>
      <w:r>
        <w:t xml:space="preserve">California MSW</w:t>
      </w:r>
      <w:r>
        <w:t xml:space="preserve"> </w:t>
      </w:r>
      <w:r>
        <w:t xml:space="preserve">Strain of Myxoma Virus Reveals Potential Host Adaptations.”</w:t>
      </w:r>
      <w:r>
        <w:t xml:space="preserve"> </w:t>
      </w:r>
      <w:r>
        <w:rPr>
          <w:i/>
          <w:iCs/>
        </w:rPr>
        <w:t xml:space="preserve">Journal of Virology</w:t>
      </w:r>
      <w:r>
        <w:t xml:space="preserve"> </w:t>
      </w:r>
      <w:r>
        <w:t xml:space="preserve">87 (22): 12080–89.</w:t>
      </w:r>
    </w:p>
    <w:bookmarkEnd w:id="91"/>
    <w:bookmarkStart w:id="93" w:name="ref-knell_syphilis_2004"/>
    <w:p>
      <w:pPr>
        <w:pStyle w:val="Bibliography"/>
      </w:pPr>
      <w:r>
        <w:t xml:space="preserve">Knell, Robert J. 2004.</w:t>
      </w:r>
      <w:r>
        <w:t xml:space="preserve"> </w:t>
      </w:r>
      <w:r>
        <w:t xml:space="preserve">“Syphilis in</w:t>
      </w:r>
      <w:r>
        <w:t xml:space="preserve"> </w:t>
      </w:r>
      <w:r>
        <w:t xml:space="preserve">Renaissance</w:t>
      </w:r>
      <w:r>
        <w:t xml:space="preserve"> </w:t>
      </w:r>
      <w:r>
        <w:t xml:space="preserve">Europe</w:t>
      </w:r>
      <w:r>
        <w:t xml:space="preserve">: Rapid Evolution of an Introduced Sexually Transmitted Disease?”</w:t>
      </w:r>
      <w:r>
        <w:t xml:space="preserve"> </w:t>
      </w:r>
      <w:r>
        <w:rPr>
          <w:i/>
          <w:iCs/>
        </w:rPr>
        <w:t xml:space="preserve">Proceedings of the Royal Society of London. Series B: Biological Sciences</w:t>
      </w:r>
      <w:r>
        <w:t xml:space="preserve"> </w:t>
      </w:r>
      <w:r>
        <w:t xml:space="preserve">271 (suppl_4).</w:t>
      </w:r>
      <w:r>
        <w:t xml:space="preserve"> </w:t>
      </w:r>
      <w:hyperlink r:id="rId92">
        <w:r>
          <w:rPr>
            <w:rStyle w:val="Hyperlink"/>
          </w:rPr>
          <w:t xml:space="preserve">https://doi.org/10.1098/rsbl.2003.0131</w:t>
        </w:r>
      </w:hyperlink>
      <w:r>
        <w:t xml:space="preserve">.</w:t>
      </w:r>
    </w:p>
    <w:bookmarkEnd w:id="93"/>
    <w:bookmarkStart w:id="95" w:name="ref-levin_short-sighted_1994"/>
    <w:p>
      <w:pPr>
        <w:pStyle w:val="Bibliography"/>
      </w:pPr>
      <w:r>
        <w:t xml:space="preserve">Levin, Bruce R., and James J. Bull. 1994.</w:t>
      </w:r>
      <w:r>
        <w:t xml:space="preserve"> </w:t>
      </w:r>
      <w:r>
        <w:t xml:space="preserve">“Short-Sighted Evolution and the Virulence of Pathogenic Microorganisms.”</w:t>
      </w:r>
      <w:r>
        <w:t xml:space="preserve"> </w:t>
      </w:r>
      <w:r>
        <w:rPr>
          <w:i/>
          <w:iCs/>
        </w:rPr>
        <w:t xml:space="preserve">Trends in Microbiology</w:t>
      </w:r>
      <w:r>
        <w:t xml:space="preserve"> </w:t>
      </w:r>
      <w:r>
        <w:t xml:space="preserve">2 (3): 76–81.</w:t>
      </w:r>
      <w:r>
        <w:t xml:space="preserve"> </w:t>
      </w:r>
      <w:hyperlink r:id="rId94">
        <w:r>
          <w:rPr>
            <w:rStyle w:val="Hyperlink"/>
          </w:rPr>
          <w:t xml:space="preserve">https://doi.org/10.1016/0966-842X(94)90538-X</w:t>
        </w:r>
      </w:hyperlink>
      <w:r>
        <w:t xml:space="preserve">.</w:t>
      </w:r>
    </w:p>
    <w:bookmarkEnd w:id="95"/>
    <w:bookmarkStart w:id="97" w:name="ref-mackinnon_virulence_2008"/>
    <w:p>
      <w:pPr>
        <w:pStyle w:val="Bibliography"/>
      </w:pPr>
      <w:r>
        <w:t xml:space="preserve">Mackinnon, M. J., S. Gandon, and A. F. Read. 2008.</w:t>
      </w:r>
      <w:r>
        <w:t xml:space="preserve"> </w:t>
      </w:r>
      <w:r>
        <w:t xml:space="preserve">“Virulence Evolution in Response to Vaccination:</w:t>
      </w:r>
      <w:r>
        <w:t xml:space="preserve"> </w:t>
      </w:r>
      <w:r>
        <w:t xml:space="preserve">The</w:t>
      </w:r>
      <w:r>
        <w:t xml:space="preserve"> </w:t>
      </w:r>
      <w:r>
        <w:t xml:space="preserve">Case of Malaria.”</w:t>
      </w:r>
      <w:r>
        <w:t xml:space="preserve"> </w:t>
      </w:r>
      <w:r>
        <w:rPr>
          <w:i/>
          <w:iCs/>
        </w:rPr>
        <w:t xml:space="preserve">Vaccine</w:t>
      </w:r>
      <w:r>
        <w:t xml:space="preserve">, The</w:t>
      </w:r>
      <w:r>
        <w:t xml:space="preserve"> </w:t>
      </w:r>
      <w:r>
        <w:t xml:space="preserve">Evolutionary</w:t>
      </w:r>
      <w:r>
        <w:t xml:space="preserve"> </w:t>
      </w:r>
      <w:r>
        <w:t xml:space="preserve">Consequences</w:t>
      </w:r>
      <w:r>
        <w:t xml:space="preserve"> </w:t>
      </w:r>
      <w:r>
        <w:t xml:space="preserve">of</w:t>
      </w:r>
      <w:r>
        <w:t xml:space="preserve"> </w:t>
      </w:r>
      <w:r>
        <w:t xml:space="preserve">Vaccination</w:t>
      </w:r>
      <w:r>
        <w:t xml:space="preserve">, 26 (July): C42–52.</w:t>
      </w:r>
      <w:r>
        <w:t xml:space="preserve"> </w:t>
      </w:r>
      <w:hyperlink r:id="rId96">
        <w:r>
          <w:rPr>
            <w:rStyle w:val="Hyperlink"/>
          </w:rPr>
          <w:t xml:space="preserve">https://doi.org/10.1016/j.vaccine.2008.04.012</w:t>
        </w:r>
      </w:hyperlink>
      <w:r>
        <w:t xml:space="preserve">.</w:t>
      </w:r>
    </w:p>
    <w:bookmarkEnd w:id="97"/>
    <w:bookmarkStart w:id="99" w:name="ref-mackinnon_immunity_2004"/>
    <w:p>
      <w:pPr>
        <w:pStyle w:val="Bibliography"/>
      </w:pPr>
      <w:r>
        <w:t xml:space="preserve">Mackinnon, Margaret J., and Andrew F. Read. 2004.</w:t>
      </w:r>
      <w:r>
        <w:t xml:space="preserve"> </w:t>
      </w:r>
      <w:r>
        <w:t xml:space="preserve">“Immunity</w:t>
      </w:r>
      <w:r>
        <w:t xml:space="preserve"> </w:t>
      </w:r>
      <w:r>
        <w:t xml:space="preserve">Promotes</w:t>
      </w:r>
      <w:r>
        <w:t xml:space="preserve"> </w:t>
      </w:r>
      <w:r>
        <w:t xml:space="preserve">Virulence</w:t>
      </w:r>
      <w:r>
        <w:t xml:space="preserve"> </w:t>
      </w:r>
      <w:r>
        <w:t xml:space="preserve">Evolution</w:t>
      </w:r>
      <w:r>
        <w:t xml:space="preserve"> </w:t>
      </w:r>
      <w:r>
        <w:t xml:space="preserve">in a</w:t>
      </w:r>
      <w:r>
        <w:t xml:space="preserve"> </w:t>
      </w:r>
      <w:r>
        <w:t xml:space="preserve">Malaria</w:t>
      </w:r>
      <w:r>
        <w:t xml:space="preserve"> </w:t>
      </w:r>
      <w:r>
        <w:t xml:space="preserve">Model</w:t>
      </w:r>
      <w:r>
        <w:t xml:space="preserve">.”</w:t>
      </w:r>
      <w:r>
        <w:t xml:space="preserve"> </w:t>
      </w:r>
      <w:r>
        <w:rPr>
          <w:i/>
          <w:iCs/>
        </w:rPr>
        <w:t xml:space="preserve">PLOS Biology</w:t>
      </w:r>
      <w:r>
        <w:t xml:space="preserve"> </w:t>
      </w:r>
      <w:r>
        <w:t xml:space="preserve">2 (9): e230.</w:t>
      </w:r>
      <w:r>
        <w:t xml:space="preserve"> </w:t>
      </w:r>
      <w:hyperlink r:id="rId98">
        <w:r>
          <w:rPr>
            <w:rStyle w:val="Hyperlink"/>
          </w:rPr>
          <w:t xml:space="preserve">https://doi.org/10.1371/journal.pbio.0020230</w:t>
        </w:r>
      </w:hyperlink>
      <w:r>
        <w:t xml:space="preserve">.</w:t>
      </w:r>
    </w:p>
    <w:bookmarkEnd w:id="99"/>
    <w:bookmarkStart w:id="100" w:name="ref-massad_impact_2006"/>
    <w:p>
      <w:pPr>
        <w:pStyle w:val="Bibliography"/>
      </w:pPr>
      <w:r>
        <w:t xml:space="preserve">Massad, E., F. A. B Coutinho, M. N Burattini, L. F Lopez, and C. J Struchiner. 2006.</w:t>
      </w:r>
      <w:r>
        <w:t xml:space="preserve"> </w:t>
      </w:r>
      <w:r>
        <w:t xml:space="preserve">“The Impact of Imperfect Vaccines on the Evolution of</w:t>
      </w:r>
      <w:r>
        <w:t xml:space="preserve"> </w:t>
      </w:r>
      <w:r>
        <w:t xml:space="preserve">HIV</w:t>
      </w:r>
      <w:r>
        <w:t xml:space="preserve"> </w:t>
      </w:r>
      <w:r>
        <w:t xml:space="preserve">Virulence.”</w:t>
      </w:r>
      <w:r>
        <w:t xml:space="preserve"> </w:t>
      </w:r>
      <w:r>
        <w:rPr>
          <w:i/>
          <w:iCs/>
        </w:rPr>
        <w:t xml:space="preserve">Medical Hypotheses</w:t>
      </w:r>
      <w:r>
        <w:t xml:space="preserve"> </w:t>
      </w:r>
      <w:r>
        <w:t xml:space="preserve">66 (5): 907–11.</w:t>
      </w:r>
    </w:p>
    <w:bookmarkEnd w:id="100"/>
    <w:bookmarkStart w:id="101" w:name="ref-methotWhyParasitesHarm"/>
    <w:p>
      <w:pPr>
        <w:pStyle w:val="Bibliography"/>
      </w:pPr>
      <w:r>
        <w:t xml:space="preserve">Méthot, Pierre-Olivier. n.d.</w:t>
      </w:r>
      <w:r>
        <w:t xml:space="preserve"> </w:t>
      </w:r>
      <w:r>
        <w:t xml:space="preserve">“Why Do Parasites Harm Their Host? On the Origin and Legacy of</w:t>
      </w:r>
      <w:r>
        <w:t xml:space="preserve"> </w:t>
      </w:r>
      <w:r>
        <w:t xml:space="preserve">Theobald Smith</w:t>
      </w:r>
      <w:r>
        <w:t xml:space="preserve">’s "Law of Declining Virulence" 1900-1980.”</w:t>
      </w:r>
    </w:p>
    <w:bookmarkEnd w:id="101"/>
    <w:bookmarkStart w:id="103" w:name="ref-muller_increasing_2009"/>
    <w:p>
      <w:pPr>
        <w:pStyle w:val="Bibliography"/>
      </w:pPr>
      <w:r>
        <w:t xml:space="preserve">Müller, Viktor, Franco Maggiolo, Fredy Suter, Nicoletta Ladisa, Andrea De Luca, Andrea Antinori, Laura Sighinolfi, Eugenia Quiros-Roldan, Giampiero Carosi, and Carlo Torti. 2009.</w:t>
      </w:r>
      <w:r>
        <w:t xml:space="preserve"> </w:t>
      </w:r>
      <w:r>
        <w:t xml:space="preserve">“Increasing</w:t>
      </w:r>
      <w:r>
        <w:t xml:space="preserve"> </w:t>
      </w:r>
      <w:r>
        <w:t xml:space="preserve">Clinical</w:t>
      </w:r>
      <w:r>
        <w:t xml:space="preserve"> </w:t>
      </w:r>
      <w:r>
        <w:t xml:space="preserve">Virulence</w:t>
      </w:r>
      <w:r>
        <w:t xml:space="preserve"> </w:t>
      </w:r>
      <w:r>
        <w:t xml:space="preserve">in</w:t>
      </w:r>
      <w:r>
        <w:t xml:space="preserve"> </w:t>
      </w:r>
      <w:r>
        <w:t xml:space="preserve">Two</w:t>
      </w:r>
      <w:r>
        <w:t xml:space="preserve"> </w:t>
      </w:r>
      <w:r>
        <w:t xml:space="preserve">Decades</w:t>
      </w:r>
      <w:r>
        <w:t xml:space="preserve"> </w:t>
      </w:r>
      <w:r>
        <w:t xml:space="preserve">of the</w:t>
      </w:r>
      <w:r>
        <w:t xml:space="preserve"> </w:t>
      </w:r>
      <w:r>
        <w:t xml:space="preserve">Italian</w:t>
      </w:r>
      <w:r>
        <w:t xml:space="preserve"> </w:t>
      </w:r>
      <w:r>
        <w:t xml:space="preserve">HIV</w:t>
      </w:r>
      <w:r>
        <w:t xml:space="preserve"> </w:t>
      </w:r>
      <w:r>
        <w:t xml:space="preserve">Epidemic</w:t>
      </w:r>
      <w:r>
        <w:t xml:space="preserve">.”</w:t>
      </w:r>
      <w:r>
        <w:t xml:space="preserve"> </w:t>
      </w:r>
      <w:r>
        <w:rPr>
          <w:i/>
          <w:iCs/>
        </w:rPr>
        <w:t xml:space="preserve">PLOS Pathogens</w:t>
      </w:r>
      <w:r>
        <w:t xml:space="preserve"> </w:t>
      </w:r>
      <w:r>
        <w:t xml:space="preserve">5 (5): e1000454.</w:t>
      </w:r>
      <w:r>
        <w:t xml:space="preserve"> </w:t>
      </w:r>
      <w:hyperlink r:id="rId102">
        <w:r>
          <w:rPr>
            <w:rStyle w:val="Hyperlink"/>
          </w:rPr>
          <w:t xml:space="preserve">https://doi.org/10.1371/journal.ppat.1000454</w:t>
        </w:r>
      </w:hyperlink>
      <w:r>
        <w:t xml:space="preserve">.</w:t>
      </w:r>
    </w:p>
    <w:bookmarkEnd w:id="103"/>
    <w:bookmarkStart w:id="105" w:name="ref-ostler_disease_2020"/>
    <w:p>
      <w:pPr>
        <w:pStyle w:val="Bibliography"/>
      </w:pPr>
      <w:r>
        <w:t xml:space="preserve">Ostler, Jeffrey. 2020.</w:t>
      </w:r>
      <w:r>
        <w:t xml:space="preserve"> </w:t>
      </w:r>
      <w:r>
        <w:t xml:space="preserve">“Disease</w:t>
      </w:r>
      <w:r>
        <w:t xml:space="preserve"> </w:t>
      </w:r>
      <w:r>
        <w:t xml:space="preserve">Has</w:t>
      </w:r>
      <w:r>
        <w:t xml:space="preserve"> </w:t>
      </w:r>
      <w:r>
        <w:t xml:space="preserve">Never</w:t>
      </w:r>
      <w:r>
        <w:t xml:space="preserve"> </w:t>
      </w:r>
      <w:r>
        <w:t xml:space="preserve">Been</w:t>
      </w:r>
      <w:r>
        <w:t xml:space="preserve"> </w:t>
      </w:r>
      <w:r>
        <w:t xml:space="preserve">Just</w:t>
      </w:r>
      <w:r>
        <w:t xml:space="preserve"> </w:t>
      </w:r>
      <w:r>
        <w:t xml:space="preserve">Disease</w:t>
      </w:r>
      <w:r>
        <w:t xml:space="preserve"> </w:t>
      </w:r>
      <w:r>
        <w:t xml:space="preserve">for</w:t>
      </w:r>
      <w:r>
        <w:t xml:space="preserve"> </w:t>
      </w:r>
      <w:r>
        <w:t xml:space="preserve">Native</w:t>
      </w:r>
      <w:r>
        <w:t xml:space="preserve"> </w:t>
      </w:r>
      <w:r>
        <w:t xml:space="preserve">Americans</w:t>
      </w:r>
      <w:r>
        <w:t xml:space="preserve">.”</w:t>
      </w:r>
      <w:r>
        <w:t xml:space="preserve"> </w:t>
      </w:r>
      <w:r>
        <w:rPr>
          <w:i/>
          <w:iCs/>
        </w:rPr>
        <w:t xml:space="preserve">The Atlantic</w:t>
      </w:r>
      <w:r>
        <w:t xml:space="preserve">.</w:t>
      </w:r>
      <w:r>
        <w:t xml:space="preserve"> </w:t>
      </w:r>
      <w:hyperlink r:id="rId104">
        <w:r>
          <w:rPr>
            <w:rStyle w:val="Hyperlink"/>
          </w:rPr>
          <w:t xml:space="preserve">https://www.theatlantic.com/ideas/archive/2020/04/disease-has-never-been-just-disease-native-americans/610852/</w:t>
        </w:r>
      </w:hyperlink>
      <w:r>
        <w:t xml:space="preserve">.</w:t>
      </w:r>
    </w:p>
    <w:bookmarkEnd w:id="105"/>
    <w:bookmarkStart w:id="107" w:name="ref-park_effects_2017"/>
    <w:p>
      <w:pPr>
        <w:pStyle w:val="Bibliography"/>
      </w:pPr>
      <w:r>
        <w:t xml:space="preserve">Park, Sang Woo, and Benjamin M. Bolker. 2017.</w:t>
      </w:r>
      <w:r>
        <w:t xml:space="preserve"> </w:t>
      </w:r>
      <w:r>
        <w:t xml:space="preserve">“Effects of Contact Structure on the Transient Evolution of</w:t>
      </w:r>
      <w:r>
        <w:t xml:space="preserve"> </w:t>
      </w:r>
      <w:r>
        <w:t xml:space="preserve">HIV</w:t>
      </w:r>
      <w:r>
        <w:t xml:space="preserve"> </w:t>
      </w:r>
      <w:r>
        <w:t xml:space="preserve">Virulence.”</w:t>
      </w:r>
      <w:r>
        <w:t xml:space="preserve"> </w:t>
      </w:r>
      <w:r>
        <w:rPr>
          <w:i/>
          <w:iCs/>
        </w:rPr>
        <w:t xml:space="preserve">PLOS Computational Biology</w:t>
      </w:r>
      <w:r>
        <w:t xml:space="preserve"> </w:t>
      </w:r>
      <w:r>
        <w:t xml:space="preserve">13 (3): e1005453.</w:t>
      </w:r>
      <w:r>
        <w:t xml:space="preserve"> </w:t>
      </w:r>
      <w:hyperlink r:id="rId106">
        <w:r>
          <w:rPr>
            <w:rStyle w:val="Hyperlink"/>
          </w:rPr>
          <w:t xml:space="preserve">https://doi.org/10.1371/journal.pcbi.1005453</w:t>
        </w:r>
      </w:hyperlink>
      <w:r>
        <w:t xml:space="preserve">.</w:t>
      </w:r>
    </w:p>
    <w:bookmarkEnd w:id="107"/>
    <w:bookmarkStart w:id="109" w:name="ref-visher_three_2021"/>
    <w:p>
      <w:pPr>
        <w:pStyle w:val="Bibliography"/>
      </w:pPr>
      <w:r>
        <w:t xml:space="preserve">Visher, Elisa, Claire Evensen, Sarah Guth, Edith Lai, Marina Norfolk, Carly Rozins, Nina A. Sokolov, Melissa Sui, and Michael Boots. 2021.</w:t>
      </w:r>
      <w:r>
        <w:t xml:space="preserve"> </w:t>
      </w:r>
      <w:r>
        <w:t xml:space="preserve">“The Three</w:t>
      </w:r>
      <w:r>
        <w:t xml:space="preserve"> </w:t>
      </w:r>
      <w:r>
        <w:t xml:space="preserve">Ts</w:t>
      </w:r>
      <w:r>
        <w:t xml:space="preserve"> </w:t>
      </w:r>
      <w:r>
        <w:t xml:space="preserve">of Virulence Evolution During Zoonotic Emergence.”</w:t>
      </w:r>
      <w:r>
        <w:t xml:space="preserve"> </w:t>
      </w:r>
      <w:r>
        <w:rPr>
          <w:i/>
          <w:iCs/>
        </w:rPr>
        <w:t xml:space="preserve">Proceedings of the Royal Society B: Biological Sciences</w:t>
      </w:r>
      <w:r>
        <w:t xml:space="preserve"> </w:t>
      </w:r>
      <w:r>
        <w:t xml:space="preserve">288 (1956): 20210900.</w:t>
      </w:r>
      <w:r>
        <w:t xml:space="preserve"> </w:t>
      </w:r>
      <w:hyperlink r:id="rId108">
        <w:r>
          <w:rPr>
            <w:rStyle w:val="Hyperlink"/>
          </w:rPr>
          <w:t xml:space="preserve">https://doi.org/10.1098/rspb.2021.0900</w:t>
        </w:r>
      </w:hyperlink>
      <w:r>
        <w:t xml:space="preserve">.</w:t>
      </w:r>
    </w:p>
    <w:bookmarkEnd w:id="109"/>
    <w:bookmarkEnd w:id="110"/>
    <w:p>
      <w:r>
        <w:pict>
          <v:rect style="width:0;height:1.5pt" o:hralign="center" o:hrstd="t" o:hr="t"/>
        </w:pict>
      </w:r>
    </w:p>
    <w:p>
      <w:pPr>
        <w:pStyle w:val="FirstParagraph"/>
      </w:pPr>
      <w:r>
        <w:t xml:space="preserve">Last updated: 2025-10-19 17:56:43.571221</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0" Target="media/rId50.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hyperlink" Id="rId74" Target="http://www.jstor.org/stable/10.1086/382548" TargetMode="External" /><Relationship Type="http://schemas.openxmlformats.org/officeDocument/2006/relationships/hyperlink" Id="rId94" Target="https://doi.org/10.1016/0966-842X(94)90538-X" TargetMode="External" /><Relationship Type="http://schemas.openxmlformats.org/officeDocument/2006/relationships/hyperlink" Id="rId96" Target="https://doi.org/10.1016/j.vaccine.2008.04.012" TargetMode="External" /><Relationship Type="http://schemas.openxmlformats.org/officeDocument/2006/relationships/hyperlink" Id="rId76" Target="https://doi.org/10.1038/nature06291" TargetMode="External" /><Relationship Type="http://schemas.openxmlformats.org/officeDocument/2006/relationships/hyperlink" Id="rId58" Target="https://doi.org/10.1038/nrmicro1594" TargetMode="External" /><Relationship Type="http://schemas.openxmlformats.org/officeDocument/2006/relationships/hyperlink" Id="rId70" Target="https://doi.org/10.1038/s41579-022-00841-7" TargetMode="External" /><Relationship Type="http://schemas.openxmlformats.org/officeDocument/2006/relationships/hyperlink" Id="rId82" Target="https://doi.org/10.1093/ve/vew028" TargetMode="External" /><Relationship Type="http://schemas.openxmlformats.org/officeDocument/2006/relationships/hyperlink" Id="rId84" Target="https://doi.org/10.1097/QAD.0b013e32834db418" TargetMode="External" /><Relationship Type="http://schemas.openxmlformats.org/officeDocument/2006/relationships/hyperlink" Id="rId92" Target="https://doi.org/10.1098/rsbl.2003.0131" TargetMode="External" /><Relationship Type="http://schemas.openxmlformats.org/officeDocument/2006/relationships/hyperlink" Id="rId66" Target="https://doi.org/10.1098/rsif.2009.0384" TargetMode="External" /><Relationship Type="http://schemas.openxmlformats.org/officeDocument/2006/relationships/hyperlink" Id="rId68" Target="https://doi.org/10.1098/rspb.1996.0107" TargetMode="External" /><Relationship Type="http://schemas.openxmlformats.org/officeDocument/2006/relationships/hyperlink" Id="rId108" Target="https://doi.org/10.1098/rspb.2021.0900" TargetMode="External" /><Relationship Type="http://schemas.openxmlformats.org/officeDocument/2006/relationships/hyperlink" Id="rId60" Target="https://doi.org/10.1111/j.1558-5646.2012.01803.x" TargetMode="External" /><Relationship Type="http://schemas.openxmlformats.org/officeDocument/2006/relationships/hyperlink" Id="rId87" Target="https://doi.org/10.1128/jvi.00886-22" TargetMode="External" /><Relationship Type="http://schemas.openxmlformats.org/officeDocument/2006/relationships/hyperlink" Id="rId98" Target="https://doi.org/10.1371/journal.pbio.0020230" TargetMode="External" /><Relationship Type="http://schemas.openxmlformats.org/officeDocument/2006/relationships/hyperlink" Id="rId106" Target="https://doi.org/10.1371/journal.pcbi.1005453" TargetMode="External" /><Relationship Type="http://schemas.openxmlformats.org/officeDocument/2006/relationships/hyperlink" Id="rId102" Target="https://doi.org/10.1371/journal.ppat.1000454" TargetMode="External" /><Relationship Type="http://schemas.openxmlformats.org/officeDocument/2006/relationships/hyperlink" Id="rId89" Target="https://doi.org/10.1371/journal.ppat.1002950" TargetMode="External" /><Relationship Type="http://schemas.openxmlformats.org/officeDocument/2006/relationships/hyperlink" Id="rId62" Target="https://doi.org/10.1371/journal.ppat.1003209" TargetMode="External" /><Relationship Type="http://schemas.openxmlformats.org/officeDocument/2006/relationships/hyperlink" Id="rId72" Target="https://doi.org/10.2307/1922166" TargetMode="External" /><Relationship Type="http://schemas.openxmlformats.org/officeDocument/2006/relationships/hyperlink" Id="rId64" Target="https://doi.org/10.7554/eLife.20492" TargetMode="External" /><Relationship Type="http://schemas.openxmlformats.org/officeDocument/2006/relationships/hyperlink" Id="rId104" Target="https://www.theatlantic.com/ideas/archive/2020/04/disease-has-never-been-just-disease-native-americans/610852/" TargetMode="External" /><Relationship Type="http://schemas.openxmlformats.org/officeDocument/2006/relationships/hyperlink" Id="rId32" Target="https://www.thebodypro.com/article/course-hiv-disease" TargetMode="External" /></Relationships>
</file>

<file path=word/_rels/footnotes.xml.rels><?xml version="1.0" encoding="UTF-8"?><Relationships xmlns="http://schemas.openxmlformats.org/package/2006/relationships"><Relationship Type="http://schemas.openxmlformats.org/officeDocument/2006/relationships/hyperlink" Id="rId74" Target="http://www.jstor.org/stable/10.1086/382548" TargetMode="External" /><Relationship Type="http://schemas.openxmlformats.org/officeDocument/2006/relationships/hyperlink" Id="rId94" Target="https://doi.org/10.1016/0966-842X(94)90538-X" TargetMode="External" /><Relationship Type="http://schemas.openxmlformats.org/officeDocument/2006/relationships/hyperlink" Id="rId96" Target="https://doi.org/10.1016/j.vaccine.2008.04.012" TargetMode="External" /><Relationship Type="http://schemas.openxmlformats.org/officeDocument/2006/relationships/hyperlink" Id="rId76" Target="https://doi.org/10.1038/nature06291" TargetMode="External" /><Relationship Type="http://schemas.openxmlformats.org/officeDocument/2006/relationships/hyperlink" Id="rId58" Target="https://doi.org/10.1038/nrmicro1594" TargetMode="External" /><Relationship Type="http://schemas.openxmlformats.org/officeDocument/2006/relationships/hyperlink" Id="rId70" Target="https://doi.org/10.1038/s41579-022-00841-7" TargetMode="External" /><Relationship Type="http://schemas.openxmlformats.org/officeDocument/2006/relationships/hyperlink" Id="rId82" Target="https://doi.org/10.1093/ve/vew028" TargetMode="External" /><Relationship Type="http://schemas.openxmlformats.org/officeDocument/2006/relationships/hyperlink" Id="rId84" Target="https://doi.org/10.1097/QAD.0b013e32834db418" TargetMode="External" /><Relationship Type="http://schemas.openxmlformats.org/officeDocument/2006/relationships/hyperlink" Id="rId92" Target="https://doi.org/10.1098/rsbl.2003.0131" TargetMode="External" /><Relationship Type="http://schemas.openxmlformats.org/officeDocument/2006/relationships/hyperlink" Id="rId66" Target="https://doi.org/10.1098/rsif.2009.0384" TargetMode="External" /><Relationship Type="http://schemas.openxmlformats.org/officeDocument/2006/relationships/hyperlink" Id="rId68" Target="https://doi.org/10.1098/rspb.1996.0107" TargetMode="External" /><Relationship Type="http://schemas.openxmlformats.org/officeDocument/2006/relationships/hyperlink" Id="rId108" Target="https://doi.org/10.1098/rspb.2021.0900" TargetMode="External" /><Relationship Type="http://schemas.openxmlformats.org/officeDocument/2006/relationships/hyperlink" Id="rId60" Target="https://doi.org/10.1111/j.1558-5646.2012.01803.x" TargetMode="External" /><Relationship Type="http://schemas.openxmlformats.org/officeDocument/2006/relationships/hyperlink" Id="rId87" Target="https://doi.org/10.1128/jvi.00886-22" TargetMode="External" /><Relationship Type="http://schemas.openxmlformats.org/officeDocument/2006/relationships/hyperlink" Id="rId98" Target="https://doi.org/10.1371/journal.pbio.0020230" TargetMode="External" /><Relationship Type="http://schemas.openxmlformats.org/officeDocument/2006/relationships/hyperlink" Id="rId106" Target="https://doi.org/10.1371/journal.pcbi.1005453" TargetMode="External" /><Relationship Type="http://schemas.openxmlformats.org/officeDocument/2006/relationships/hyperlink" Id="rId102" Target="https://doi.org/10.1371/journal.ppat.1000454" TargetMode="External" /><Relationship Type="http://schemas.openxmlformats.org/officeDocument/2006/relationships/hyperlink" Id="rId89" Target="https://doi.org/10.1371/journal.ppat.1002950" TargetMode="External" /><Relationship Type="http://schemas.openxmlformats.org/officeDocument/2006/relationships/hyperlink" Id="rId62" Target="https://doi.org/10.1371/journal.ppat.1003209" TargetMode="External" /><Relationship Type="http://schemas.openxmlformats.org/officeDocument/2006/relationships/hyperlink" Id="rId72" Target="https://doi.org/10.2307/1922166" TargetMode="External" /><Relationship Type="http://schemas.openxmlformats.org/officeDocument/2006/relationships/hyperlink" Id="rId64" Target="https://doi.org/10.7554/eLife.20492" TargetMode="External" /><Relationship Type="http://schemas.openxmlformats.org/officeDocument/2006/relationships/hyperlink" Id="rId104" Target="https://www.theatlantic.com/ideas/archive/2020/04/disease-has-never-been-just-disease-native-americans/610852/" TargetMode="External" /><Relationship Type="http://schemas.openxmlformats.org/officeDocument/2006/relationships/hyperlink" Id="rId32" Target="https://www.thebodypro.com/article/course-hiv-dis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evolution of virulence</dc:title>
  <dc:creator/>
  <cp:keywords/>
  <dcterms:created xsi:type="dcterms:W3CDTF">2025-10-19T21:56:43Z</dcterms:created>
  <dcterms:modified xsi:type="dcterms:W3CDTF">2025-10-19T21:56:43Z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date">
    <vt:lpwstr>19 October 2025</vt:lpwstr>
  </property>
</Properties>
</file>