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56.png" ContentType="image/png"/>
  <Override PartName="/word/media/rId59.png" ContentType="image/png"/>
  <Override PartName="/word/media/rId62.png" ContentType="image/png"/>
  <Override PartName="/word/media/rId40.png" ContentType="image/png"/>
  <Override PartName="/word/media/rId33.jpg" ContentType="image/jpeg"/>
  <Override PartName="/word/media/rId36.jpg" ContentType="image/jpeg"/>
  <Override PartName="/word/media/rId50.png" ContentType="image/png"/>
  <Override PartName="/word/media/rId46.png" ContentType="image/png"/>
  <Override PartName="/word/media/rId24.png" ContentType="image/png"/>
  <Override PartName="/word/media/rId43.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emerging infectious disease</w:t>
      </w:r>
    </w:p>
    <w:p>
      <w:pPr>
        <w:pStyle w:val="Date"/>
      </w:pPr>
      <w:r>
        <w:t xml:space="preserve">24 Nov 2025</w:t>
      </w:r>
    </w:p>
    <w:bookmarkStart w:id="20" w:name="emerging-and-re-emerging-disease"/>
    <w:p>
      <w:pPr>
        <w:pStyle w:val="Heading2"/>
      </w:pPr>
      <w:r>
        <w:t xml:space="preserve">emerging and re-emerging disease</w:t>
      </w:r>
    </w:p>
    <w:p>
      <w:pPr>
        <w:pStyle w:val="FirstParagraph"/>
      </w:pPr>
      <w:r>
        <w:t xml:space="preserve">Basically, anything we’re worried about</w:t>
      </w:r>
    </w:p>
    <w:p>
      <w:pPr>
        <w:numPr>
          <w:ilvl w:val="0"/>
          <w:numId w:val="1001"/>
        </w:numPr>
      </w:pPr>
      <w:r>
        <w:rPr>
          <w:b/>
          <w:bCs/>
        </w:rPr>
        <w:t xml:space="preserve">emerging</w:t>
      </w:r>
      <w:r>
        <w:t xml:space="preserve">: new to a host: most often (in humans) via</w:t>
      </w:r>
      <w:r>
        <w:t xml:space="preserve"> </w:t>
      </w:r>
      <w:r>
        <w:rPr>
          <w:i/>
          <w:iCs/>
        </w:rPr>
        <w:t xml:space="preserve">zoonotic spillover</w:t>
      </w:r>
      <w:r>
        <w:t xml:space="preserve">, but could be an existing disease that is expanding its range/becoming more infectious, virulent, whatever</w:t>
      </w:r>
    </w:p>
    <w:p>
      <w:pPr>
        <w:numPr>
          <w:ilvl w:val="0"/>
          <w:numId w:val="1001"/>
        </w:numPr>
      </w:pPr>
      <w:r>
        <w:rPr>
          <w:i/>
          <w:iCs/>
        </w:rPr>
        <w:t xml:space="preserve">re-emerging</w:t>
      </w:r>
      <w:r>
        <w:t xml:space="preserve">: a parasite that was previously thought to be controlled, but is of renewed concern. Due to socioeconomic change, landscape change, climate change, evolution of antibiotic/antiviral resistance, etc.)</w:t>
      </w:r>
    </w:p>
    <w:p>
      <w:pPr>
        <w:numPr>
          <w:ilvl w:val="0"/>
          <w:numId w:val="1001"/>
        </w:numPr>
      </w:pPr>
      <w:r>
        <w:rPr>
          <w:b/>
          <w:bCs/>
        </w:rPr>
        <w:t xml:space="preserve">encounter filter</w:t>
      </w:r>
      <w:r>
        <w:t xml:space="preserve">: changing patterns of reservoir host/vector distribution (due to climate/landscape change), human contact, …</w:t>
      </w:r>
    </w:p>
    <w:p>
      <w:pPr>
        <w:numPr>
          <w:ilvl w:val="0"/>
          <w:numId w:val="1001"/>
        </w:numPr>
      </w:pPr>
      <w:r>
        <w:rPr>
          <w:b/>
          <w:bCs/>
        </w:rPr>
        <w:t xml:space="preserve">compatibility filter</w:t>
      </w:r>
      <w:r>
        <w:t xml:space="preserve">: changes via mutation, recombination, selection for resistance, …</w:t>
      </w:r>
    </w:p>
    <w:p>
      <w:pPr>
        <w:numPr>
          <w:ilvl w:val="0"/>
          <w:numId w:val="1001"/>
        </w:numPr>
      </w:pPr>
      <w:r>
        <w:rPr>
          <w:b/>
          <w:bCs/>
        </w:rPr>
        <w:t xml:space="preserve">disease triangle</w:t>
      </w:r>
      <w:r>
        <w:t xml:space="preserve"> </w:t>
      </w:r>
      <w:r>
        <w:t xml:space="preserve">(from plant pathology): need co-occurring host, pathogen, environment (for transmission: also consider virulence, treatment resistance …)</w:t>
      </w:r>
    </w:p>
    <w:p>
      <w:pPr>
        <w:numPr>
          <w:ilvl w:val="0"/>
          <w:numId w:val="1001"/>
        </w:numPr>
      </w:pPr>
      <w:r>
        <w:t xml:space="preserve">Local change &gt; global change</w:t>
      </w:r>
    </w:p>
    <w:p>
      <w:pPr>
        <w:numPr>
          <w:ilvl w:val="0"/>
          <w:numId w:val="1001"/>
        </w:numPr>
      </w:pPr>
      <w:r>
        <w:t xml:space="preserve">Parasites may get better, or worse, or different due to changes …</w:t>
      </w:r>
    </w:p>
    <w:bookmarkEnd w:id="20"/>
    <w:bookmarkStart w:id="21" w:name="malaria-in-north-america"/>
    <w:p>
      <w:pPr>
        <w:pStyle w:val="Heading2"/>
      </w:pPr>
      <w:r>
        <w:t xml:space="preserve">Malaria in North America</w:t>
      </w:r>
    </w:p>
    <w:p>
      <w:pPr>
        <w:pStyle w:val="Compact"/>
        <w:numPr>
          <w:ilvl w:val="0"/>
          <w:numId w:val="1002"/>
        </w:numPr>
      </w:pPr>
      <w:r>
        <w:t xml:space="preserve">established by immigration of enslaved people from west Africa</w:t>
      </w:r>
    </w:p>
    <w:p>
      <w:pPr>
        <w:pStyle w:val="Compact"/>
        <w:numPr>
          <w:ilvl w:val="0"/>
          <w:numId w:val="1002"/>
        </w:numPr>
      </w:pPr>
      <w:r>
        <w:t xml:space="preserve">landscape change (agricultural clearance/hydrological changes)</w:t>
      </w:r>
    </w:p>
    <w:p>
      <w:pPr>
        <w:pStyle w:val="Compact"/>
        <w:numPr>
          <w:ilvl w:val="0"/>
          <w:numId w:val="1002"/>
        </w:numPr>
      </w:pPr>
      <w:r>
        <w:t xml:space="preserve">well established by 1850s except in northern/high-altitude/arid places</w:t>
      </w:r>
    </w:p>
    <w:p>
      <w:pPr>
        <w:pStyle w:val="Compact"/>
        <w:numPr>
          <w:ilvl w:val="0"/>
          <w:numId w:val="1002"/>
        </w:numPr>
      </w:pPr>
      <w:r>
        <w:t xml:space="preserve">poorly diagnosed, haphazardly treated</w:t>
      </w:r>
    </w:p>
    <w:p>
      <w:pPr>
        <w:pStyle w:val="Compact"/>
        <w:numPr>
          <w:ilvl w:val="0"/>
          <w:numId w:val="1002"/>
        </w:numPr>
      </w:pPr>
      <w:r>
        <w:t xml:space="preserve">decline due to drainage 1900-1920</w:t>
      </w:r>
    </w:p>
    <w:p>
      <w:pPr>
        <w:pStyle w:val="Compact"/>
        <w:numPr>
          <w:ilvl w:val="0"/>
          <w:numId w:val="1002"/>
        </w:numPr>
      </w:pPr>
      <w:r>
        <w:t xml:space="preserve">5000 deaths/year (1930s) -&gt; &lt;10 (1950s)</w:t>
      </w:r>
    </w:p>
    <w:p>
      <w:pPr>
        <w:pStyle w:val="Compact"/>
        <w:numPr>
          <w:ilvl w:val="0"/>
          <w:numId w:val="1002"/>
        </w:numPr>
      </w:pPr>
      <w:r>
        <w:t xml:space="preserve">improvements in nutrition, medical care, housing, insecticides</w:t>
      </w:r>
    </w:p>
    <w:p>
      <w:pPr>
        <w:pStyle w:val="BlockText"/>
      </w:pPr>
      <w:r>
        <w:t xml:space="preserve">We now know that anopheline mosquito breeding throughout the country was sufficiently low so that it was difficult for overseas malaria to become established inside the country, and that the prognostication of a wide spread development of overseas malaria in the American anophelines was based on a failure to consider the very great reduction in mosquito breeding which had occurred since 1931.</w:t>
      </w:r>
    </w:p>
    <w:p>
      <w:pPr>
        <w:pStyle w:val="FirstParagraph"/>
      </w:pPr>
      <w:r>
        <w:t xml:space="preserve">Faust (1951)</w:t>
      </w:r>
    </w:p>
    <w:p>
      <w:pPr>
        <w:pStyle w:val="BodyText"/>
      </w:pPr>
      <m:oMath>
        <m:sSub>
          <m:e>
            <m:r>
              <m:t>R</m:t>
            </m:r>
          </m:e>
          <m:sub>
            <m:r>
              <m:t>0</m:t>
            </m:r>
          </m:sub>
        </m:sSub>
      </m:oMath>
      <w:r>
        <w:t xml:space="preserve"> </w:t>
      </w:r>
      <w:r>
        <w:t xml:space="preserve">for vector borne diseases = (</w:t>
      </w:r>
      <m:oMath>
        <m:sSub>
          <m:e>
            <m:r>
              <m:t>R</m:t>
            </m:r>
          </m:e>
          <m:sub>
            <m:r>
              <m:t>0</m:t>
            </m:r>
          </m:sub>
        </m:sSub>
      </m:oMath>
      <w:r>
        <w:t xml:space="preserve"> </w:t>
      </w:r>
      <w:r>
        <w:t xml:space="preserve">vector-to-host</w:t>
      </w:r>
      <w:r>
        <w:t xml:space="preserve"> </w:t>
      </w:r>
      <m:oMath>
        <m:r>
          <m:rPr>
            <m:sty m:val="p"/>
          </m:rPr>
          <m:t>×</m:t>
        </m:r>
      </m:oMath>
      <w:r>
        <w:t xml:space="preserve"> </w:t>
      </w:r>
      <m:oMath>
        <m:sSub>
          <m:e>
            <m:r>
              <m:t>R</m:t>
            </m:r>
          </m:e>
          <m:sub>
            <m:r>
              <m:t>0</m:t>
            </m:r>
          </m:sub>
        </m:sSub>
      </m:oMath>
      <w:r>
        <w:t xml:space="preserve"> </w:t>
      </w:r>
      <w:r>
        <w:t xml:space="preserve">host-to-vector): proportional to mosquito-to-human ratio (but preventing bites reduces both components)</w:t>
      </w:r>
    </w:p>
    <w:bookmarkEnd w:id="21"/>
    <w:bookmarkStart w:id="22" w:name="malaria-changes"/>
    <w:p>
      <w:pPr>
        <w:pStyle w:val="Heading2"/>
      </w:pPr>
      <w:r>
        <w:t xml:space="preserve">Malaria changes</w:t>
      </w:r>
    </w:p>
    <w:p>
      <w:pPr>
        <w:pStyle w:val="FirstParagraph"/>
      </w:pPr>
      <w:r>
        <w:t xml:space="preserve">Often driven by</w:t>
      </w:r>
      <w:r>
        <w:t xml:space="preserve"> </w:t>
      </w:r>
      <w:r>
        <w:rPr>
          <w:b/>
          <w:bCs/>
        </w:rPr>
        <w:t xml:space="preserve">local</w:t>
      </w:r>
      <w:r>
        <w:t xml:space="preserve"> </w:t>
      </w:r>
      <w:r>
        <w:t xml:space="preserve">landscape change:</w:t>
      </w:r>
    </w:p>
    <w:p>
      <w:pPr>
        <w:pStyle w:val="Compact"/>
        <w:numPr>
          <w:ilvl w:val="0"/>
          <w:numId w:val="1003"/>
        </w:numPr>
      </w:pPr>
      <w:r>
        <w:t xml:space="preserve">Combinations of hydrological cycle, temperature, predators: e.g. brick-making pits in western Kenya</w:t>
      </w:r>
      <w:r>
        <w:t xml:space="preserve"> </w:t>
      </w:r>
      <w:r>
        <w:t xml:space="preserve">(J. C. Carlson et al., 2004)</w:t>
      </w:r>
    </w:p>
    <w:p>
      <w:pPr>
        <w:pStyle w:val="Compact"/>
        <w:numPr>
          <w:ilvl w:val="0"/>
          <w:numId w:val="1003"/>
        </w:numPr>
      </w:pPr>
      <w:r>
        <w:t xml:space="preserve">MacDonald &amp; Mordecai (2019)</w:t>
      </w:r>
      <w:r>
        <w:t xml:space="preserve">: deforestation increases malaria, but malaria decreases deforestation (statistical model, we don’t know the mechanism: ecological change, increased human-vector contact?)</w:t>
      </w:r>
    </w:p>
    <w:bookmarkEnd w:id="22"/>
    <w:bookmarkStart w:id="23" w:name="X0dff1898ffd24d1e1029d72b0aecb70f980a662"/>
    <w:p>
      <w:pPr>
        <w:pStyle w:val="Heading2"/>
      </w:pPr>
      <w:r>
        <w:t xml:space="preserve">Mosquito-borne diseases in</w:t>
      </w:r>
      <w:r>
        <w:t xml:space="preserve"> </w:t>
      </w:r>
      <w:r>
        <w:t xml:space="preserve">‘temperate’</w:t>
      </w:r>
      <w:r>
        <w:t xml:space="preserve"> </w:t>
      </w:r>
      <w:r>
        <w:t xml:space="preserve">countries</w:t>
      </w:r>
    </w:p>
    <w:p>
      <w:pPr>
        <w:pStyle w:val="Compact"/>
        <w:numPr>
          <w:ilvl w:val="0"/>
          <w:numId w:val="1004"/>
        </w:numPr>
      </w:pPr>
      <w:r>
        <w:t xml:space="preserve">‘autochthonous’</w:t>
      </w:r>
      <w:r>
        <w:t xml:space="preserve">/</w:t>
      </w:r>
      <w:r>
        <w:t xml:space="preserve">‘local transmission events’</w:t>
      </w:r>
    </w:p>
    <w:p>
      <w:pPr>
        <w:pStyle w:val="Compact"/>
        <w:numPr>
          <w:ilvl w:val="0"/>
          <w:numId w:val="1004"/>
        </w:numPr>
      </w:pPr>
      <w:r>
        <w:t xml:space="preserve">doesn’t mean</w:t>
      </w:r>
      <w:r>
        <w:t xml:space="preserve"> </w:t>
      </w:r>
      <m:oMath>
        <m:sSub>
          <m:e>
            <m:r>
              <m:t>R</m:t>
            </m:r>
          </m:e>
          <m:sub>
            <m:r>
              <m:t>0</m:t>
            </m:r>
          </m:sub>
        </m:sSub>
        <m:r>
          <m:rPr>
            <m:sty m:val="p"/>
          </m:rPr>
          <m:t>&gt;</m:t>
        </m:r>
        <m:r>
          <m:t>1</m:t>
        </m:r>
      </m:oMath>
      <w:r>
        <w:t xml:space="preserve">, but does mean</w:t>
      </w:r>
      <w:r>
        <w:t xml:space="preserve"> </w:t>
      </w:r>
      <m:oMath>
        <m:sSub>
          <m:e>
            <m:r>
              <m:t>R</m:t>
            </m:r>
          </m:e>
          <m:sub>
            <m:r>
              <m:t>0</m:t>
            </m:r>
          </m:sub>
        </m:sSub>
        <m:r>
          <m:rPr>
            <m:sty m:val="p"/>
          </m:rPr>
          <m:t>&gt;</m:t>
        </m:r>
        <m:r>
          <m:t>0</m:t>
        </m:r>
      </m:oMath>
      <w:r>
        <w:t xml:space="preserve"> </w:t>
      </w:r>
      <w:r>
        <w:t xml:space="preserve">…</w:t>
      </w:r>
    </w:p>
    <w:p>
      <w:pPr>
        <w:pStyle w:val="Compact"/>
        <w:numPr>
          <w:ilvl w:val="0"/>
          <w:numId w:val="1004"/>
        </w:numPr>
      </w:pPr>
      <w:r>
        <w:t xml:space="preserve">local transmission of:</w:t>
      </w:r>
    </w:p>
    <w:p>
      <w:pPr>
        <w:pStyle w:val="Compact"/>
        <w:numPr>
          <w:ilvl w:val="1"/>
          <w:numId w:val="1005"/>
        </w:numPr>
      </w:pPr>
      <w:r>
        <w:t xml:space="preserve">chikungunya (</w:t>
      </w:r>
      <w:r>
        <w:rPr>
          <w:i/>
          <w:iCs/>
        </w:rPr>
        <w:t xml:space="preserve">Aedes albopictus</w:t>
      </w:r>
      <w:r>
        <w:t xml:space="preserve">,</w:t>
      </w:r>
      <w:r>
        <w:t xml:space="preserve"> </w:t>
      </w:r>
      <w:r>
        <w:rPr>
          <w:i/>
          <w:iCs/>
        </w:rPr>
        <w:t xml:space="preserve">A. aegypti</w:t>
      </w:r>
      <w:r>
        <w:t xml:space="preserve">: Europe, North America) [New York state, 2025]</w:t>
      </w:r>
      <w:r>
        <w:t xml:space="preserve"> </w:t>
      </w:r>
      <w:r>
        <w:t xml:space="preserve">(Disease Control, 2025; Health, 2025)</w:t>
      </w:r>
    </w:p>
    <w:p>
      <w:pPr>
        <w:pStyle w:val="Compact"/>
        <w:numPr>
          <w:ilvl w:val="1"/>
          <w:numId w:val="1005"/>
        </w:numPr>
      </w:pPr>
      <w:r>
        <w:t xml:space="preserve">Zika (Florida, Texas) (</w:t>
      </w:r>
      <w:r>
        <w:rPr>
          <w:i/>
          <w:iCs/>
        </w:rPr>
        <w:t xml:space="preserve">Aedes</w:t>
      </w:r>
      <w:r>
        <w:t xml:space="preserve">)</w:t>
      </w:r>
    </w:p>
    <w:p>
      <w:pPr>
        <w:pStyle w:val="Compact"/>
        <w:numPr>
          <w:ilvl w:val="1"/>
          <w:numId w:val="1005"/>
        </w:numPr>
      </w:pPr>
      <w:r>
        <w:t xml:space="preserve">dengue (Argentina, California, Florida, Texas</w:t>
      </w:r>
      <w:r>
        <w:t xml:space="preserve"> </w:t>
      </w:r>
      <w:r>
        <w:t xml:space="preserve">(Barrenechea et al., 2025; Centers for Disease Control, 2025)</w:t>
      </w:r>
      <w:r>
        <w:t xml:space="preserve">) (</w:t>
      </w:r>
      <w:r>
        <w:rPr>
          <w:i/>
          <w:iCs/>
        </w:rPr>
        <w:t xml:space="preserve">Aedes</w:t>
      </w:r>
      <w:r>
        <w:t xml:space="preserve">)</w:t>
      </w:r>
    </w:p>
    <w:p>
      <w:pPr>
        <w:pStyle w:val="Compact"/>
        <w:numPr>
          <w:ilvl w:val="1"/>
          <w:numId w:val="1005"/>
        </w:numPr>
      </w:pPr>
      <w:r>
        <w:t xml:space="preserve">malaria</w:t>
      </w:r>
      <w:r>
        <w:t xml:space="preserve"> </w:t>
      </w:r>
      <w:r>
        <w:t xml:space="preserve">(DeVita et al., 2025)</w:t>
      </w:r>
      <w:r>
        <w:t xml:space="preserve"> </w:t>
      </w:r>
      <w:r>
        <w:t xml:space="preserve">(</w:t>
      </w:r>
      <w:r>
        <w:rPr>
          <w:i/>
          <w:iCs/>
        </w:rPr>
        <w:t xml:space="preserve">Anopheles</w:t>
      </w:r>
      <w:r>
        <w:t xml:space="preserve"> </w:t>
      </w:r>
      <w:r>
        <w:t xml:space="preserve">mosquito spp)</w:t>
      </w:r>
    </w:p>
    <w:bookmarkEnd w:id="23"/>
    <w:bookmarkStart w:id="27" w:name="candida-auris"/>
    <w:p>
      <w:pPr>
        <w:pStyle w:val="Heading2"/>
      </w:pPr>
      <w:r>
        <w:rPr>
          <w:i/>
          <w:iCs/>
        </w:rPr>
        <w:t xml:space="preserve">Candida auris</w:t>
      </w:r>
    </w:p>
    <w:p>
      <w:pPr>
        <w:pStyle w:val="Compact"/>
        <w:numPr>
          <w:ilvl w:val="0"/>
          <w:numId w:val="1006"/>
        </w:numPr>
      </w:pPr>
      <w:r>
        <w:t xml:space="preserve">Casadevall et al. (2019)</w:t>
      </w:r>
      <w:r>
        <w:t xml:space="preserve">;</w:t>
      </w:r>
      <w:r>
        <w:t xml:space="preserve"> </w:t>
      </w:r>
      <w:r>
        <w:t xml:space="preserve">Casadevall et al. (2021)</w:t>
      </w:r>
      <w:r>
        <w:t xml:space="preserve">;</w:t>
      </w:r>
      <w:r>
        <w:t xml:space="preserve"> </w:t>
      </w:r>
      <w:r>
        <w:t xml:space="preserve">De Gaetano et al. (2024)</w:t>
      </w:r>
    </w:p>
    <w:p>
      <w:pPr>
        <w:pStyle w:val="Compact"/>
        <w:numPr>
          <w:ilvl w:val="0"/>
          <w:numId w:val="1006"/>
        </w:numPr>
      </w:pPr>
      <w:r>
        <w:t xml:space="preserve">newly emerging fungal pathogen (first isolated 2009)</w:t>
      </w:r>
    </w:p>
    <w:p>
      <w:pPr>
        <w:pStyle w:val="Compact"/>
        <w:numPr>
          <w:ilvl w:val="0"/>
          <w:numId w:val="1006"/>
        </w:numPr>
      </w:pPr>
      <w:r>
        <w:t xml:space="preserve">not found in fungal collections before 1996</w:t>
      </w:r>
    </w:p>
    <w:p>
      <w:pPr>
        <w:pStyle w:val="Compact"/>
        <w:numPr>
          <w:ilvl w:val="0"/>
          <w:numId w:val="1006"/>
        </w:numPr>
      </w:pPr>
      <w:r>
        <w:t xml:space="preserve">molecular clocks: disease-causing clades MRCA ~ 37 years ago</w:t>
      </w:r>
    </w:p>
    <w:p>
      <w:pPr>
        <w:pStyle w:val="Compact"/>
        <w:numPr>
          <w:ilvl w:val="0"/>
          <w:numId w:val="1006"/>
        </w:numPr>
      </w:pPr>
      <w:r>
        <w:t xml:space="preserve">multidrug resistant</w:t>
      </w:r>
    </w:p>
    <w:p>
      <w:pPr>
        <w:pStyle w:val="Compact"/>
        <w:numPr>
          <w:ilvl w:val="0"/>
          <w:numId w:val="1006"/>
        </w:numPr>
      </w:pPr>
      <w:r>
        <w:t xml:space="preserve">heat-tolerant (up to 42°, more than nearest relatives - fever-tolerant?)</w:t>
      </w:r>
    </w:p>
    <w:p>
      <w:pPr>
        <w:pStyle w:val="Compact"/>
        <w:numPr>
          <w:ilvl w:val="0"/>
          <w:numId w:val="1006"/>
        </w:numPr>
      </w:pPr>
      <w:r>
        <w:t xml:space="preserve">newly virulent? newly resistant? newly heat-tolerant?</w:t>
      </w:r>
    </w:p>
    <w:p>
      <w:pPr>
        <w:pStyle w:val="Compact"/>
        <w:numPr>
          <w:ilvl w:val="0"/>
          <w:numId w:val="1006"/>
        </w:numPr>
      </w:pPr>
      <w:r>
        <w:t xml:space="preserve">hypothesis: selection for thermotolerance in the wild, followed by dissemination by birds/agriculture (??)</w:t>
      </w:r>
    </w:p>
    <w:p>
      <w:pPr>
        <w:pStyle w:val="BlockText"/>
      </w:pPr>
      <w:r>
        <w:t xml:space="preserve">Support for the hypothesis would consist of finding more</w:t>
      </w:r>
      <w:r>
        <w:t xml:space="preserve"> </w:t>
      </w:r>
      <w:r>
        <w:rPr>
          <w:i/>
          <w:iCs/>
        </w:rPr>
        <w:t xml:space="preserve">C. auris</w:t>
      </w:r>
      <w:r>
        <w:t xml:space="preserve"> </w:t>
      </w:r>
      <w:r>
        <w:t xml:space="preserve">isolates with borderline mammalian thermotolerance and perhaps that these isolates can be adapted to grow at higher temperatures through laboratory selection for growth at higher temperatures.</w:t>
      </w:r>
    </w:p>
    <w:p>
      <w:pPr>
        <w:pStyle w:val="FirstParagraph"/>
      </w:pPr>
      <w:r>
        <w:t xml:space="preserve">Money (2024)</w:t>
      </w:r>
      <w:r>
        <w:t xml:space="preserve">:</w:t>
      </w:r>
    </w:p>
    <w:p>
      <w:pPr>
        <w:pStyle w:val="BodyText"/>
      </w:pPr>
      <w:r>
        <w:drawing>
          <wp:inline>
            <wp:extent cx="751310" cy="639530"/>
            <wp:effectExtent b="0" l="0" r="0" t="0"/>
            <wp:docPr descr="" title="" id="25" name="Picture"/>
            <a:graphic>
              <a:graphicData uri="http://schemas.openxmlformats.org/drawingml/2006/picture">
                <pic:pic>
                  <pic:nvPicPr>
                    <pic:cNvPr descr="pix/thermotolerance.png" id="26" name="Picture"/>
                    <pic:cNvPicPr>
                      <a:picLocks noChangeArrowheads="1" noChangeAspect="1"/>
                    </pic:cNvPicPr>
                  </pic:nvPicPr>
                  <pic:blipFill>
                    <a:blip r:embed="rId24"/>
                    <a:stretch>
                      <a:fillRect/>
                    </a:stretch>
                  </pic:blipFill>
                  <pic:spPr bwMode="auto">
                    <a:xfrm>
                      <a:off x="0" y="0"/>
                      <a:ext cx="751310" cy="639530"/>
                    </a:xfrm>
                    <a:prstGeom prst="rect">
                      <a:avLst/>
                    </a:prstGeom>
                    <a:noFill/>
                    <a:ln w="9525">
                      <a:noFill/>
                      <a:headEnd/>
                      <a:tailEnd/>
                    </a:ln>
                  </pic:spPr>
                </pic:pic>
              </a:graphicData>
            </a:graphic>
          </wp:inline>
        </w:drawing>
      </w:r>
    </w:p>
    <w:p>
      <w:pPr>
        <w:pStyle w:val="BlockText"/>
      </w:pPr>
      <w:r>
        <w:t xml:space="preserve">The increase in global temperature of 1°C (2°F) over the last century is too small to have pushed purely saprotrophic fungi unable to grow at 37°C past this thermal barrier and to assume pathogenic behavior. It seems more likely that C. auris was primed for pathogenicity as one of the many thermotolerant saprotrophs, and acquired azole resistance through an unknown mechanism. This enabled its dissemination as a nosocomial infection when it was introduced to the hospital environment.</w:t>
      </w:r>
    </w:p>
    <w:bookmarkEnd w:id="27"/>
    <w:bookmarkStart w:id="31" w:name="batrachochytrium-dendrobatidis"/>
    <w:p>
      <w:pPr>
        <w:pStyle w:val="Heading2"/>
      </w:pPr>
      <w:r>
        <w:rPr>
          <w:i/>
          <w:iCs/>
        </w:rPr>
        <w:t xml:space="preserve">Batrachochytrium dendrobatidis</w:t>
      </w:r>
    </w:p>
    <w:p>
      <w:pPr>
        <w:pStyle w:val="Compact"/>
        <w:numPr>
          <w:ilvl w:val="0"/>
          <w:numId w:val="1007"/>
        </w:numPr>
      </w:pPr>
      <w:r>
        <w:t xml:space="preserve">fungal pathogen</w:t>
      </w:r>
    </w:p>
    <w:p>
      <w:pPr>
        <w:pStyle w:val="Compact"/>
        <w:numPr>
          <w:ilvl w:val="1"/>
          <w:numId w:val="1008"/>
        </w:numPr>
      </w:pPr>
      <w:r>
        <w:t xml:space="preserve">most other chytrids are saprophytes, plant pathogens</w:t>
      </w:r>
    </w:p>
    <w:p>
      <w:pPr>
        <w:pStyle w:val="Compact"/>
        <w:numPr>
          <w:ilvl w:val="1"/>
          <w:numId w:val="1008"/>
        </w:numPr>
      </w:pPr>
      <w:r>
        <w:rPr>
          <w:i/>
          <w:iCs/>
        </w:rPr>
        <w:t xml:space="preserve">B. salamandrivorans</w:t>
      </w:r>
      <w:r>
        <w:t xml:space="preserve">: salamander pathogen (more restricted)</w:t>
      </w:r>
    </w:p>
    <w:p>
      <w:pPr>
        <w:pStyle w:val="Compact"/>
        <w:numPr>
          <w:ilvl w:val="0"/>
          <w:numId w:val="1007"/>
        </w:numPr>
      </w:pPr>
      <w:r>
        <w:t xml:space="preserve">first discoved in poison dart frogs</w:t>
      </w:r>
    </w:p>
    <w:p>
      <w:pPr>
        <w:pStyle w:val="Compact"/>
        <w:numPr>
          <w:ilvl w:val="0"/>
          <w:numId w:val="1007"/>
        </w:numPr>
      </w:pPr>
      <w:r>
        <w:t xml:space="preserve">caused die-offs in E Australia, Central America, Colorado, California …</w:t>
      </w:r>
    </w:p>
    <w:p>
      <w:pPr>
        <w:pStyle w:val="Compact"/>
        <w:numPr>
          <w:ilvl w:val="0"/>
          <w:numId w:val="1007"/>
        </w:numPr>
      </w:pPr>
      <w:r>
        <w:t xml:space="preserve">association with high altitude?</w:t>
      </w:r>
    </w:p>
    <w:p>
      <w:pPr>
        <w:pStyle w:val="FirstParagraph"/>
      </w:pPr>
      <w:r>
        <w:t xml:space="preserve">Very confusing …</w:t>
      </w:r>
    </w:p>
    <w:p>
      <w:pPr>
        <w:numPr>
          <w:ilvl w:val="0"/>
          <w:numId w:val="1009"/>
        </w:numPr>
      </w:pPr>
      <w:r>
        <w:t xml:space="preserve">declines occurred in pristine areas (probably not anthropogenic?)</w:t>
      </w:r>
    </w:p>
    <w:p>
      <w:pPr>
        <w:numPr>
          <w:ilvl w:val="0"/>
          <w:numId w:val="1009"/>
        </w:numPr>
      </w:pPr>
      <w:r>
        <w:t xml:space="preserve">some species decline in the absence of Bd</w:t>
      </w:r>
    </w:p>
    <w:p>
      <w:pPr>
        <w:numPr>
          <w:ilvl w:val="0"/>
          <w:numId w:val="1009"/>
        </w:numPr>
      </w:pPr>
      <w:r>
        <w:t xml:space="preserve">some species stable in the presence of Bd</w:t>
      </w:r>
    </w:p>
    <w:p>
      <w:pPr>
        <w:numPr>
          <w:ilvl w:val="0"/>
          <w:numId w:val="1009"/>
        </w:numPr>
      </w:pPr>
      <w:r>
        <w:rPr>
          <w:b/>
          <w:bCs/>
        </w:rPr>
        <w:t xml:space="preserve">tipping point hypothesis</w:t>
      </w:r>
      <w:r>
        <w:t xml:space="preserve">: in populations all the time, but something happened to increase virulence/reduce tolerance or resistance (</w:t>
      </w:r>
      <m:oMath>
        <m:r>
          <m:rPr>
            <m:sty m:val="p"/>
          </m:rPr>
          <m:t>≈</m:t>
        </m:r>
      </m:oMath>
      <w:r>
        <w:t xml:space="preserve"> </w:t>
      </w:r>
      <w:r>
        <w:t xml:space="preserve">compatibility filter)</w:t>
      </w:r>
    </w:p>
    <w:p>
      <w:pPr>
        <w:pStyle w:val="Compact"/>
        <w:numPr>
          <w:ilvl w:val="1"/>
          <w:numId w:val="1010"/>
        </w:numPr>
      </w:pPr>
      <w:r>
        <w:t xml:space="preserve">climate change/El Niño ?</w:t>
      </w:r>
    </w:p>
    <w:p>
      <w:pPr>
        <w:pStyle w:val="Compact"/>
        <w:numPr>
          <w:ilvl w:val="1"/>
          <w:numId w:val="1010"/>
        </w:numPr>
      </w:pPr>
      <w:r>
        <w:t xml:space="preserve">ultraviolet radiation?</w:t>
      </w:r>
    </w:p>
    <w:p>
      <w:pPr>
        <w:pStyle w:val="Compact"/>
        <w:numPr>
          <w:ilvl w:val="1"/>
          <w:numId w:val="1010"/>
        </w:numPr>
      </w:pPr>
      <w:r>
        <w:t xml:space="preserve">pesticides?</w:t>
      </w:r>
    </w:p>
    <w:p>
      <w:pPr>
        <w:pStyle w:val="Compact"/>
        <w:numPr>
          <w:ilvl w:val="1"/>
          <w:numId w:val="1010"/>
        </w:numPr>
      </w:pPr>
      <w:r>
        <w:t xml:space="preserve">combination (species × temperature × U/V × pesticide × …)?</w:t>
      </w:r>
      <w:r>
        <w:t xml:space="preserve"> </w:t>
      </w:r>
      <w:r>
        <w:t xml:space="preserve">(Pounds et al., 2006; Rohr et al., 2008; Rohr &amp; Raffel, 2010)</w:t>
      </w:r>
    </w:p>
    <w:p>
      <w:pPr>
        <w:numPr>
          <w:ilvl w:val="0"/>
          <w:numId w:val="1009"/>
        </w:numPr>
      </w:pPr>
      <w:r>
        <w:rPr>
          <w:b/>
          <w:bCs/>
        </w:rPr>
        <w:t xml:space="preserve">novel pathogen hypothesis</w:t>
      </w:r>
      <w:r>
        <w:t xml:space="preserve">: mutation/speciation + dispersal</w:t>
      </w:r>
    </w:p>
    <w:p>
      <w:pPr>
        <w:pStyle w:val="Compact"/>
        <w:numPr>
          <w:ilvl w:val="1"/>
          <w:numId w:val="1011"/>
        </w:numPr>
      </w:pPr>
      <w:r>
        <w:t xml:space="preserve">detection in historical specimens: CA/bullfrog, Brazil …</w:t>
      </w:r>
    </w:p>
    <w:p>
      <w:pPr>
        <w:pStyle w:val="Compact"/>
        <w:numPr>
          <w:ilvl w:val="1"/>
          <w:numId w:val="1011"/>
        </w:numPr>
      </w:pPr>
      <w:r>
        <w:t xml:space="preserve">genomics (challenging!)</w:t>
      </w:r>
    </w:p>
    <w:p>
      <w:pPr>
        <w:pStyle w:val="Compact"/>
        <w:numPr>
          <w:ilvl w:val="1"/>
          <w:numId w:val="1011"/>
        </w:numPr>
      </w:pPr>
      <w:r>
        <w:t xml:space="preserve">Asian sampling</w:t>
      </w:r>
    </w:p>
    <w:p>
      <w:pPr>
        <w:pStyle w:val="FirstParagraph"/>
      </w:pPr>
      <w:r>
        <w:t xml:space="preserve">Fisher &amp; Garner (2020)</w:t>
      </w:r>
    </w:p>
    <w:p>
      <w:pPr>
        <w:pStyle w:val="BodyText"/>
      </w:pPr>
      <w:r>
        <w:drawing>
          <wp:inline>
            <wp:extent cx="5334000" cy="4579462"/>
            <wp:effectExtent b="0" l="0" r="0" t="0"/>
            <wp:docPr descr="" title="" id="29" name="Picture"/>
            <a:graphic>
              <a:graphicData uri="http://schemas.openxmlformats.org/drawingml/2006/picture">
                <pic:pic>
                  <pic:nvPicPr>
                    <pic:cNvPr descr="pix/zoon_emerg.png" id="30" name="Picture"/>
                    <pic:cNvPicPr>
                      <a:picLocks noChangeArrowheads="1" noChangeAspect="1"/>
                    </pic:cNvPicPr>
                  </pic:nvPicPr>
                  <pic:blipFill>
                    <a:blip r:embed="rId28"/>
                    <a:stretch>
                      <a:fillRect/>
                    </a:stretch>
                  </pic:blipFill>
                  <pic:spPr bwMode="auto">
                    <a:xfrm>
                      <a:off x="0" y="0"/>
                      <a:ext cx="5334000" cy="4579462"/>
                    </a:xfrm>
                    <a:prstGeom prst="rect">
                      <a:avLst/>
                    </a:prstGeom>
                    <a:noFill/>
                    <a:ln w="9525">
                      <a:noFill/>
                      <a:headEnd/>
                      <a:tailEnd/>
                    </a:ln>
                  </pic:spPr>
                </pic:pic>
              </a:graphicData>
            </a:graphic>
          </wp:inline>
        </w:drawing>
      </w:r>
    </w:p>
    <w:bookmarkEnd w:id="31"/>
    <w:bookmarkStart w:id="32" w:name="theory"/>
    <w:p>
      <w:pPr>
        <w:pStyle w:val="Heading2"/>
      </w:pPr>
      <w:r>
        <w:t xml:space="preserve">theory</w:t>
      </w:r>
    </w:p>
    <w:p>
      <w:pPr>
        <w:pStyle w:val="FirstParagraph"/>
      </w:pPr>
      <w:r>
        <w:t xml:space="preserve">Do we need to understand</w:t>
      </w:r>
      <w:r>
        <w:t xml:space="preserve"> </w:t>
      </w:r>
      <w:r>
        <w:rPr>
          <w:i/>
          <w:iCs/>
        </w:rPr>
        <w:t xml:space="preserve">everything</w:t>
      </w:r>
      <w:r>
        <w:t xml:space="preserve">?</w:t>
      </w:r>
    </w:p>
    <w:p>
      <w:pPr>
        <w:pStyle w:val="Compact"/>
        <w:numPr>
          <w:ilvl w:val="0"/>
          <w:numId w:val="1012"/>
        </w:numPr>
      </w:pPr>
      <w:r>
        <w:t xml:space="preserve">reservoir ecology</w:t>
      </w:r>
    </w:p>
    <w:p>
      <w:pPr>
        <w:pStyle w:val="Compact"/>
        <w:numPr>
          <w:ilvl w:val="0"/>
          <w:numId w:val="1012"/>
        </w:numPr>
      </w:pPr>
      <w:r>
        <w:t xml:space="preserve">pathogen biology</w:t>
      </w:r>
    </w:p>
    <w:p>
      <w:pPr>
        <w:pStyle w:val="Compact"/>
        <w:numPr>
          <w:ilvl w:val="0"/>
          <w:numId w:val="1012"/>
        </w:numPr>
      </w:pPr>
      <w:r>
        <w:t xml:space="preserve">human-reservoir interactions</w:t>
      </w:r>
    </w:p>
    <w:p>
      <w:pPr>
        <w:pStyle w:val="FirstParagraph"/>
      </w:pPr>
      <w:r>
        <w:t xml:space="preserve">How do we understand? How do we predict?</w:t>
      </w:r>
    </w:p>
    <w:bookmarkEnd w:id="32"/>
    <w:bookmarkStart w:id="39" w:name="effects-of-climate-change"/>
    <w:p>
      <w:pPr>
        <w:pStyle w:val="Heading2"/>
      </w:pPr>
      <w:r>
        <w:t xml:space="preserve">effects of climate change</w:t>
      </w:r>
    </w:p>
    <w:p>
      <w:pPr>
        <w:pStyle w:val="Compact"/>
        <w:numPr>
          <w:ilvl w:val="0"/>
          <w:numId w:val="1013"/>
        </w:numPr>
      </w:pPr>
      <w:r>
        <w:t xml:space="preserve">warming</w:t>
      </w:r>
    </w:p>
    <w:p>
      <w:pPr>
        <w:pStyle w:val="Compact"/>
        <w:numPr>
          <w:ilvl w:val="1"/>
          <w:numId w:val="1014"/>
        </w:numPr>
      </w:pPr>
      <w:r>
        <w:t xml:space="preserve">‘good’</w:t>
      </w:r>
      <w:r>
        <w:t xml:space="preserve"> </w:t>
      </w:r>
      <w:r>
        <w:t xml:space="preserve">or</w:t>
      </w:r>
      <w:r>
        <w:t xml:space="preserve"> </w:t>
      </w:r>
      <w:r>
        <w:t xml:space="preserve">‘bad’</w:t>
      </w:r>
      <w:r>
        <w:t xml:space="preserve"> </w:t>
      </w:r>
      <w:r>
        <w:t xml:space="preserve">for pathogens?</w:t>
      </w:r>
    </w:p>
    <w:p>
      <w:pPr>
        <w:pStyle w:val="Compact"/>
        <w:numPr>
          <w:ilvl w:val="1"/>
          <w:numId w:val="1014"/>
        </w:numPr>
      </w:pPr>
      <w:r>
        <w:t xml:space="preserve">vector biology</w:t>
      </w:r>
    </w:p>
    <w:p>
      <w:pPr>
        <w:pStyle w:val="Compact"/>
        <w:numPr>
          <w:ilvl w:val="2"/>
          <w:numId w:val="1015"/>
        </w:numPr>
      </w:pPr>
      <w:r>
        <w:t xml:space="preserve">extended range</w:t>
      </w:r>
    </w:p>
    <w:p>
      <w:pPr>
        <w:pStyle w:val="Compact"/>
        <w:numPr>
          <w:ilvl w:val="2"/>
          <w:numId w:val="1015"/>
        </w:numPr>
      </w:pPr>
      <w:r>
        <w:t xml:space="preserve">higher activity?</w:t>
      </w:r>
    </w:p>
    <w:p>
      <w:pPr>
        <w:pStyle w:val="Compact"/>
        <w:numPr>
          <w:ilvl w:val="2"/>
          <w:numId w:val="1015"/>
        </w:numPr>
      </w:pPr>
      <w:r>
        <w:t xml:space="preserve">lots of debate</w:t>
      </w:r>
      <w:r>
        <w:t xml:space="preserve"> </w:t>
      </w:r>
      <w:r>
        <w:t xml:space="preserve">(Omumbo et al., 2011)</w:t>
      </w:r>
    </w:p>
    <w:p>
      <w:pPr>
        <w:pStyle w:val="Compact"/>
        <w:numPr>
          <w:ilvl w:val="2"/>
          <w:numId w:val="1015"/>
        </w:numPr>
      </w:pPr>
      <w:r>
        <w:t xml:space="preserve">details of temperature sensitivity: e.g.</w:t>
      </w:r>
      <w:r>
        <w:t xml:space="preserve"> </w:t>
      </w:r>
      <w:r>
        <w:t xml:space="preserve">Mordecai et al. (2013)</w:t>
      </w:r>
      <w:r>
        <w:t xml:space="preserve">;</w:t>
      </w:r>
      <w:r>
        <w:t xml:space="preserve"> </w:t>
      </w:r>
      <w:r>
        <w:t xml:space="preserve">Ryan et al. (2015)</w:t>
      </w:r>
      <w:r>
        <w:t xml:space="preserve">;</w:t>
      </w:r>
      <w:r>
        <w:t xml:space="preserve"> </w:t>
      </w:r>
      <w:r>
        <w:t xml:space="preserve">Mordecai et al. (2020)</w:t>
      </w:r>
      <w:r>
        <w:t xml:space="preserve">: shift from</w:t>
      </w:r>
      <w:r>
        <w:t xml:space="preserve"> </w:t>
      </w:r>
      <w:r>
        <w:rPr>
          <w:i/>
          <w:iCs/>
        </w:rPr>
        <w:t xml:space="preserve">Anopheles gambiae</w:t>
      </w:r>
      <w:r>
        <w:t xml:space="preserve"> </w:t>
      </w:r>
      <w:r>
        <w:t xml:space="preserve">to</w:t>
      </w:r>
      <w:r>
        <w:t xml:space="preserve"> </w:t>
      </w:r>
      <w:r>
        <w:rPr>
          <w:i/>
          <w:iCs/>
        </w:rPr>
        <w:t xml:space="preserve">Aedes aegypti</w:t>
      </w:r>
      <w:r>
        <w:t xml:space="preserve">, malaria to arboviruses (dengue, chikungunya etc.);</w:t>
      </w:r>
    </w:p>
    <w:p>
      <w:pPr>
        <w:pStyle w:val="Compact"/>
        <w:numPr>
          <w:ilvl w:val="0"/>
          <w:numId w:val="1013"/>
        </w:numPr>
      </w:pPr>
      <w:r>
        <w:t xml:space="preserve">changes in seasonality, hydrological cycles</w:t>
      </w:r>
    </w:p>
    <w:p>
      <w:pPr>
        <w:pStyle w:val="Compact"/>
        <w:numPr>
          <w:ilvl w:val="0"/>
          <w:numId w:val="1013"/>
        </w:numPr>
      </w:pPr>
      <w:r>
        <w:t xml:space="preserve">local landscape change</w:t>
      </w:r>
    </w:p>
    <w:p>
      <w:pPr>
        <w:pStyle w:val="Compact"/>
        <w:numPr>
          <w:ilvl w:val="1"/>
          <w:numId w:val="1016"/>
        </w:numPr>
      </w:pPr>
      <w:r>
        <w:t xml:space="preserve">hydrology</w:t>
      </w:r>
    </w:p>
    <w:p>
      <w:pPr>
        <w:pStyle w:val="Compact"/>
        <w:numPr>
          <w:ilvl w:val="1"/>
          <w:numId w:val="1016"/>
        </w:numPr>
      </w:pPr>
      <w:r>
        <w:t xml:space="preserve">suburbanization and reforestation: Lyme disease</w:t>
      </w:r>
    </w:p>
    <w:p>
      <w:pPr>
        <w:pStyle w:val="Compact"/>
        <w:numPr>
          <w:ilvl w:val="1"/>
          <w:numId w:val="1016"/>
        </w:numPr>
      </w:pPr>
      <w:r>
        <w:t xml:space="preserve">deforestation</w:t>
      </w:r>
      <w:r>
        <w:t xml:space="preserve"> </w:t>
      </w:r>
      <w:r>
        <w:t xml:space="preserve">(MacDonald &amp; Mordecai, 2019)</w:t>
      </w:r>
    </w:p>
    <w:p>
      <w:pPr>
        <w:pStyle w:val="Compact"/>
        <w:numPr>
          <w:ilvl w:val="0"/>
          <w:numId w:val="1013"/>
        </w:numPr>
      </w:pPr>
      <w:r>
        <w:t xml:space="preserve">changes in reservoir communities</w:t>
      </w:r>
    </w:p>
    <w:p>
      <w:pPr>
        <w:pStyle w:val="FirstParagraph"/>
      </w:pPr>
      <w:r>
        <w:drawing>
          <wp:inline>
            <wp:extent cx="5334000" cy="4961499"/>
            <wp:effectExtent b="0" l="0" r="0" t="0"/>
            <wp:docPr descr="" title="" id="34" name="Picture"/>
            <a:graphic>
              <a:graphicData uri="http://schemas.openxmlformats.org/drawingml/2006/picture">
                <pic:pic>
                  <pic:nvPicPr>
                    <pic:cNvPr descr="pix/mordecai_temp.jpg" id="35" name="Picture"/>
                    <pic:cNvPicPr>
                      <a:picLocks noChangeArrowheads="1" noChangeAspect="1"/>
                    </pic:cNvPicPr>
                  </pic:nvPicPr>
                  <pic:blipFill>
                    <a:blip r:embed="rId33"/>
                    <a:stretch>
                      <a:fillRect/>
                    </a:stretch>
                  </pic:blipFill>
                  <pic:spPr bwMode="auto">
                    <a:xfrm>
                      <a:off x="0" y="0"/>
                      <a:ext cx="5334000" cy="4961499"/>
                    </a:xfrm>
                    <a:prstGeom prst="rect">
                      <a:avLst/>
                    </a:prstGeom>
                    <a:noFill/>
                    <a:ln w="9525">
                      <a:noFill/>
                      <a:headEnd/>
                      <a:tailEnd/>
                    </a:ln>
                  </pic:spPr>
                </pic:pic>
              </a:graphicData>
            </a:graphic>
          </wp:inline>
        </w:drawing>
      </w:r>
    </w:p>
    <w:p>
      <w:pPr>
        <w:pStyle w:val="BodyText"/>
      </w:pPr>
      <w:r>
        <w:drawing>
          <wp:inline>
            <wp:extent cx="5334000" cy="4053237"/>
            <wp:effectExtent b="0" l="0" r="0" t="0"/>
            <wp:docPr descr="" title="" id="37" name="Picture"/>
            <a:graphic>
              <a:graphicData uri="http://schemas.openxmlformats.org/drawingml/2006/picture">
                <pic:pic>
                  <pic:nvPicPr>
                    <pic:cNvPr descr="pix/mordecai_temp2.jpg" id="38" name="Picture"/>
                    <pic:cNvPicPr>
                      <a:picLocks noChangeArrowheads="1" noChangeAspect="1"/>
                    </pic:cNvPicPr>
                  </pic:nvPicPr>
                  <pic:blipFill>
                    <a:blip r:embed="rId36"/>
                    <a:stretch>
                      <a:fillRect/>
                    </a:stretch>
                  </pic:blipFill>
                  <pic:spPr bwMode="auto">
                    <a:xfrm>
                      <a:off x="0" y="0"/>
                      <a:ext cx="5334000" cy="4053237"/>
                    </a:xfrm>
                    <a:prstGeom prst="rect">
                      <a:avLst/>
                    </a:prstGeom>
                    <a:noFill/>
                    <a:ln w="9525">
                      <a:noFill/>
                      <a:headEnd/>
                      <a:tailEnd/>
                    </a:ln>
                  </pic:spPr>
                </pic:pic>
              </a:graphicData>
            </a:graphic>
          </wp:inline>
        </w:drawing>
      </w:r>
    </w:p>
    <w:bookmarkEnd w:id="39"/>
    <w:bookmarkStart w:id="49" w:name="X6bc96f046da0e7089c4f9b921f758ebc3dabe90"/>
    <w:p>
      <w:pPr>
        <w:pStyle w:val="Heading2"/>
      </w:pPr>
      <w:r>
        <w:t xml:space="preserve">effects of biodiversity change: dilution effect</w:t>
      </w:r>
      <w:r>
        <w:t xml:space="preserve"> </w:t>
      </w:r>
      <w:r>
        <w:t xml:space="preserve">(Keesing &amp; Ostfeld, 2021)</w:t>
      </w:r>
    </w:p>
    <w:p>
      <w:pPr>
        <w:numPr>
          <w:ilvl w:val="0"/>
          <w:numId w:val="1017"/>
        </w:numPr>
      </w:pPr>
      <w:r>
        <w:t xml:space="preserve">does increased biodiversity decrease disease?</w:t>
      </w:r>
    </w:p>
    <w:p>
      <w:pPr>
        <w:pStyle w:val="Compact"/>
        <w:numPr>
          <w:ilvl w:val="1"/>
          <w:numId w:val="1018"/>
        </w:numPr>
      </w:pPr>
      <w:r>
        <w:t xml:space="preserve">what does an</w:t>
      </w:r>
      <w:r>
        <w:t xml:space="preserve"> </w:t>
      </w:r>
      <w:r>
        <w:t xml:space="preserve">“effect of biodiversity”</w:t>
      </w:r>
      <w:r>
        <w:t xml:space="preserve"> </w:t>
      </w:r>
      <w:r>
        <w:t xml:space="preserve">really mean? nature can’t count species</w:t>
      </w:r>
    </w:p>
    <w:p>
      <w:pPr>
        <w:pStyle w:val="Compact"/>
        <w:numPr>
          <w:ilvl w:val="1"/>
          <w:numId w:val="1018"/>
        </w:numPr>
      </w:pPr>
      <w:r>
        <w:t xml:space="preserve">in what way/why is biodiversity changing?</w:t>
      </w:r>
    </w:p>
    <w:p>
      <w:pPr>
        <w:pStyle w:val="Compact"/>
        <w:numPr>
          <w:ilvl w:val="2"/>
          <w:numId w:val="1019"/>
        </w:numPr>
      </w:pPr>
      <w:r>
        <w:t xml:space="preserve">comparing different intact communities?</w:t>
      </w:r>
    </w:p>
    <w:p>
      <w:pPr>
        <w:pStyle w:val="Compact"/>
        <w:numPr>
          <w:ilvl w:val="2"/>
          <w:numId w:val="1019"/>
        </w:numPr>
      </w:pPr>
      <w:r>
        <w:t xml:space="preserve">loss of species due to habitat change etc ??</w:t>
      </w:r>
    </w:p>
    <w:p>
      <w:pPr>
        <w:numPr>
          <w:ilvl w:val="0"/>
          <w:numId w:val="1017"/>
        </w:numPr>
      </w:pPr>
      <w:r>
        <w:t xml:space="preserve">variation in hosts</w:t>
      </w:r>
    </w:p>
    <w:p>
      <w:pPr>
        <w:pStyle w:val="Compact"/>
        <w:numPr>
          <w:ilvl w:val="1"/>
          <w:numId w:val="1020"/>
        </w:numPr>
      </w:pPr>
      <w:r>
        <w:t xml:space="preserve">population density</w:t>
      </w:r>
    </w:p>
    <w:p>
      <w:pPr>
        <w:pStyle w:val="Compact"/>
        <w:numPr>
          <w:ilvl w:val="1"/>
          <w:numId w:val="1020"/>
        </w:numPr>
      </w:pPr>
      <w:r>
        <w:t xml:space="preserve">vector competence</w:t>
      </w:r>
    </w:p>
    <w:p>
      <w:pPr>
        <w:pStyle w:val="Compact"/>
        <w:numPr>
          <w:ilvl w:val="1"/>
          <w:numId w:val="1020"/>
        </w:numPr>
      </w:pPr>
      <w:r>
        <w:t xml:space="preserve">host competence</w:t>
      </w:r>
    </w:p>
    <w:p>
      <w:pPr>
        <w:pStyle w:val="Compact"/>
        <w:numPr>
          <w:ilvl w:val="1"/>
          <w:numId w:val="1020"/>
        </w:numPr>
      </w:pPr>
      <w:r>
        <w:t xml:space="preserve">competitive ability</w:t>
      </w:r>
    </w:p>
    <w:p>
      <w:pPr>
        <w:pStyle w:val="Compact"/>
        <w:numPr>
          <w:ilvl w:val="1"/>
          <w:numId w:val="1020"/>
        </w:numPr>
      </w:pPr>
      <w:r>
        <w:t xml:space="preserve">habitat preferences</w:t>
      </w:r>
    </w:p>
    <w:p>
      <w:pPr>
        <w:numPr>
          <w:ilvl w:val="0"/>
          <w:numId w:val="1017"/>
        </w:numPr>
      </w:pPr>
      <w:r>
        <w:t xml:space="preserve">encounter reduction (less probability of finding a good host)</w:t>
      </w:r>
    </w:p>
    <w:p>
      <w:pPr>
        <w:numPr>
          <w:ilvl w:val="0"/>
          <w:numId w:val="1017"/>
        </w:numPr>
      </w:pPr>
      <w:r>
        <w:t xml:space="preserve">host regulation (fewer good hosts)</w:t>
      </w:r>
    </w:p>
    <w:p>
      <w:pPr>
        <w:numPr>
          <w:ilvl w:val="0"/>
          <w:numId w:val="1017"/>
        </w:numPr>
      </w:pPr>
      <w:r>
        <w:t xml:space="preserve">vector preferences (affects which hosts are used)</w:t>
      </w:r>
    </w:p>
    <w:p>
      <w:pPr>
        <w:numPr>
          <w:ilvl w:val="0"/>
          <w:numId w:val="1017"/>
        </w:numPr>
      </w:pPr>
      <w:r>
        <w:rPr>
          <w:b/>
          <w:bCs/>
        </w:rPr>
        <w:t xml:space="preserve">if</w:t>
      </w:r>
      <w:r>
        <w:t xml:space="preserve"> </w:t>
      </w:r>
      <w:r>
        <w:t xml:space="preserve">high-quality hosts decrease with increasing biodiversity, then decreases in diversity → increased parasite prevalence</w:t>
      </w:r>
    </w:p>
    <w:p>
      <w:pPr>
        <w:numPr>
          <w:ilvl w:val="0"/>
          <w:numId w:val="1017"/>
        </w:numPr>
      </w:pPr>
      <w:r>
        <w:t xml:space="preserve">depends on how the community is changing</w:t>
      </w:r>
    </w:p>
    <w:p>
      <w:pPr>
        <w:pStyle w:val="Compact"/>
        <w:numPr>
          <w:ilvl w:val="1"/>
          <w:numId w:val="1021"/>
        </w:numPr>
      </w:pPr>
      <w:r>
        <w:t xml:space="preserve">what is driving biodiversity loss?</w:t>
      </w:r>
    </w:p>
    <w:p>
      <w:pPr>
        <w:pStyle w:val="Compact"/>
        <w:numPr>
          <w:ilvl w:val="1"/>
          <w:numId w:val="1021"/>
        </w:numPr>
      </w:pPr>
      <w:r>
        <w:t xml:space="preserve">what species are more likely to be lost?</w:t>
      </w:r>
    </w:p>
    <w:p>
      <w:pPr>
        <w:pStyle w:val="Compact"/>
        <w:numPr>
          <w:ilvl w:val="1"/>
          <w:numId w:val="1021"/>
        </w:numPr>
      </w:pPr>
      <w:r>
        <w:t xml:space="preserve">are less/more</w:t>
      </w:r>
      <w:r>
        <w:t xml:space="preserve"> </w:t>
      </w:r>
      <w:r>
        <w:rPr>
          <w:b/>
          <w:bCs/>
        </w:rPr>
        <w:t xml:space="preserve">competent</w:t>
      </w:r>
      <w:r>
        <w:t xml:space="preserve"> </w:t>
      </w:r>
      <w:r>
        <w:t xml:space="preserve">host species more likely to be lost?</w:t>
      </w:r>
    </w:p>
    <w:p>
      <w:pPr>
        <w:numPr>
          <w:ilvl w:val="0"/>
          <w:numId w:val="1017"/>
        </w:numPr>
      </w:pPr>
      <w:r>
        <w:t xml:space="preserve">zoonotic host diversity in human-impacted landscapes</w:t>
      </w:r>
      <w:r>
        <w:t xml:space="preserve"> </w:t>
      </w:r>
      <w:r>
        <w:t xml:space="preserve">(Gibb et al., 2020)</w:t>
      </w:r>
    </w:p>
    <w:p>
      <w:pPr>
        <w:pStyle w:val="FirstParagraph"/>
      </w:pPr>
      <w:r>
        <w:drawing>
          <wp:inline>
            <wp:extent cx="1624243" cy="990727"/>
            <wp:effectExtent b="0" l="0" r="0" t="0"/>
            <wp:docPr descr="" title="" id="41" name="Picture"/>
            <a:graphic>
              <a:graphicData uri="http://schemas.openxmlformats.org/drawingml/2006/picture">
                <pic:pic>
                  <pic:nvPicPr>
                    <pic:cNvPr descr="pix/johnson_subs.png" id="42" name="Picture"/>
                    <pic:cNvPicPr>
                      <a:picLocks noChangeArrowheads="1" noChangeAspect="1"/>
                    </pic:cNvPicPr>
                  </pic:nvPicPr>
                  <pic:blipFill>
                    <a:blip r:embed="rId40"/>
                    <a:stretch>
                      <a:fillRect/>
                    </a:stretch>
                  </pic:blipFill>
                  <pic:spPr bwMode="auto">
                    <a:xfrm>
                      <a:off x="0" y="0"/>
                      <a:ext cx="1624243" cy="990727"/>
                    </a:xfrm>
                    <a:prstGeom prst="rect">
                      <a:avLst/>
                    </a:prstGeom>
                    <a:noFill/>
                    <a:ln w="9525">
                      <a:noFill/>
                      <a:headEnd/>
                      <a:tailEnd/>
                    </a:ln>
                  </pic:spPr>
                </pic:pic>
              </a:graphicData>
            </a:graphic>
          </wp:inline>
        </w:drawing>
      </w:r>
    </w:p>
    <w:p>
      <w:pPr>
        <w:pStyle w:val="BodyText"/>
      </w:pPr>
      <w:r>
        <w:t xml:space="preserve">Kain &amp; Bolker (2019)</w:t>
      </w:r>
      <w:r>
        <w:t xml:space="preserve">:</w:t>
      </w:r>
    </w:p>
    <w:p>
      <w:pPr>
        <w:pStyle w:val="BodyText"/>
      </w:pPr>
      <w:r>
        <w:drawing>
          <wp:inline>
            <wp:extent cx="5334000" cy="5424880"/>
            <wp:effectExtent b="0" l="0" r="0" t="0"/>
            <wp:docPr descr="" title="" id="44" name="Picture"/>
            <a:graphic>
              <a:graphicData uri="http://schemas.openxmlformats.org/drawingml/2006/picture">
                <pic:pic>
                  <pic:nvPicPr>
                    <pic:cNvPr descr="pix/wnv_dilute.png" id="45" name="Picture"/>
                    <pic:cNvPicPr>
                      <a:picLocks noChangeArrowheads="1" noChangeAspect="1"/>
                    </pic:cNvPicPr>
                  </pic:nvPicPr>
                  <pic:blipFill>
                    <a:blip r:embed="rId43"/>
                    <a:stretch>
                      <a:fillRect/>
                    </a:stretch>
                  </pic:blipFill>
                  <pic:spPr bwMode="auto">
                    <a:xfrm>
                      <a:off x="0" y="0"/>
                      <a:ext cx="5334000" cy="5424880"/>
                    </a:xfrm>
                    <a:prstGeom prst="rect">
                      <a:avLst/>
                    </a:prstGeom>
                    <a:noFill/>
                    <a:ln w="9525">
                      <a:noFill/>
                      <a:headEnd/>
                      <a:tailEnd/>
                    </a:ln>
                  </pic:spPr>
                </pic:pic>
              </a:graphicData>
            </a:graphic>
          </wp:inline>
        </w:drawing>
      </w:r>
    </w:p>
    <w:p>
      <w:pPr>
        <w:pStyle w:val="BodyText"/>
      </w:pPr>
      <w:r>
        <w:t xml:space="preserve">Rohr et al. (2020)</w:t>
      </w:r>
      <w:r>
        <w:t xml:space="preserve">: meta-analysis (again …)</w:t>
      </w:r>
    </w:p>
    <w:p>
      <w:pPr>
        <w:pStyle w:val="BodyText"/>
      </w:pPr>
      <w:r>
        <w:t xml:space="preserve">Resolving two contradictory meta-analysis: experimental vs observational, small- vs large-scale …</w:t>
      </w:r>
    </w:p>
    <w:p>
      <w:pPr>
        <w:pStyle w:val="BodyText"/>
      </w:pPr>
      <w:r>
        <w:drawing>
          <wp:inline>
            <wp:extent cx="5334000" cy="5471698"/>
            <wp:effectExtent b="0" l="0" r="0" t="0"/>
            <wp:docPr descr="" title="" id="47" name="Picture"/>
            <a:graphic>
              <a:graphicData uri="http://schemas.openxmlformats.org/drawingml/2006/picture">
                <pic:pic>
                  <pic:nvPicPr>
                    <pic:cNvPr descr="pix/rohr_dilute.png" id="48" name="Picture"/>
                    <pic:cNvPicPr>
                      <a:picLocks noChangeArrowheads="1" noChangeAspect="1"/>
                    </pic:cNvPicPr>
                  </pic:nvPicPr>
                  <pic:blipFill>
                    <a:blip r:embed="rId46"/>
                    <a:stretch>
                      <a:fillRect/>
                    </a:stretch>
                  </pic:blipFill>
                  <pic:spPr bwMode="auto">
                    <a:xfrm>
                      <a:off x="0" y="0"/>
                      <a:ext cx="5334000" cy="5471698"/>
                    </a:xfrm>
                    <a:prstGeom prst="rect">
                      <a:avLst/>
                    </a:prstGeom>
                    <a:noFill/>
                    <a:ln w="9525">
                      <a:noFill/>
                      <a:headEnd/>
                      <a:tailEnd/>
                    </a:ln>
                  </pic:spPr>
                </pic:pic>
              </a:graphicData>
            </a:graphic>
          </wp:inline>
        </w:drawing>
      </w:r>
    </w:p>
    <w:p>
      <w:pPr>
        <w:pStyle w:val="Compact"/>
        <w:numPr>
          <w:ilvl w:val="0"/>
          <w:numId w:val="1022"/>
        </w:numPr>
      </w:pPr>
      <w:r>
        <w:t xml:space="preserve">C. J. Carlson et al. (2022)</w:t>
      </w:r>
      <w:r>
        <w:t xml:space="preserve">:</w:t>
      </w:r>
      <w:r>
        <w:t xml:space="preserve"> </w:t>
      </w:r>
      <w:r>
        <w:rPr>
          <w:i/>
          <w:iCs/>
        </w:rPr>
        <w:t xml:space="preserve">higher</w:t>
      </w:r>
      <w:r>
        <w:t xml:space="preserve"> </w:t>
      </w:r>
      <w:r>
        <w:t xml:space="preserve">rodent diversity and climate anomalies drive plague spillover</w:t>
      </w:r>
    </w:p>
    <w:bookmarkEnd w:id="49"/>
    <w:bookmarkStart w:id="65" w:name="surveillance-and-prediction"/>
    <w:p>
      <w:pPr>
        <w:pStyle w:val="Heading2"/>
      </w:pPr>
      <w:r>
        <w:t xml:space="preserve">surveillance and prediction</w:t>
      </w:r>
    </w:p>
    <w:p>
      <w:pPr>
        <w:pStyle w:val="Compact"/>
        <w:numPr>
          <w:ilvl w:val="0"/>
          <w:numId w:val="1023"/>
        </w:numPr>
      </w:pPr>
      <w:r>
        <w:t xml:space="preserve">which viruses will emerge, where, why?</w:t>
      </w:r>
    </w:p>
    <w:p>
      <w:r>
        <w:pict>
          <v:rect style="width:0;height:1.5pt" o:hralign="center" o:hrstd="t" o:hr="t"/>
        </w:pict>
      </w:r>
    </w:p>
    <w:p>
      <w:pPr>
        <w:pStyle w:val="FirstParagraph"/>
      </w:pPr>
      <w:r>
        <w:t xml:space="preserve">Pulliam &amp; Dushoff (2009)</w:t>
      </w:r>
      <w:r>
        <w:t xml:space="preserve">: predict zoonotic transmission of livestock viruses</w:t>
      </w:r>
    </w:p>
    <w:p>
      <w:pPr>
        <w:pStyle w:val="BodyText"/>
      </w:pPr>
      <w:r>
        <w:drawing>
          <wp:inline>
            <wp:extent cx="5334000" cy="2922175"/>
            <wp:effectExtent b="0" l="0" r="0" t="0"/>
            <wp:docPr descr="" title="" id="51" name="Picture"/>
            <a:graphic>
              <a:graphicData uri="http://schemas.openxmlformats.org/drawingml/2006/picture">
                <pic:pic>
                  <pic:nvPicPr>
                    <pic:cNvPr descr="pix/pulliam_pred.png" id="52" name="Picture"/>
                    <pic:cNvPicPr>
                      <a:picLocks noChangeArrowheads="1" noChangeAspect="1"/>
                    </pic:cNvPicPr>
                  </pic:nvPicPr>
                  <pic:blipFill>
                    <a:blip r:embed="rId50"/>
                    <a:stretch>
                      <a:fillRect/>
                    </a:stretch>
                  </pic:blipFill>
                  <pic:spPr bwMode="auto">
                    <a:xfrm>
                      <a:off x="0" y="0"/>
                      <a:ext cx="5334000" cy="2922175"/>
                    </a:xfrm>
                    <a:prstGeom prst="rect">
                      <a:avLst/>
                    </a:prstGeom>
                    <a:noFill/>
                    <a:ln w="9525">
                      <a:noFill/>
                      <a:headEnd/>
                      <a:tailEnd/>
                    </a:ln>
                  </pic:spPr>
                </pic:pic>
              </a:graphicData>
            </a:graphic>
          </wp:inline>
        </w:drawing>
      </w:r>
    </w:p>
    <w:p>
      <w:r>
        <w:pict>
          <v:rect style="width:0;height:1.5pt" o:hralign="center" o:hrstd="t" o:hr="t"/>
        </w:pict>
      </w:r>
    </w:p>
    <w:p>
      <w:pPr>
        <w:pStyle w:val="FirstParagraph"/>
      </w:pPr>
      <w:r>
        <w:t xml:space="preserve">Walker et al. (2018)</w:t>
      </w:r>
      <w:r>
        <w:t xml:space="preserve">: predict human transmission ability of zoonotic viruses</w:t>
      </w:r>
    </w:p>
    <w:p>
      <w:pPr>
        <w:pStyle w:val="BodyText"/>
      </w:pPr>
      <w:r>
        <w:drawing>
          <wp:inline>
            <wp:extent cx="5334000" cy="3614158"/>
            <wp:effectExtent b="0" l="0" r="0" t="0"/>
            <wp:docPr descr="" title="" id="54" name="Picture"/>
            <a:graphic>
              <a:graphicData uri="http://schemas.openxmlformats.org/drawingml/2006/picture">
                <pic:pic>
                  <pic:nvPicPr>
                    <pic:cNvPr descr="pix/han_predict1.png" id="55" name="Picture"/>
                    <pic:cNvPicPr>
                      <a:picLocks noChangeArrowheads="1" noChangeAspect="1"/>
                    </pic:cNvPicPr>
                  </pic:nvPicPr>
                  <pic:blipFill>
                    <a:blip r:embed="rId53"/>
                    <a:stretch>
                      <a:fillRect/>
                    </a:stretch>
                  </pic:blipFill>
                  <pic:spPr bwMode="auto">
                    <a:xfrm>
                      <a:off x="0" y="0"/>
                      <a:ext cx="5334000" cy="3614158"/>
                    </a:xfrm>
                    <a:prstGeom prst="rect">
                      <a:avLst/>
                    </a:prstGeom>
                    <a:noFill/>
                    <a:ln w="9525">
                      <a:noFill/>
                      <a:headEnd/>
                      <a:tailEnd/>
                    </a:ln>
                  </pic:spPr>
                </pic:pic>
              </a:graphicData>
            </a:graphic>
          </wp:inline>
        </w:drawing>
      </w:r>
    </w:p>
    <w:p>
      <w:pPr>
        <w:pStyle w:val="BodyText"/>
      </w:pPr>
      <w:r>
        <w:drawing>
          <wp:inline>
            <wp:extent cx="5334000" cy="3418630"/>
            <wp:effectExtent b="0" l="0" r="0" t="0"/>
            <wp:docPr descr="" title="" id="57" name="Picture"/>
            <a:graphic>
              <a:graphicData uri="http://schemas.openxmlformats.org/drawingml/2006/picture">
                <pic:pic>
                  <pic:nvPicPr>
                    <pic:cNvPr descr="pix/han_predict2.png" id="58" name="Picture"/>
                    <pic:cNvPicPr>
                      <a:picLocks noChangeArrowheads="1" noChangeAspect="1"/>
                    </pic:cNvPicPr>
                  </pic:nvPicPr>
                  <pic:blipFill>
                    <a:blip r:embed="rId56"/>
                    <a:stretch>
                      <a:fillRect/>
                    </a:stretch>
                  </pic:blipFill>
                  <pic:spPr bwMode="auto">
                    <a:xfrm>
                      <a:off x="0" y="0"/>
                      <a:ext cx="5334000" cy="3418630"/>
                    </a:xfrm>
                    <a:prstGeom prst="rect">
                      <a:avLst/>
                    </a:prstGeom>
                    <a:noFill/>
                    <a:ln w="9525">
                      <a:noFill/>
                      <a:headEnd/>
                      <a:tailEnd/>
                    </a:ln>
                  </pic:spPr>
                </pic:pic>
              </a:graphicData>
            </a:graphic>
          </wp:inline>
        </w:drawing>
      </w:r>
    </w:p>
    <w:p>
      <w:pPr>
        <w:pStyle w:val="BodyText"/>
      </w:pPr>
      <w:r>
        <w:t xml:space="preserve">Han et al. (2020)</w:t>
      </w:r>
      <w:r>
        <w:t xml:space="preserve">: model rodent life history</w:t>
      </w:r>
    </w:p>
    <w:p>
      <w:pPr>
        <w:pStyle w:val="BodyText"/>
      </w:pPr>
      <w:r>
        <w:drawing>
          <wp:inline>
            <wp:extent cx="5334000" cy="4801155"/>
            <wp:effectExtent b="0" l="0" r="0" t="0"/>
            <wp:docPr descr="" title="" id="60" name="Picture"/>
            <a:graphic>
              <a:graphicData uri="http://schemas.openxmlformats.org/drawingml/2006/picture">
                <pic:pic>
                  <pic:nvPicPr>
                    <pic:cNvPr descr="pix/han_predict4.png" id="61" name="Picture"/>
                    <pic:cNvPicPr>
                      <a:picLocks noChangeArrowheads="1" noChangeAspect="1"/>
                    </pic:cNvPicPr>
                  </pic:nvPicPr>
                  <pic:blipFill>
                    <a:blip r:embed="rId59"/>
                    <a:stretch>
                      <a:fillRect/>
                    </a:stretch>
                  </pic:blipFill>
                  <pic:spPr bwMode="auto">
                    <a:xfrm>
                      <a:off x="0" y="0"/>
                      <a:ext cx="5334000" cy="4801155"/>
                    </a:xfrm>
                    <a:prstGeom prst="rect">
                      <a:avLst/>
                    </a:prstGeom>
                    <a:noFill/>
                    <a:ln w="9525">
                      <a:noFill/>
                      <a:headEnd/>
                      <a:tailEnd/>
                    </a:ln>
                  </pic:spPr>
                </pic:pic>
              </a:graphicData>
            </a:graphic>
          </wp:inline>
        </w:drawing>
      </w:r>
    </w:p>
    <w:p>
      <w:pPr>
        <w:pStyle w:val="BodyText"/>
      </w:pPr>
      <w:r>
        <w:drawing>
          <wp:inline>
            <wp:extent cx="5334000" cy="2564360"/>
            <wp:effectExtent b="0" l="0" r="0" t="0"/>
            <wp:docPr descr="" title="" id="63" name="Picture"/>
            <a:graphic>
              <a:graphicData uri="http://schemas.openxmlformats.org/drawingml/2006/picture">
                <pic:pic>
                  <pic:nvPicPr>
                    <pic:cNvPr descr="pix/han_predict5.png" id="64" name="Picture"/>
                    <pic:cNvPicPr>
                      <a:picLocks noChangeArrowheads="1" noChangeAspect="1"/>
                    </pic:cNvPicPr>
                  </pic:nvPicPr>
                  <pic:blipFill>
                    <a:blip r:embed="rId62"/>
                    <a:stretch>
                      <a:fillRect/>
                    </a:stretch>
                  </pic:blipFill>
                  <pic:spPr bwMode="auto">
                    <a:xfrm>
                      <a:off x="0" y="0"/>
                      <a:ext cx="5334000" cy="2564360"/>
                    </a:xfrm>
                    <a:prstGeom prst="rect">
                      <a:avLst/>
                    </a:prstGeom>
                    <a:noFill/>
                    <a:ln w="9525">
                      <a:noFill/>
                      <a:headEnd/>
                      <a:tailEnd/>
                    </a:ln>
                  </pic:spPr>
                </pic:pic>
              </a:graphicData>
            </a:graphic>
          </wp:inline>
        </w:drawing>
      </w:r>
    </w:p>
    <w:bookmarkEnd w:id="65"/>
    <w:bookmarkStart w:id="66" w:name="so-what-should-we-do"/>
    <w:p>
      <w:pPr>
        <w:pStyle w:val="Heading2"/>
      </w:pPr>
      <w:r>
        <w:t xml:space="preserve">So what should we do?</w:t>
      </w:r>
    </w:p>
    <w:p>
      <w:pPr>
        <w:pStyle w:val="Compact"/>
        <w:numPr>
          <w:ilvl w:val="0"/>
          <w:numId w:val="1024"/>
        </w:numPr>
      </w:pPr>
      <w:r>
        <w:t xml:space="preserve">surveillance in the wild</w:t>
      </w:r>
    </w:p>
    <w:p>
      <w:pPr>
        <w:pStyle w:val="Compact"/>
        <w:numPr>
          <w:ilvl w:val="1"/>
          <w:numId w:val="1025"/>
        </w:numPr>
      </w:pPr>
      <w:r>
        <w:t xml:space="preserve">Evans et al. (2023)</w:t>
      </w:r>
      <w:r>
        <w:t xml:space="preserve">: 2017-2020 sample: 12% of 693 individuals sampled in Myanmar were seropositive for sarbecovirus, more likely if they were loggers/hunters or had been exposed to bats …</w:t>
      </w:r>
    </w:p>
    <w:p>
      <w:pPr>
        <w:pStyle w:val="Compact"/>
        <w:numPr>
          <w:ilvl w:val="0"/>
          <w:numId w:val="1024"/>
        </w:numPr>
      </w:pPr>
      <w:r>
        <w:t xml:space="preserve">improve public health infrastructure!</w:t>
      </w:r>
    </w:p>
    <w:p>
      <w:pPr>
        <w:pStyle w:val="Compact"/>
        <w:numPr>
          <w:ilvl w:val="0"/>
          <w:numId w:val="1024"/>
        </w:numPr>
      </w:pPr>
      <w:r>
        <w:t xml:space="preserve">improve global health communication</w:t>
      </w:r>
    </w:p>
    <w:p>
      <w:pPr>
        <w:pStyle w:val="Compact"/>
        <w:numPr>
          <w:ilvl w:val="0"/>
          <w:numId w:val="1024"/>
        </w:numPr>
      </w:pPr>
      <w:r>
        <w:t xml:space="preserve">large-scale genomic sampling</w:t>
      </w:r>
      <w:r>
        <w:t xml:space="preserve"> </w:t>
      </w:r>
      <w:r>
        <w:t xml:space="preserve">(Kawasaki et al., 2021; Lauber &amp; Seitz, 2022)</w:t>
      </w:r>
    </w:p>
    <w:p>
      <w:pPr>
        <w:pStyle w:val="Compact"/>
        <w:numPr>
          <w:ilvl w:val="0"/>
          <w:numId w:val="1024"/>
        </w:numPr>
      </w:pPr>
      <w:r>
        <w:t xml:space="preserve">prepare antivirals and vaccines</w:t>
      </w:r>
    </w:p>
    <w:bookmarkEnd w:id="66"/>
    <w:bookmarkStart w:id="129" w:name="references"/>
    <w:p>
      <w:pPr>
        <w:pStyle w:val="Heading2"/>
      </w:pPr>
      <w:r>
        <w:t xml:space="preserve">References</w:t>
      </w:r>
    </w:p>
    <w:bookmarkStart w:id="128" w:name="refs"/>
    <w:bookmarkStart w:id="68" w:name="ref-barrenecheaCharacterization2025"/>
    <w:p>
      <w:pPr>
        <w:pStyle w:val="Bibliography"/>
      </w:pPr>
      <w:r>
        <w:t xml:space="preserve">Barrenechea, G. G., Sánchez, R., Calderón, O. C., Buffone, I. R., &amp; Bastos, L. S. (2025). Characterization of the most austral autochthonous dengue outbreak reported in the world (city of</w:t>
      </w:r>
      <w:r>
        <w:t xml:space="preserve"> </w:t>
      </w:r>
      <w:r>
        <w:t xml:space="preserve">Bahía Blanca</w:t>
      </w:r>
      <w:r>
        <w:t xml:space="preserve">,</w:t>
      </w:r>
      <w:r>
        <w:t xml:space="preserve"> </w:t>
      </w:r>
      <w:r>
        <w:t xml:space="preserve">Argentina</w:t>
      </w:r>
      <w:r>
        <w:t xml:space="preserve">,</w:t>
      </w:r>
      <w:r>
        <w:t xml:space="preserve"> </w:t>
      </w:r>
      <w:r>
        <w:t xml:space="preserve">January</w:t>
      </w:r>
      <w:r>
        <w:t xml:space="preserve">–</w:t>
      </w:r>
      <w:r>
        <w:t xml:space="preserve">June</w:t>
      </w:r>
      <w:r>
        <w:t xml:space="preserve"> </w:t>
      </w:r>
      <w:r>
        <w:t xml:space="preserve">2024).</w:t>
      </w:r>
      <w:r>
        <w:t xml:space="preserve"> </w:t>
      </w:r>
      <w:r>
        <w:t xml:space="preserve">A</w:t>
      </w:r>
      <w:r>
        <w:t xml:space="preserve"> </w:t>
      </w:r>
      <w:r>
        <w:t xml:space="preserve">cross-sectional study.</w:t>
      </w:r>
      <w:r>
        <w:t xml:space="preserve"> </w:t>
      </w:r>
      <w:r>
        <w:rPr>
          <w:i/>
          <w:iCs/>
        </w:rPr>
        <w:t xml:space="preserve">The Lancet Regional Health – Americas</w:t>
      </w:r>
      <w:r>
        <w:t xml:space="preserve">,</w:t>
      </w:r>
      <w:r>
        <w:t xml:space="preserve"> </w:t>
      </w:r>
      <w:r>
        <w:rPr>
          <w:i/>
          <w:iCs/>
        </w:rPr>
        <w:t xml:space="preserve">51</w:t>
      </w:r>
      <w:r>
        <w:t xml:space="preserve">.</w:t>
      </w:r>
      <w:r>
        <w:t xml:space="preserve"> </w:t>
      </w:r>
      <w:hyperlink r:id="rId67">
        <w:r>
          <w:rPr>
            <w:rStyle w:val="Hyperlink"/>
          </w:rPr>
          <w:t xml:space="preserve">https://doi.org/10.1016/j.lana.2025.101254</w:t>
        </w:r>
      </w:hyperlink>
    </w:p>
    <w:bookmarkEnd w:id="68"/>
    <w:bookmarkStart w:id="70" w:name="ref-carlsonPlague2022"/>
    <w:p>
      <w:pPr>
        <w:pStyle w:val="Bibliography"/>
      </w:pPr>
      <w:r>
        <w:t xml:space="preserve">Carlson, C. J., Bevins, S. N., &amp; Schmid, B. V. (2022). Plague risk in the western</w:t>
      </w:r>
      <w:r>
        <w:t xml:space="preserve"> </w:t>
      </w:r>
      <w:r>
        <w:t xml:space="preserve">United</w:t>
      </w:r>
      <w:r>
        <w:t xml:space="preserve"> </w:t>
      </w:r>
      <w:r>
        <w:t xml:space="preserve">States</w:t>
      </w:r>
      <w:r>
        <w:t xml:space="preserve"> </w:t>
      </w:r>
      <w:r>
        <w:t xml:space="preserve">over seven decades of environmental change.</w:t>
      </w:r>
      <w:r>
        <w:t xml:space="preserve"> </w:t>
      </w:r>
      <w:r>
        <w:rPr>
          <w:i/>
          <w:iCs/>
        </w:rPr>
        <w:t xml:space="preserve">Global Change Biology</w:t>
      </w:r>
      <w:r>
        <w:t xml:space="preserve">,</w:t>
      </w:r>
      <w:r>
        <w:t xml:space="preserve"> </w:t>
      </w:r>
      <w:r>
        <w:rPr>
          <w:i/>
          <w:iCs/>
        </w:rPr>
        <w:t xml:space="preserve">28</w:t>
      </w:r>
      <w:r>
        <w:t xml:space="preserve">(3), 753–769.</w:t>
      </w:r>
      <w:r>
        <w:t xml:space="preserve"> </w:t>
      </w:r>
      <w:hyperlink r:id="rId69">
        <w:r>
          <w:rPr>
            <w:rStyle w:val="Hyperlink"/>
          </w:rPr>
          <w:t xml:space="preserve">https://doi.org/10.1111/gcb.15966</w:t>
        </w:r>
      </w:hyperlink>
    </w:p>
    <w:bookmarkEnd w:id="70"/>
    <w:bookmarkStart w:id="72" w:name="ref-carlsonField2004"/>
    <w:p>
      <w:pPr>
        <w:pStyle w:val="Bibliography"/>
      </w:pPr>
      <w:r>
        <w:t xml:space="preserve">Carlson, J. C., Byrd, B. D., &amp; Omlin, F. X. (2004). Field assessments in western</w:t>
      </w:r>
      <w:r>
        <w:t xml:space="preserve"> </w:t>
      </w:r>
      <w:r>
        <w:t xml:space="preserve">Kenya</w:t>
      </w:r>
      <w:r>
        <w:t xml:space="preserve"> </w:t>
      </w:r>
      <w:r>
        <w:t xml:space="preserve">link malaria vectors to environmentally disturbed habitats during the dry season.</w:t>
      </w:r>
      <w:r>
        <w:t xml:space="preserve"> </w:t>
      </w:r>
      <w:r>
        <w:rPr>
          <w:i/>
          <w:iCs/>
        </w:rPr>
        <w:t xml:space="preserve">BMC Public Health</w:t>
      </w:r>
      <w:r>
        <w:t xml:space="preserve">,</w:t>
      </w:r>
      <w:r>
        <w:t xml:space="preserve"> </w:t>
      </w:r>
      <w:r>
        <w:rPr>
          <w:i/>
          <w:iCs/>
        </w:rPr>
        <w:t xml:space="preserve">4</w:t>
      </w:r>
      <w:r>
        <w:t xml:space="preserve">(1), 33.</w:t>
      </w:r>
      <w:r>
        <w:t xml:space="preserve"> </w:t>
      </w:r>
      <w:hyperlink r:id="rId71">
        <w:r>
          <w:rPr>
            <w:rStyle w:val="Hyperlink"/>
          </w:rPr>
          <w:t xml:space="preserve">https://doi.org/10.1186/1471-2458-4-33</w:t>
        </w:r>
      </w:hyperlink>
    </w:p>
    <w:bookmarkEnd w:id="72"/>
    <w:bookmarkStart w:id="74" w:name="ref-casadevallEmergence2019a"/>
    <w:p>
      <w:pPr>
        <w:pStyle w:val="Bibliography"/>
      </w:pPr>
      <w:r>
        <w:t xml:space="preserve">Casadevall, A., Kontoyiannis, D. P., &amp; Robert, V. (2019). On the</w:t>
      </w:r>
      <w:r>
        <w:t xml:space="preserve"> </w:t>
      </w:r>
      <w:r>
        <w:t xml:space="preserve">Emergence</w:t>
      </w:r>
      <w:r>
        <w:t xml:space="preserve"> </w:t>
      </w:r>
      <w:r>
        <w:t xml:space="preserve">of</w:t>
      </w:r>
      <w:r>
        <w:t xml:space="preserve"> </w:t>
      </w:r>
      <w:r>
        <w:rPr>
          <w:i/>
          <w:iCs/>
        </w:rPr>
        <w:t xml:space="preserve">Candida auris</w:t>
      </w:r>
      <w:r>
        <w:t xml:space="preserve">:</w:t>
      </w:r>
      <w:r>
        <w:t xml:space="preserve"> </w:t>
      </w:r>
      <w:r>
        <w:t xml:space="preserve">Climate Change</w:t>
      </w:r>
      <w:r>
        <w:t xml:space="preserve">,</w:t>
      </w:r>
      <w:r>
        <w:t xml:space="preserve"> </w:t>
      </w:r>
      <w:r>
        <w:t xml:space="preserve">Azoles</w:t>
      </w:r>
      <w:r>
        <w:t xml:space="preserve">,</w:t>
      </w:r>
      <w:r>
        <w:t xml:space="preserve"> </w:t>
      </w:r>
      <w:r>
        <w:t xml:space="preserve">Swamps</w:t>
      </w:r>
      <w:r>
        <w:t xml:space="preserve">, and</w:t>
      </w:r>
      <w:r>
        <w:t xml:space="preserve"> </w:t>
      </w:r>
      <w:r>
        <w:t xml:space="preserve">Birds</w:t>
      </w:r>
      <w:r>
        <w:t xml:space="preserve">.</w:t>
      </w:r>
      <w:r>
        <w:t xml:space="preserve"> </w:t>
      </w:r>
      <w:r>
        <w:rPr>
          <w:i/>
          <w:iCs/>
        </w:rPr>
        <w:t xml:space="preserve">mBio</w:t>
      </w:r>
      <w:r>
        <w:t xml:space="preserve">,</w:t>
      </w:r>
      <w:r>
        <w:t xml:space="preserve"> </w:t>
      </w:r>
      <w:r>
        <w:rPr>
          <w:i/>
          <w:iCs/>
        </w:rPr>
        <w:t xml:space="preserve">10</w:t>
      </w:r>
      <w:r>
        <w:t xml:space="preserve">(4), e01397–19.</w:t>
      </w:r>
      <w:r>
        <w:t xml:space="preserve"> </w:t>
      </w:r>
      <w:hyperlink r:id="rId73">
        <w:r>
          <w:rPr>
            <w:rStyle w:val="Hyperlink"/>
          </w:rPr>
          <w:t xml:space="preserve">https://doi.org/10.1128/mBio.01397-19</w:t>
        </w:r>
      </w:hyperlink>
    </w:p>
    <w:bookmarkEnd w:id="74"/>
    <w:bookmarkStart w:id="76" w:name="ref-casadevallEnvironmental2021"/>
    <w:p>
      <w:pPr>
        <w:pStyle w:val="Bibliography"/>
      </w:pPr>
      <w:r>
        <w:t xml:space="preserve">Casadevall, A., Kontoyiannis, D. P., &amp; Robert, V. (2021). Environmental</w:t>
      </w:r>
      <w:r>
        <w:t xml:space="preserve"> </w:t>
      </w:r>
      <w:r>
        <w:rPr>
          <w:i/>
          <w:iCs/>
        </w:rPr>
        <w:t xml:space="preserve">Candida auris</w:t>
      </w:r>
      <w:r>
        <w:t xml:space="preserve"> </w:t>
      </w:r>
      <w:r>
        <w:t xml:space="preserve">and the</w:t>
      </w:r>
      <w:r>
        <w:t xml:space="preserve"> </w:t>
      </w:r>
      <w:r>
        <w:t xml:space="preserve">Global Warming Emergence Hypothesis</w:t>
      </w:r>
      <w:r>
        <w:t xml:space="preserve">.</w:t>
      </w:r>
      <w:r>
        <w:t xml:space="preserve"> </w:t>
      </w:r>
      <w:r>
        <w:rPr>
          <w:i/>
          <w:iCs/>
        </w:rPr>
        <w:t xml:space="preserve">mBio</w:t>
      </w:r>
      <w:r>
        <w:t xml:space="preserve">,</w:t>
      </w:r>
      <w:r>
        <w:t xml:space="preserve"> </w:t>
      </w:r>
      <w:r>
        <w:rPr>
          <w:i/>
          <w:iCs/>
        </w:rPr>
        <w:t xml:space="preserve">12</w:t>
      </w:r>
      <w:r>
        <w:t xml:space="preserve">(2), 10.1128/mbio.00360–21.</w:t>
      </w:r>
      <w:r>
        <w:t xml:space="preserve"> </w:t>
      </w:r>
      <w:hyperlink r:id="rId75">
        <w:r>
          <w:rPr>
            <w:rStyle w:val="Hyperlink"/>
          </w:rPr>
          <w:t xml:space="preserve">https://doi.org/10.1128/mbio.00360-21</w:t>
        </w:r>
      </w:hyperlink>
    </w:p>
    <w:bookmarkEnd w:id="76"/>
    <w:bookmarkStart w:id="77" w:name="ref-centersfordiseasecontrolCurrent2025"/>
    <w:p>
      <w:pPr>
        <w:pStyle w:val="Bibliography"/>
      </w:pPr>
      <w:r>
        <w:t xml:space="preserve">Centers for Disease Control. (2025). Current</w:t>
      </w:r>
      <w:r>
        <w:t xml:space="preserve"> </w:t>
      </w:r>
      <w:r>
        <w:t xml:space="preserve">Dengue Outbreak</w:t>
      </w:r>
      <w:r>
        <w:t xml:space="preserve">. In</w:t>
      </w:r>
      <w:r>
        <w:t xml:space="preserve"> </w:t>
      </w:r>
      <w:r>
        <w:rPr>
          <w:i/>
          <w:iCs/>
        </w:rPr>
        <w:t xml:space="preserve">Dengue</w:t>
      </w:r>
      <w:r>
        <w:t xml:space="preserve">. https://www.cdc.gov/dengue/outbreaks/2024/index.html.</w:t>
      </w:r>
    </w:p>
    <w:bookmarkEnd w:id="77"/>
    <w:bookmarkStart w:id="79" w:name="ref-degaetanoCandida2024"/>
    <w:p>
      <w:pPr>
        <w:pStyle w:val="Bibliography"/>
      </w:pPr>
      <w:r>
        <w:t xml:space="preserve">De Gaetano, S., Midiri, A., Mancuso, G., Avola, M. G., &amp; Biondo, C. (2024).</w:t>
      </w:r>
      <w:r>
        <w:t xml:space="preserve"> </w:t>
      </w:r>
      <w:r>
        <w:rPr>
          <w:i/>
          <w:iCs/>
        </w:rPr>
        <w:t xml:space="preserve">Candida auris</w:t>
      </w:r>
      <w:r>
        <w:t xml:space="preserve"> </w:t>
      </w:r>
      <w:r>
        <w:t xml:space="preserve">Outbreaks</w:t>
      </w:r>
      <w:r>
        <w:t xml:space="preserve">:</w:t>
      </w:r>
      <w:r>
        <w:t xml:space="preserve"> </w:t>
      </w:r>
      <w:r>
        <w:t xml:space="preserve">Current Status</w:t>
      </w:r>
      <w:r>
        <w:t xml:space="preserve"> </w:t>
      </w:r>
      <w:r>
        <w:t xml:space="preserve">and</w:t>
      </w:r>
      <w:r>
        <w:t xml:space="preserve"> </w:t>
      </w:r>
      <w:r>
        <w:t xml:space="preserve">Future Perspectives</w:t>
      </w:r>
      <w:r>
        <w:t xml:space="preserve">.</w:t>
      </w:r>
      <w:r>
        <w:t xml:space="preserve"> </w:t>
      </w:r>
      <w:r>
        <w:rPr>
          <w:i/>
          <w:iCs/>
        </w:rPr>
        <w:t xml:space="preserve">Microorganisms</w:t>
      </w:r>
      <w:r>
        <w:t xml:space="preserve">,</w:t>
      </w:r>
      <w:r>
        <w:t xml:space="preserve"> </w:t>
      </w:r>
      <w:r>
        <w:rPr>
          <w:i/>
          <w:iCs/>
        </w:rPr>
        <w:t xml:space="preserve">12</w:t>
      </w:r>
      <w:r>
        <w:t xml:space="preserve">(5), 927.</w:t>
      </w:r>
      <w:r>
        <w:t xml:space="preserve"> </w:t>
      </w:r>
      <w:hyperlink r:id="rId78">
        <w:r>
          <w:rPr>
            <w:rStyle w:val="Hyperlink"/>
          </w:rPr>
          <w:t xml:space="preserve">https://doi.org/10.3390/microorganisms12050927</w:t>
        </w:r>
      </w:hyperlink>
    </w:p>
    <w:bookmarkEnd w:id="79"/>
    <w:bookmarkStart w:id="81" w:name="ref-devitaPublic2025"/>
    <w:p>
      <w:pPr>
        <w:pStyle w:val="Bibliography"/>
      </w:pPr>
      <w:r>
        <w:t xml:space="preserve">DeVita, T. N., Morrison, A. M., Stanek, D., Drennon, M., Sarney, E., Brennan, W., Tomson, K., Blackmore, C., Broussard, K., Duwell, M., Blythe, D., Rothfeldt, L., Dulski, T., Blount, K., Ledford, S., Blackburn, D., Wallender, E., Barratt, J. L. N., Raphael, B. H., … McElroy, P. D. (2025). Public</w:t>
      </w:r>
      <w:r>
        <w:t xml:space="preserve"> </w:t>
      </w:r>
      <w:r>
        <w:t xml:space="preserve">Health Response</w:t>
      </w:r>
      <w:r>
        <w:t xml:space="preserve"> </w:t>
      </w:r>
      <w:r>
        <w:t xml:space="preserve">to the</w:t>
      </w:r>
      <w:r>
        <w:t xml:space="preserve"> </w:t>
      </w:r>
      <w:r>
        <w:t xml:space="preserve">First Locally Acquired Malaria Outbreaks</w:t>
      </w:r>
      <w:r>
        <w:t xml:space="preserve"> </w:t>
      </w:r>
      <w:r>
        <w:t xml:space="preserve">in the</w:t>
      </w:r>
      <w:r>
        <w:t xml:space="preserve"> </w:t>
      </w:r>
      <w:r>
        <w:t xml:space="preserve">US</w:t>
      </w:r>
      <w:r>
        <w:t xml:space="preserve"> </w:t>
      </w:r>
      <w:r>
        <w:t xml:space="preserve">in 20</w:t>
      </w:r>
      <w:r>
        <w:t xml:space="preserve"> </w:t>
      </w:r>
      <w:r>
        <w:t xml:space="preserve">Years</w:t>
      </w:r>
      <w:r>
        <w:t xml:space="preserve">.</w:t>
      </w:r>
      <w:r>
        <w:t xml:space="preserve"> </w:t>
      </w:r>
      <w:r>
        <w:rPr>
          <w:i/>
          <w:iCs/>
        </w:rPr>
        <w:t xml:space="preserve">JAMA Network Open</w:t>
      </w:r>
      <w:r>
        <w:t xml:space="preserve">,</w:t>
      </w:r>
      <w:r>
        <w:t xml:space="preserve"> </w:t>
      </w:r>
      <w:r>
        <w:rPr>
          <w:i/>
          <w:iCs/>
        </w:rPr>
        <w:t xml:space="preserve">8</w:t>
      </w:r>
      <w:r>
        <w:t xml:space="preserve">(10), e2535719.</w:t>
      </w:r>
      <w:r>
        <w:t xml:space="preserve"> </w:t>
      </w:r>
      <w:hyperlink r:id="rId80">
        <w:r>
          <w:rPr>
            <w:rStyle w:val="Hyperlink"/>
          </w:rPr>
          <w:t xml:space="preserve">https://doi.org/10.1001/jamanetworkopen.2025.35719</w:t>
        </w:r>
      </w:hyperlink>
    </w:p>
    <w:bookmarkEnd w:id="81"/>
    <w:bookmarkStart w:id="83" w:name="ref-cdcChikungunya2025"/>
    <w:p>
      <w:pPr>
        <w:pStyle w:val="Bibliography"/>
      </w:pPr>
      <w:r>
        <w:t xml:space="preserve">Disease Control, C. for. (2025). Chikungunya in the</w:t>
      </w:r>
      <w:r>
        <w:t xml:space="preserve"> </w:t>
      </w:r>
      <w:r>
        <w:t xml:space="preserve">United States</w:t>
      </w:r>
      <w:r>
        <w:t xml:space="preserve">. In</w:t>
      </w:r>
      <w:r>
        <w:t xml:space="preserve"> </w:t>
      </w:r>
      <w:r>
        <w:rPr>
          <w:i/>
          <w:iCs/>
        </w:rPr>
        <w:t xml:space="preserve">Chikungunya Virus</w:t>
      </w:r>
      <w:r>
        <w:t xml:space="preserve">.</w:t>
      </w:r>
      <w:r>
        <w:t xml:space="preserve"> </w:t>
      </w:r>
      <w:hyperlink r:id="rId82">
        <w:r>
          <w:rPr>
            <w:rStyle w:val="Hyperlink"/>
          </w:rPr>
          <w:t xml:space="preserve">https://www.cdc.gov/chikungunya/data-maps/chikungunya-us.html</w:t>
        </w:r>
      </w:hyperlink>
    </w:p>
    <w:bookmarkEnd w:id="83"/>
    <w:bookmarkStart w:id="85" w:name="ref-evansExposure2023"/>
    <w:p>
      <w:pPr>
        <w:pStyle w:val="Bibliography"/>
      </w:pPr>
      <w:r>
        <w:t xml:space="preserve">Evans, T. S., Tan, C. W., Aung, O., Phyu, S., Lin, H., Coffey, L. L., Toe, A. T., Aung, P., Aung, T. H., Aung, N. T., Weiss, C. M., Thant, K. Z., Htun, Z. T., Murray, S., Wang, L.-F., Johnson, C. K., &amp; Thu, H. M. (2023). Exposure to diverse sarbecoviruses indicates frequent zoonotic spillover in human communities interacting with wildlife.</w:t>
      </w:r>
      <w:r>
        <w:t xml:space="preserve"> </w:t>
      </w:r>
      <w:r>
        <w:rPr>
          <w:i/>
          <w:iCs/>
        </w:rPr>
        <w:t xml:space="preserve">International Journal of Infectious Diseases</w:t>
      </w:r>
      <w:r>
        <w:t xml:space="preserve">,</w:t>
      </w:r>
      <w:r>
        <w:t xml:space="preserve"> </w:t>
      </w:r>
      <w:r>
        <w:rPr>
          <w:i/>
          <w:iCs/>
        </w:rPr>
        <w:t xml:space="preserve">0</w:t>
      </w:r>
      <w:r>
        <w:t xml:space="preserve">(0).</w:t>
      </w:r>
      <w:r>
        <w:t xml:space="preserve"> </w:t>
      </w:r>
      <w:hyperlink r:id="rId84">
        <w:r>
          <w:rPr>
            <w:rStyle w:val="Hyperlink"/>
          </w:rPr>
          <w:t xml:space="preserve">https://doi.org/10.1016/j.ijid.2023.02.015</w:t>
        </w:r>
      </w:hyperlink>
    </w:p>
    <w:bookmarkEnd w:id="85"/>
    <w:bookmarkStart w:id="87" w:name="ref-fausthistory1951"/>
    <w:p>
      <w:pPr>
        <w:pStyle w:val="Bibliography"/>
      </w:pPr>
      <w:r>
        <w:t xml:space="preserve">Faust, E. C. (1951). The history of malaria in the</w:t>
      </w:r>
      <w:r>
        <w:t xml:space="preserve"> </w:t>
      </w:r>
      <w:r>
        <w:t xml:space="preserve">United States</w:t>
      </w:r>
      <w:r>
        <w:t xml:space="preserve">.</w:t>
      </w:r>
      <w:r>
        <w:t xml:space="preserve"> </w:t>
      </w:r>
      <w:r>
        <w:rPr>
          <w:i/>
          <w:iCs/>
        </w:rPr>
        <w:t xml:space="preserve">American Scientist</w:t>
      </w:r>
      <w:r>
        <w:t xml:space="preserve">,</w:t>
      </w:r>
      <w:r>
        <w:t xml:space="preserve"> </w:t>
      </w:r>
      <w:r>
        <w:rPr>
          <w:i/>
          <w:iCs/>
        </w:rPr>
        <w:t xml:space="preserve">39</w:t>
      </w:r>
      <w:r>
        <w:t xml:space="preserve">(1), 121–130.</w:t>
      </w:r>
      <w:r>
        <w:t xml:space="preserve"> </w:t>
      </w:r>
      <w:hyperlink r:id="rId86">
        <w:r>
          <w:rPr>
            <w:rStyle w:val="Hyperlink"/>
          </w:rPr>
          <w:t xml:space="preserve">https://www.jstor.org/stable/27826354</w:t>
        </w:r>
      </w:hyperlink>
    </w:p>
    <w:bookmarkEnd w:id="87"/>
    <w:bookmarkStart w:id="89" w:name="ref-fisher_chytrid_2020"/>
    <w:p>
      <w:pPr>
        <w:pStyle w:val="Bibliography"/>
      </w:pPr>
      <w:r>
        <w:t xml:space="preserve">Fisher, M. C., &amp; Garner, T. W. J. (2020). Chytrid fungi and global amphibian declines.</w:t>
      </w:r>
      <w:r>
        <w:t xml:space="preserve"> </w:t>
      </w:r>
      <w:r>
        <w:rPr>
          <w:i/>
          <w:iCs/>
        </w:rPr>
        <w:t xml:space="preserve">Nature Reviews Microbiology</w:t>
      </w:r>
      <w:r>
        <w:t xml:space="preserve">,</w:t>
      </w:r>
      <w:r>
        <w:t xml:space="preserve"> </w:t>
      </w:r>
      <w:r>
        <w:rPr>
          <w:i/>
          <w:iCs/>
        </w:rPr>
        <w:t xml:space="preserve">18</w:t>
      </w:r>
      <w:r>
        <w:t xml:space="preserve">(6), 332–343.</w:t>
      </w:r>
      <w:r>
        <w:t xml:space="preserve"> </w:t>
      </w:r>
      <w:hyperlink r:id="rId88">
        <w:r>
          <w:rPr>
            <w:rStyle w:val="Hyperlink"/>
          </w:rPr>
          <w:t xml:space="preserve">https://doi.org/10.1038/s41579-020-0335-x</w:t>
        </w:r>
      </w:hyperlink>
    </w:p>
    <w:bookmarkEnd w:id="89"/>
    <w:bookmarkStart w:id="91" w:name="ref-gibbZoonotic2020"/>
    <w:p>
      <w:pPr>
        <w:pStyle w:val="Bibliography"/>
      </w:pPr>
      <w:r>
        <w:t xml:space="preserve">Gibb, R., Redding, D. W., Chin, K. Q., Donnelly, C. A., Blackburn, T. M., Newbold, T., &amp; Jones, K. E. (2020). Zoonotic host diversity increases in human-dominated ecosystems.</w:t>
      </w:r>
      <w:r>
        <w:t xml:space="preserve"> </w:t>
      </w:r>
      <w:r>
        <w:rPr>
          <w:i/>
          <w:iCs/>
        </w:rPr>
        <w:t xml:space="preserve">Nature</w:t>
      </w:r>
      <w:r>
        <w:t xml:space="preserve">,</w:t>
      </w:r>
      <w:r>
        <w:t xml:space="preserve"> </w:t>
      </w:r>
      <w:r>
        <w:rPr>
          <w:i/>
          <w:iCs/>
        </w:rPr>
        <w:t xml:space="preserve">584</w:t>
      </w:r>
      <w:r>
        <w:t xml:space="preserve">(7821), 398–402.</w:t>
      </w:r>
      <w:r>
        <w:t xml:space="preserve"> </w:t>
      </w:r>
      <w:hyperlink r:id="rId90">
        <w:r>
          <w:rPr>
            <w:rStyle w:val="Hyperlink"/>
          </w:rPr>
          <w:t xml:space="preserve">https://doi.org/10.1038/s41586-020-2562-8</w:t>
        </w:r>
      </w:hyperlink>
    </w:p>
    <w:bookmarkEnd w:id="91"/>
    <w:bookmarkStart w:id="93" w:name="ref-han_integrating_2020"/>
    <w:p>
      <w:pPr>
        <w:pStyle w:val="Bibliography"/>
      </w:pPr>
      <w:r>
        <w:t xml:space="preserve">Han, B. A., O’Regan, S. M., Paul Schmidt, J., &amp; Drake, J. M. (2020). Integrating data mining and transmission theory in the ecology of infectious diseases.</w:t>
      </w:r>
      <w:r>
        <w:t xml:space="preserve"> </w:t>
      </w:r>
      <w:r>
        <w:rPr>
          <w:i/>
          <w:iCs/>
        </w:rPr>
        <w:t xml:space="preserve">Ecology Letters</w:t>
      </w:r>
      <w:r>
        <w:t xml:space="preserve">,</w:t>
      </w:r>
      <w:r>
        <w:t xml:space="preserve"> </w:t>
      </w:r>
      <w:r>
        <w:rPr>
          <w:i/>
          <w:iCs/>
        </w:rPr>
        <w:t xml:space="preserve">23</w:t>
      </w:r>
      <w:r>
        <w:t xml:space="preserve">(8), 1178–1188.</w:t>
      </w:r>
      <w:r>
        <w:t xml:space="preserve"> </w:t>
      </w:r>
      <w:hyperlink r:id="rId92">
        <w:r>
          <w:rPr>
            <w:rStyle w:val="Hyperlink"/>
          </w:rPr>
          <w:t xml:space="preserve">https://doi.org/10.1111/ele.13520</w:t>
        </w:r>
      </w:hyperlink>
    </w:p>
    <w:bookmarkEnd w:id="93"/>
    <w:bookmarkStart w:id="95" w:name="ref-NYchikungunya2025"/>
    <w:p>
      <w:pPr>
        <w:pStyle w:val="Bibliography"/>
      </w:pPr>
      <w:r>
        <w:t xml:space="preserve">Health, N. S. D. of. (2025).</w:t>
      </w:r>
      <w:r>
        <w:t xml:space="preserve"> </w:t>
      </w:r>
      <w:r>
        <w:rPr>
          <w:i/>
          <w:iCs/>
        </w:rPr>
        <w:t xml:space="preserve">New</w:t>
      </w:r>
      <w:r>
        <w:rPr>
          <w:i/>
          <w:iCs/>
        </w:rPr>
        <w:t xml:space="preserve"> </w:t>
      </w:r>
      <w:r>
        <w:rPr>
          <w:i/>
          <w:iCs/>
        </w:rPr>
        <w:t xml:space="preserve">York State Department</w:t>
      </w:r>
      <w:r>
        <w:rPr>
          <w:i/>
          <w:iCs/>
        </w:rPr>
        <w:t xml:space="preserve"> </w:t>
      </w:r>
      <w:r>
        <w:rPr>
          <w:i/>
          <w:iCs/>
        </w:rPr>
        <w:t xml:space="preserve">of</w:t>
      </w:r>
      <w:r>
        <w:rPr>
          <w:i/>
          <w:iCs/>
        </w:rPr>
        <w:t xml:space="preserve"> </w:t>
      </w:r>
      <w:r>
        <w:rPr>
          <w:i/>
          <w:iCs/>
        </w:rPr>
        <w:t xml:space="preserve">Health Confirms First Locally Acquired Case</w:t>
      </w:r>
      <w:r>
        <w:rPr>
          <w:i/>
          <w:iCs/>
        </w:rPr>
        <w:t xml:space="preserve"> </w:t>
      </w:r>
      <w:r>
        <w:rPr>
          <w:i/>
          <w:iCs/>
        </w:rPr>
        <w:t xml:space="preserve">of</w:t>
      </w:r>
      <w:r>
        <w:rPr>
          <w:i/>
          <w:iCs/>
        </w:rPr>
        <w:t xml:space="preserve"> </w:t>
      </w:r>
      <w:r>
        <w:rPr>
          <w:i/>
          <w:iCs/>
        </w:rPr>
        <w:t xml:space="preserve">Chikungunya</w:t>
      </w:r>
      <w:r>
        <w:rPr>
          <w:i/>
          <w:iCs/>
        </w:rPr>
        <w:t xml:space="preserve"> </w:t>
      </w:r>
      <w:r>
        <w:rPr>
          <w:i/>
          <w:iCs/>
        </w:rPr>
        <w:t xml:space="preserve">in</w:t>
      </w:r>
      <w:r>
        <w:rPr>
          <w:i/>
          <w:iCs/>
        </w:rPr>
        <w:t xml:space="preserve"> </w:t>
      </w:r>
      <w:r>
        <w:rPr>
          <w:i/>
          <w:iCs/>
        </w:rPr>
        <w:t xml:space="preserve">New York State</w:t>
      </w:r>
      <w:r>
        <w:t xml:space="preserve">.</w:t>
      </w:r>
      <w:r>
        <w:t xml:space="preserve"> </w:t>
      </w:r>
      <w:hyperlink r:id="rId94">
        <w:r>
          <w:rPr>
            <w:rStyle w:val="Hyperlink"/>
          </w:rPr>
          <w:t xml:space="preserve">https://www.health.ny.gov/press/releases/2025/2025-10-14\_chikungunya</w:t>
        </w:r>
      </w:hyperlink>
    </w:p>
    <w:bookmarkEnd w:id="95"/>
    <w:bookmarkStart w:id="97" w:name="ref-kain_predicting_2019"/>
    <w:p>
      <w:pPr>
        <w:pStyle w:val="Bibliography"/>
      </w:pPr>
      <w:r>
        <w:t xml:space="preserve">Kain, M. P., &amp; Bolker, B. M. (2019). Predicting</w:t>
      </w:r>
      <w:r>
        <w:t xml:space="preserve"> </w:t>
      </w:r>
      <w:r>
        <w:t xml:space="preserve">West</w:t>
      </w:r>
      <w:r>
        <w:t xml:space="preserve"> </w:t>
      </w:r>
      <w:r>
        <w:t xml:space="preserve">Nile</w:t>
      </w:r>
      <w:r>
        <w:t xml:space="preserve"> </w:t>
      </w:r>
      <w:r>
        <w:t xml:space="preserve">virus transmission in</w:t>
      </w:r>
      <w:r>
        <w:t xml:space="preserve"> </w:t>
      </w:r>
      <w:r>
        <w:t xml:space="preserve">North</w:t>
      </w:r>
      <w:r>
        <w:t xml:space="preserve"> </w:t>
      </w:r>
      <w:r>
        <w:t xml:space="preserve">American</w:t>
      </w:r>
      <w:r>
        <w:t xml:space="preserve"> </w:t>
      </w:r>
      <w:r>
        <w:t xml:space="preserve">bird communities using phylogenetic mixed effects models and</w:t>
      </w:r>
      <w:r>
        <w:t xml:space="preserve"> </w:t>
      </w:r>
      <w:r>
        <w:t xml:space="preserve">eBird</w:t>
      </w:r>
      <w:r>
        <w:t xml:space="preserve"> </w:t>
      </w:r>
      <w:r>
        <w:t xml:space="preserve">citizen science data.</w:t>
      </w:r>
      <w:r>
        <w:t xml:space="preserve"> </w:t>
      </w:r>
      <w:r>
        <w:rPr>
          <w:i/>
          <w:iCs/>
        </w:rPr>
        <w:t xml:space="preserve">Parasites &amp; Vectors</w:t>
      </w:r>
      <w:r>
        <w:t xml:space="preserve">,</w:t>
      </w:r>
      <w:r>
        <w:t xml:space="preserve"> </w:t>
      </w:r>
      <w:r>
        <w:rPr>
          <w:i/>
          <w:iCs/>
        </w:rPr>
        <w:t xml:space="preserve">12</w:t>
      </w:r>
      <w:r>
        <w:t xml:space="preserve">(1), 395.</w:t>
      </w:r>
      <w:r>
        <w:t xml:space="preserve"> </w:t>
      </w:r>
      <w:hyperlink r:id="rId96">
        <w:r>
          <w:rPr>
            <w:rStyle w:val="Hyperlink"/>
          </w:rPr>
          <w:t xml:space="preserve">https://doi.org/10.1186/s13071-019-3656-8</w:t>
        </w:r>
      </w:hyperlink>
    </w:p>
    <w:bookmarkEnd w:id="97"/>
    <w:bookmarkStart w:id="99" w:name="ref-kawasakiHidden2021"/>
    <w:p>
      <w:pPr>
        <w:pStyle w:val="Bibliography"/>
      </w:pPr>
      <w:r>
        <w:t xml:space="preserve">Kawasaki, J., Kojima, S., Tomonaga, K., &amp; Horie, M. (2021). Hidden</w:t>
      </w:r>
      <w:r>
        <w:t xml:space="preserve"> </w:t>
      </w:r>
      <w:r>
        <w:t xml:space="preserve">Viral Sequences</w:t>
      </w:r>
      <w:r>
        <w:t xml:space="preserve"> </w:t>
      </w:r>
      <w:r>
        <w:t xml:space="preserve">in</w:t>
      </w:r>
      <w:r>
        <w:t xml:space="preserve"> </w:t>
      </w:r>
      <w:r>
        <w:t xml:space="preserve">Public Sequencing Data</w:t>
      </w:r>
      <w:r>
        <w:t xml:space="preserve"> </w:t>
      </w:r>
      <w:r>
        <w:t xml:space="preserve">and</w:t>
      </w:r>
      <w:r>
        <w:t xml:space="preserve"> </w:t>
      </w:r>
      <w:r>
        <w:t xml:space="preserve">Warning</w:t>
      </w:r>
      <w:r>
        <w:t xml:space="preserve"> </w:t>
      </w:r>
      <w:r>
        <w:t xml:space="preserve">for</w:t>
      </w:r>
      <w:r>
        <w:t xml:space="preserve"> </w:t>
      </w:r>
      <w:r>
        <w:t xml:space="preserve">Future Emerging Diseases</w:t>
      </w:r>
      <w:r>
        <w:t xml:space="preserve">.</w:t>
      </w:r>
      <w:r>
        <w:t xml:space="preserve"> </w:t>
      </w:r>
      <w:r>
        <w:rPr>
          <w:i/>
          <w:iCs/>
        </w:rPr>
        <w:t xml:space="preserve">mBio</w:t>
      </w:r>
      <w:r>
        <w:t xml:space="preserve">,</w:t>
      </w:r>
      <w:r>
        <w:t xml:space="preserve"> </w:t>
      </w:r>
      <w:r>
        <w:rPr>
          <w:i/>
          <w:iCs/>
        </w:rPr>
        <w:t xml:space="preserve">12</w:t>
      </w:r>
      <w:r>
        <w:t xml:space="preserve">(4), 10.1128/mbio.01638–21.</w:t>
      </w:r>
      <w:r>
        <w:t xml:space="preserve"> </w:t>
      </w:r>
      <w:hyperlink r:id="rId98">
        <w:r>
          <w:rPr>
            <w:rStyle w:val="Hyperlink"/>
          </w:rPr>
          <w:t xml:space="preserve">https://doi.org/10.1128/mbio.01638-21</w:t>
        </w:r>
      </w:hyperlink>
    </w:p>
    <w:bookmarkEnd w:id="99"/>
    <w:bookmarkStart w:id="101" w:name="ref-keesing_dilution_2021"/>
    <w:p>
      <w:pPr>
        <w:pStyle w:val="Bibliography"/>
      </w:pPr>
      <w:r>
        <w:t xml:space="preserve">Keesing, F., &amp; Ostfeld, R. S. (2021). Dilution effects in disease ecology.</w:t>
      </w:r>
      <w:r>
        <w:t xml:space="preserve"> </w:t>
      </w:r>
      <w:r>
        <w:rPr>
          <w:i/>
          <w:iCs/>
        </w:rPr>
        <w:t xml:space="preserve">Ecology Letters</w:t>
      </w:r>
      <w:r>
        <w:t xml:space="preserve">,</w:t>
      </w:r>
      <w:r>
        <w:t xml:space="preserve"> </w:t>
      </w:r>
      <w:r>
        <w:rPr>
          <w:i/>
          <w:iCs/>
        </w:rPr>
        <w:t xml:space="preserve">24</w:t>
      </w:r>
      <w:r>
        <w:t xml:space="preserve">(11), 2490–2505.</w:t>
      </w:r>
      <w:r>
        <w:t xml:space="preserve"> </w:t>
      </w:r>
      <w:hyperlink r:id="rId100">
        <w:r>
          <w:rPr>
            <w:rStyle w:val="Hyperlink"/>
          </w:rPr>
          <w:t xml:space="preserve">https://doi.org/10.1111/ele.13875</w:t>
        </w:r>
      </w:hyperlink>
    </w:p>
    <w:bookmarkEnd w:id="101"/>
    <w:bookmarkStart w:id="103" w:name="ref-lauberOpportunities2022"/>
    <w:p>
      <w:pPr>
        <w:pStyle w:val="Bibliography"/>
      </w:pPr>
      <w:r>
        <w:t xml:space="preserve">Lauber, C., &amp; Seitz, S. (2022). Opportunities and</w:t>
      </w:r>
      <w:r>
        <w:t xml:space="preserve"> </w:t>
      </w:r>
      <w:r>
        <w:t xml:space="preserve">Challenges</w:t>
      </w:r>
      <w:r>
        <w:t xml:space="preserve"> </w:t>
      </w:r>
      <w:r>
        <w:t xml:space="preserve">of</w:t>
      </w:r>
      <w:r>
        <w:t xml:space="preserve"> </w:t>
      </w:r>
      <w:r>
        <w:t xml:space="preserve">Data-Driven Virus Discovery</w:t>
      </w:r>
      <w:r>
        <w:t xml:space="preserve">.</w:t>
      </w:r>
      <w:r>
        <w:t xml:space="preserve"> </w:t>
      </w:r>
      <w:r>
        <w:rPr>
          <w:i/>
          <w:iCs/>
        </w:rPr>
        <w:t xml:space="preserve">Biomolecules</w:t>
      </w:r>
      <w:r>
        <w:t xml:space="preserve">,</w:t>
      </w:r>
      <w:r>
        <w:t xml:space="preserve"> </w:t>
      </w:r>
      <w:r>
        <w:rPr>
          <w:i/>
          <w:iCs/>
        </w:rPr>
        <w:t xml:space="preserve">12</w:t>
      </w:r>
      <w:r>
        <w:t xml:space="preserve">(8), 1073.</w:t>
      </w:r>
      <w:r>
        <w:t xml:space="preserve"> </w:t>
      </w:r>
      <w:hyperlink r:id="rId102">
        <w:r>
          <w:rPr>
            <w:rStyle w:val="Hyperlink"/>
          </w:rPr>
          <w:t xml:space="preserve">https://doi.org/10.3390/biom12081073</w:t>
        </w:r>
      </w:hyperlink>
    </w:p>
    <w:bookmarkEnd w:id="103"/>
    <w:bookmarkStart w:id="105" w:name="ref-macdonaldAmazon2019a"/>
    <w:p>
      <w:pPr>
        <w:pStyle w:val="Bibliography"/>
      </w:pPr>
      <w:r>
        <w:t xml:space="preserve">MacDonald, A. J., &amp; Mordecai, E. A. (2019). Amazon deforestation drives malaria transmission, and malaria burden reduces forest clearing.</w:t>
      </w:r>
      <w:r>
        <w:t xml:space="preserve"> </w:t>
      </w:r>
      <w:r>
        <w:rPr>
          <w:i/>
          <w:iCs/>
        </w:rPr>
        <w:t xml:space="preserve">Proceedings of the National Academy of Sciences</w:t>
      </w:r>
      <w:r>
        <w:t xml:space="preserve">,</w:t>
      </w:r>
      <w:r>
        <w:t xml:space="preserve"> </w:t>
      </w:r>
      <w:r>
        <w:rPr>
          <w:i/>
          <w:iCs/>
        </w:rPr>
        <w:t xml:space="preserve">116</w:t>
      </w:r>
      <w:r>
        <w:t xml:space="preserve">(44), 22212–22218.</w:t>
      </w:r>
      <w:r>
        <w:t xml:space="preserve"> </w:t>
      </w:r>
      <w:hyperlink r:id="rId104">
        <w:r>
          <w:rPr>
            <w:rStyle w:val="Hyperlink"/>
          </w:rPr>
          <w:t xml:space="preserve">https://doi.org/10.1073/pnas.1905315116</w:t>
        </w:r>
      </w:hyperlink>
    </w:p>
    <w:bookmarkEnd w:id="105"/>
    <w:bookmarkStart w:id="107" w:name="ref-moneyFungal2024"/>
    <w:p>
      <w:pPr>
        <w:pStyle w:val="Bibliography"/>
      </w:pPr>
      <w:r>
        <w:t xml:space="preserve">Money, N. P. (2024). Fungal thermotolerance revisited and why climate change is unlikely to be supercharging pathogenic fungi (yet).</w:t>
      </w:r>
      <w:r>
        <w:t xml:space="preserve"> </w:t>
      </w:r>
      <w:r>
        <w:rPr>
          <w:i/>
          <w:iCs/>
        </w:rPr>
        <w:t xml:space="preserve">Fungal Biology</w:t>
      </w:r>
      <w:r>
        <w:t xml:space="preserve">,</w:t>
      </w:r>
      <w:r>
        <w:t xml:space="preserve"> </w:t>
      </w:r>
      <w:r>
        <w:rPr>
          <w:i/>
          <w:iCs/>
        </w:rPr>
        <w:t xml:space="preserve">128</w:t>
      </w:r>
      <w:r>
        <w:t xml:space="preserve">(1), 1638–1641.</w:t>
      </w:r>
      <w:r>
        <w:t xml:space="preserve"> </w:t>
      </w:r>
      <w:hyperlink r:id="rId106">
        <w:r>
          <w:rPr>
            <w:rStyle w:val="Hyperlink"/>
          </w:rPr>
          <w:t xml:space="preserve">https://doi.org/10.1016/j.funbio.2024.01.005</w:t>
        </w:r>
      </w:hyperlink>
    </w:p>
    <w:bookmarkEnd w:id="107"/>
    <w:bookmarkStart w:id="109" w:name="ref-mordecaiOptimal2013b"/>
    <w:p>
      <w:pPr>
        <w:pStyle w:val="Bibliography"/>
      </w:pPr>
      <w:r>
        <w:t xml:space="preserve">Mordecai, E. A., Paaijmans, K. P., Johnson, L. R., Balzer, C., Ben-Horin, T., de Moor, E., McNally, A., Pawar, S., Ryan, S. J., Smith, T. C., &amp; Lafferty, K. D. (2013). Optimal temperature for malaria transmission is dramatically lower than previously predicted.</w:t>
      </w:r>
      <w:r>
        <w:t xml:space="preserve"> </w:t>
      </w:r>
      <w:r>
        <w:rPr>
          <w:i/>
          <w:iCs/>
        </w:rPr>
        <w:t xml:space="preserve">Ecology Letters</w:t>
      </w:r>
      <w:r>
        <w:t xml:space="preserve">,</w:t>
      </w:r>
      <w:r>
        <w:t xml:space="preserve"> </w:t>
      </w:r>
      <w:r>
        <w:rPr>
          <w:i/>
          <w:iCs/>
        </w:rPr>
        <w:t xml:space="preserve">16</w:t>
      </w:r>
      <w:r>
        <w:t xml:space="preserve">(1), 22–30.</w:t>
      </w:r>
      <w:r>
        <w:t xml:space="preserve"> </w:t>
      </w:r>
      <w:hyperlink r:id="rId108">
        <w:r>
          <w:rPr>
            <w:rStyle w:val="Hyperlink"/>
          </w:rPr>
          <w:t xml:space="preserve">https://doi.org/10.1111/ele.12015</w:t>
        </w:r>
      </w:hyperlink>
    </w:p>
    <w:bookmarkEnd w:id="109"/>
    <w:bookmarkStart w:id="111" w:name="ref-mordecaiClimate2020"/>
    <w:p>
      <w:pPr>
        <w:pStyle w:val="Bibliography"/>
      </w:pPr>
      <w:r>
        <w:t xml:space="preserve">Mordecai, E. A., Ryan, S. J., Caldwell, J. M., Shah, M. M., &amp; LaBeaud, A. D. (2020). Climate change could shift disease burden from malaria to arboviruses in</w:t>
      </w:r>
      <w:r>
        <w:t xml:space="preserve"> </w:t>
      </w:r>
      <w:r>
        <w:t xml:space="preserve">Africa</w:t>
      </w:r>
      <w:r>
        <w:t xml:space="preserve">.</w:t>
      </w:r>
      <w:r>
        <w:t xml:space="preserve"> </w:t>
      </w:r>
      <w:r>
        <w:rPr>
          <w:i/>
          <w:iCs/>
        </w:rPr>
        <w:t xml:space="preserve">The Lancet Planetary Health</w:t>
      </w:r>
      <w:r>
        <w:t xml:space="preserve">,</w:t>
      </w:r>
      <w:r>
        <w:t xml:space="preserve"> </w:t>
      </w:r>
      <w:r>
        <w:rPr>
          <w:i/>
          <w:iCs/>
        </w:rPr>
        <w:t xml:space="preserve">4</w:t>
      </w:r>
      <w:r>
        <w:t xml:space="preserve">(9), e416–e423.</w:t>
      </w:r>
      <w:r>
        <w:t xml:space="preserve"> </w:t>
      </w:r>
      <w:hyperlink r:id="rId110">
        <w:r>
          <w:rPr>
            <w:rStyle w:val="Hyperlink"/>
          </w:rPr>
          <w:t xml:space="preserve">https://doi.org/10.1016/S2542-5196(20)30178-9</w:t>
        </w:r>
      </w:hyperlink>
    </w:p>
    <w:bookmarkEnd w:id="111"/>
    <w:bookmarkStart w:id="113" w:name="ref-omumboRaised2011"/>
    <w:p>
      <w:pPr>
        <w:pStyle w:val="Bibliography"/>
      </w:pPr>
      <w:r>
        <w:t xml:space="preserve">Omumbo, J. A., Lyon, B., Waweru, S. M., Connor, S. J., &amp; Thomson, M. C. (2011). Raised temperatures over the</w:t>
      </w:r>
      <w:r>
        <w:t xml:space="preserve"> </w:t>
      </w:r>
      <w:r>
        <w:t xml:space="preserve">Kericho</w:t>
      </w:r>
      <w:r>
        <w:t xml:space="preserve"> </w:t>
      </w:r>
      <w:r>
        <w:t xml:space="preserve">tea estates: Revisiting the climate in the</w:t>
      </w:r>
      <w:r>
        <w:t xml:space="preserve"> </w:t>
      </w:r>
      <w:r>
        <w:t xml:space="preserve">East African</w:t>
      </w:r>
      <w:r>
        <w:t xml:space="preserve"> </w:t>
      </w:r>
      <w:r>
        <w:t xml:space="preserve">highlands malaria debate.</w:t>
      </w:r>
      <w:r>
        <w:t xml:space="preserve"> </w:t>
      </w:r>
      <w:r>
        <w:rPr>
          <w:i/>
          <w:iCs/>
        </w:rPr>
        <w:t xml:space="preserve">Malaria Journal</w:t>
      </w:r>
      <w:r>
        <w:t xml:space="preserve">,</w:t>
      </w:r>
      <w:r>
        <w:t xml:space="preserve"> </w:t>
      </w:r>
      <w:r>
        <w:rPr>
          <w:i/>
          <w:iCs/>
        </w:rPr>
        <w:t xml:space="preserve">10</w:t>
      </w:r>
      <w:r>
        <w:t xml:space="preserve">(1), 12.</w:t>
      </w:r>
      <w:r>
        <w:t xml:space="preserve"> </w:t>
      </w:r>
      <w:hyperlink r:id="rId112">
        <w:r>
          <w:rPr>
            <w:rStyle w:val="Hyperlink"/>
          </w:rPr>
          <w:t xml:space="preserve">https://doi.org/10.1186/1475-2875-10-12</w:t>
        </w:r>
      </w:hyperlink>
    </w:p>
    <w:bookmarkEnd w:id="113"/>
    <w:bookmarkStart w:id="115" w:name="ref-pounds_widespread_2006"/>
    <w:p>
      <w:pPr>
        <w:pStyle w:val="Bibliography"/>
      </w:pPr>
      <w:r>
        <w:t xml:space="preserve">Pounds, A. J., Bustamante, M. R., Coloma, L. A., Consuegra, J. A., Fogden, M. P. L., Foster, P. N., La Marca, E., Masters, K. L., Merino-Viteri, A., Puschendorf, R., Ron, S. R., Sánchez-Azofeifa, G. A., Still, C. J., &amp; Young, B. E. (2006). Widespread amphibian extinctions from epidemic disease driven by global warming.</w:t>
      </w:r>
      <w:r>
        <w:t xml:space="preserve"> </w:t>
      </w:r>
      <w:r>
        <w:rPr>
          <w:i/>
          <w:iCs/>
        </w:rPr>
        <w:t xml:space="preserve">Nature</w:t>
      </w:r>
      <w:r>
        <w:t xml:space="preserve">,</w:t>
      </w:r>
      <w:r>
        <w:t xml:space="preserve"> </w:t>
      </w:r>
      <w:r>
        <w:rPr>
          <w:i/>
          <w:iCs/>
        </w:rPr>
        <w:t xml:space="preserve">439</w:t>
      </w:r>
      <w:r>
        <w:t xml:space="preserve">(7073), 161–167.</w:t>
      </w:r>
      <w:r>
        <w:t xml:space="preserve"> </w:t>
      </w:r>
      <w:hyperlink r:id="rId114">
        <w:r>
          <w:rPr>
            <w:rStyle w:val="Hyperlink"/>
          </w:rPr>
          <w:t xml:space="preserve">https://doi.org/10.1038/nature04246</w:t>
        </w:r>
      </w:hyperlink>
    </w:p>
    <w:bookmarkEnd w:id="115"/>
    <w:bookmarkStart w:id="117" w:name="ref-pulliam_ability_2009"/>
    <w:p>
      <w:pPr>
        <w:pStyle w:val="Bibliography"/>
      </w:pPr>
      <w:r>
        <w:t xml:space="preserve">Pulliam, J. R. C., &amp; Dushoff, J. (2009). Ability to</w:t>
      </w:r>
      <w:r>
        <w:t xml:space="preserve"> </w:t>
      </w:r>
      <w:r>
        <w:t xml:space="preserve">Replicate</w:t>
      </w:r>
      <w:r>
        <w:t xml:space="preserve"> </w:t>
      </w:r>
      <w:r>
        <w:t xml:space="preserve">in the</w:t>
      </w:r>
      <w:r>
        <w:t xml:space="preserve"> </w:t>
      </w:r>
      <w:r>
        <w:t xml:space="preserve">Cytoplasm</w:t>
      </w:r>
      <w:r>
        <w:t xml:space="preserve"> </w:t>
      </w:r>
      <w:r>
        <w:t xml:space="preserve">Predicts</w:t>
      </w:r>
      <w:r>
        <w:t xml:space="preserve"> </w:t>
      </w:r>
      <w:r>
        <w:t xml:space="preserve">Zoonotic</w:t>
      </w:r>
      <w:r>
        <w:t xml:space="preserve"> </w:t>
      </w:r>
      <w:r>
        <w:t xml:space="preserve">Transmission</w:t>
      </w:r>
      <w:r>
        <w:t xml:space="preserve"> </w:t>
      </w:r>
      <w:r>
        <w:t xml:space="preserve">of</w:t>
      </w:r>
      <w:r>
        <w:t xml:space="preserve"> </w:t>
      </w:r>
      <w:r>
        <w:t xml:space="preserve">Livestock</w:t>
      </w:r>
      <w:r>
        <w:t xml:space="preserve"> </w:t>
      </w:r>
      <w:r>
        <w:t xml:space="preserve">Viruses</w:t>
      </w:r>
      <w:r>
        <w:t xml:space="preserve">.</w:t>
      </w:r>
      <w:r>
        <w:t xml:space="preserve"> </w:t>
      </w:r>
      <w:r>
        <w:rPr>
          <w:i/>
          <w:iCs/>
        </w:rPr>
        <w:t xml:space="preserve">The Journal of Infectious Diseases</w:t>
      </w:r>
      <w:r>
        <w:t xml:space="preserve">,</w:t>
      </w:r>
      <w:r>
        <w:t xml:space="preserve"> </w:t>
      </w:r>
      <w:r>
        <w:rPr>
          <w:i/>
          <w:iCs/>
        </w:rPr>
        <w:t xml:space="preserve">199</w:t>
      </w:r>
      <w:r>
        <w:t xml:space="preserve">(4), 565–568.</w:t>
      </w:r>
      <w:r>
        <w:t xml:space="preserve"> </w:t>
      </w:r>
      <w:hyperlink r:id="rId116">
        <w:r>
          <w:rPr>
            <w:rStyle w:val="Hyperlink"/>
          </w:rPr>
          <w:t xml:space="preserve">https://doi.org/10.1086/596510</w:t>
        </w:r>
      </w:hyperlink>
    </w:p>
    <w:bookmarkEnd w:id="117"/>
    <w:bookmarkStart w:id="119" w:name="ref-rohr_towards_2020"/>
    <w:p>
      <w:pPr>
        <w:pStyle w:val="Bibliography"/>
      </w:pPr>
      <w:r>
        <w:t xml:space="preserve">Rohr, J. R., Civitello, D. J., Halliday, F. W., Hudson, P. J., Lafferty, K. D., Wood, C. L., &amp; Mordecai, E. A. (2020). Towards common ground in the biodiversity–disease debate.</w:t>
      </w:r>
      <w:r>
        <w:t xml:space="preserve"> </w:t>
      </w:r>
      <w:r>
        <w:rPr>
          <w:i/>
          <w:iCs/>
        </w:rPr>
        <w:t xml:space="preserve">Nature Ecology &amp; Evolution</w:t>
      </w:r>
      <w:r>
        <w:t xml:space="preserve">,</w:t>
      </w:r>
      <w:r>
        <w:t xml:space="preserve"> </w:t>
      </w:r>
      <w:r>
        <w:rPr>
          <w:i/>
          <w:iCs/>
        </w:rPr>
        <w:t xml:space="preserve">4</w:t>
      </w:r>
      <w:r>
        <w:t xml:space="preserve">(1), 24–33.</w:t>
      </w:r>
      <w:r>
        <w:t xml:space="preserve"> </w:t>
      </w:r>
      <w:hyperlink r:id="rId118">
        <w:r>
          <w:rPr>
            <w:rStyle w:val="Hyperlink"/>
          </w:rPr>
          <w:t xml:space="preserve">https://doi.org/10.1038/s41559-019-1060-6</w:t>
        </w:r>
      </w:hyperlink>
    </w:p>
    <w:bookmarkEnd w:id="119"/>
    <w:bookmarkStart w:id="121" w:name="ref-rohr_linking_2010"/>
    <w:p>
      <w:pPr>
        <w:pStyle w:val="Bibliography"/>
      </w:pPr>
      <w:r>
        <w:t xml:space="preserve">Rohr, J. R., &amp; Raffel, T. R. (2010). Linking global climate and temperature variability to widespread amphibian declines putatively caused by disease.</w:t>
      </w:r>
      <w:r>
        <w:t xml:space="preserve"> </w:t>
      </w:r>
      <w:r>
        <w:rPr>
          <w:i/>
          <w:iCs/>
        </w:rPr>
        <w:t xml:space="preserve">Proceedings of the National Academy of Sciences</w:t>
      </w:r>
      <w:r>
        <w:t xml:space="preserve">,</w:t>
      </w:r>
      <w:r>
        <w:t xml:space="preserve"> </w:t>
      </w:r>
      <w:r>
        <w:rPr>
          <w:i/>
          <w:iCs/>
        </w:rPr>
        <w:t xml:space="preserve">107</w:t>
      </w:r>
      <w:r>
        <w:t xml:space="preserve">(18), 8269–8274.</w:t>
      </w:r>
      <w:r>
        <w:t xml:space="preserve"> </w:t>
      </w:r>
      <w:hyperlink r:id="rId120">
        <w:r>
          <w:rPr>
            <w:rStyle w:val="Hyperlink"/>
          </w:rPr>
          <w:t xml:space="preserve">https://doi.org/10.1073/pnas.0912883107</w:t>
        </w:r>
      </w:hyperlink>
    </w:p>
    <w:bookmarkEnd w:id="121"/>
    <w:bookmarkStart w:id="123" w:name="ref-rohr_evaluating_2008"/>
    <w:p>
      <w:pPr>
        <w:pStyle w:val="Bibliography"/>
      </w:pPr>
      <w:r>
        <w:t xml:space="preserve">Rohr, J. R., Raffel, T. R., Romansic, J. M., McCallum, H., &amp; Hudson, P. J. (2008). Evaluating the links between climate, disease spread, and amphibian declines.</w:t>
      </w:r>
      <w:r>
        <w:t xml:space="preserve"> </w:t>
      </w:r>
      <w:r>
        <w:rPr>
          <w:i/>
          <w:iCs/>
        </w:rPr>
        <w:t xml:space="preserve">Proceedings of the National Academy of Sciences</w:t>
      </w:r>
      <w:r>
        <w:t xml:space="preserve">,</w:t>
      </w:r>
      <w:r>
        <w:t xml:space="preserve"> </w:t>
      </w:r>
      <w:r>
        <w:rPr>
          <w:i/>
          <w:iCs/>
        </w:rPr>
        <w:t xml:space="preserve">105</w:t>
      </w:r>
      <w:r>
        <w:t xml:space="preserve">(45), 17436–17441.</w:t>
      </w:r>
      <w:r>
        <w:t xml:space="preserve"> </w:t>
      </w:r>
      <w:hyperlink r:id="rId122">
        <w:r>
          <w:rPr>
            <w:rStyle w:val="Hyperlink"/>
          </w:rPr>
          <w:t xml:space="preserve">https://doi.org/10.1073/pnas.0806368105</w:t>
        </w:r>
      </w:hyperlink>
    </w:p>
    <w:bookmarkEnd w:id="123"/>
    <w:bookmarkStart w:id="125" w:name="ref-ryanMapping2015"/>
    <w:p>
      <w:pPr>
        <w:pStyle w:val="Bibliography"/>
      </w:pPr>
      <w:r>
        <w:t xml:space="preserve">Ryan, S. J., McNally, A., Johnson, L. R., Mordecai, E. A., Ben-Horin, T., Paaijmans, K., &amp; Lafferty, K. D. (2015). Mapping</w:t>
      </w:r>
      <w:r>
        <w:t xml:space="preserve"> </w:t>
      </w:r>
      <w:r>
        <w:t xml:space="preserve">Physiological Suitability Limits</w:t>
      </w:r>
      <w:r>
        <w:t xml:space="preserve"> </w:t>
      </w:r>
      <w:r>
        <w:t xml:space="preserve">for</w:t>
      </w:r>
      <w:r>
        <w:t xml:space="preserve"> </w:t>
      </w:r>
      <w:r>
        <w:t xml:space="preserve">Malaria</w:t>
      </w:r>
      <w:r>
        <w:t xml:space="preserve"> </w:t>
      </w:r>
      <w:r>
        <w:t xml:space="preserve">in</w:t>
      </w:r>
      <w:r>
        <w:t xml:space="preserve"> </w:t>
      </w:r>
      <w:r>
        <w:t xml:space="preserve">Africa Under Climate Change</w:t>
      </w:r>
      <w:r>
        <w:t xml:space="preserve">.</w:t>
      </w:r>
      <w:r>
        <w:t xml:space="preserve"> </w:t>
      </w:r>
      <w:r>
        <w:rPr>
          <w:i/>
          <w:iCs/>
        </w:rPr>
        <w:t xml:space="preserve">Vector-Borne and Zoonotic Diseases</w:t>
      </w:r>
      <w:r>
        <w:t xml:space="preserve">,</w:t>
      </w:r>
      <w:r>
        <w:t xml:space="preserve"> </w:t>
      </w:r>
      <w:r>
        <w:rPr>
          <w:i/>
          <w:iCs/>
        </w:rPr>
        <w:t xml:space="preserve">15</w:t>
      </w:r>
      <w:r>
        <w:t xml:space="preserve">(12), 718–725.</w:t>
      </w:r>
      <w:r>
        <w:t xml:space="preserve"> </w:t>
      </w:r>
      <w:hyperlink r:id="rId124">
        <w:r>
          <w:rPr>
            <w:rStyle w:val="Hyperlink"/>
          </w:rPr>
          <w:t xml:space="preserve">https://doi.org/10.1089/vbz.2015.1822</w:t>
        </w:r>
      </w:hyperlink>
    </w:p>
    <w:bookmarkEnd w:id="125"/>
    <w:bookmarkStart w:id="127" w:name="ref-walker_transmissibility_2018"/>
    <w:p>
      <w:pPr>
        <w:pStyle w:val="Bibliography"/>
      </w:pPr>
      <w:r>
        <w:t xml:space="preserve">Walker, J. W., Han, B. A., Ott, I. M., &amp; Drake, J. M. (2018). Transmissibility of emerging viral zoonoses.</w:t>
      </w:r>
      <w:r>
        <w:t xml:space="preserve"> </w:t>
      </w:r>
      <w:r>
        <w:rPr>
          <w:i/>
          <w:iCs/>
        </w:rPr>
        <w:t xml:space="preserve">PLOS ONE</w:t>
      </w:r>
      <w:r>
        <w:t xml:space="preserve">,</w:t>
      </w:r>
      <w:r>
        <w:t xml:space="preserve"> </w:t>
      </w:r>
      <w:r>
        <w:rPr>
          <w:i/>
          <w:iCs/>
        </w:rPr>
        <w:t xml:space="preserve">13</w:t>
      </w:r>
      <w:r>
        <w:t xml:space="preserve">(11), e0206926.</w:t>
      </w:r>
      <w:r>
        <w:t xml:space="preserve"> </w:t>
      </w:r>
      <w:hyperlink r:id="rId126">
        <w:r>
          <w:rPr>
            <w:rStyle w:val="Hyperlink"/>
          </w:rPr>
          <w:t xml:space="preserve">https://doi.org/10.1371/journal.pone.0206926</w:t>
        </w:r>
      </w:hyperlink>
    </w:p>
    <w:bookmarkEnd w:id="127"/>
    <w:bookmarkEnd w:id="128"/>
    <w:p>
      <w:r>
        <w:pict>
          <v:rect style="width:0;height:1.5pt" o:hralign="center" o:hrstd="t" o:hr="t"/>
        </w:pict>
      </w:r>
    </w:p>
    <w:p>
      <w:pPr>
        <w:pStyle w:val="FirstParagraph"/>
      </w:pPr>
      <w:r>
        <w:t xml:space="preserve">Last updated: 2025-11-25 21:05:40.50714</w:t>
      </w:r>
    </w:p>
    <w:bookmarkEnd w:id="1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40" Target="media/rId40.png" /><Relationship Type="http://schemas.openxmlformats.org/officeDocument/2006/relationships/image" Id="rId33" Target="media/rId33.jpg" /><Relationship Type="http://schemas.openxmlformats.org/officeDocument/2006/relationships/image" Id="rId36" Target="media/rId36.jpg" /><Relationship Type="http://schemas.openxmlformats.org/officeDocument/2006/relationships/image" Id="rId50" Target="media/rId50.png" /><Relationship Type="http://schemas.openxmlformats.org/officeDocument/2006/relationships/image" Id="rId46" Target="media/rId46.png" /><Relationship Type="http://schemas.openxmlformats.org/officeDocument/2006/relationships/image" Id="rId24" Target="media/rId24.png" /><Relationship Type="http://schemas.openxmlformats.org/officeDocument/2006/relationships/image" Id="rId43" Target="media/rId43.png" /><Relationship Type="http://schemas.openxmlformats.org/officeDocument/2006/relationships/image" Id="rId28" Target="media/rId28.png" /><Relationship Type="http://schemas.openxmlformats.org/officeDocument/2006/relationships/hyperlink" Id="rId80" Target="https://doi.org/10.1001/jamanetworkopen.2025.35719" TargetMode="External" /><Relationship Type="http://schemas.openxmlformats.org/officeDocument/2006/relationships/hyperlink" Id="rId110" Target="https://doi.org/10.1016/S2542-5196(20)30178-9" TargetMode="External" /><Relationship Type="http://schemas.openxmlformats.org/officeDocument/2006/relationships/hyperlink" Id="rId106" Target="https://doi.org/10.1016/j.funbio.2024.01.005" TargetMode="External" /><Relationship Type="http://schemas.openxmlformats.org/officeDocument/2006/relationships/hyperlink" Id="rId84" Target="https://doi.org/10.1016/j.ijid.2023.02.015" TargetMode="External" /><Relationship Type="http://schemas.openxmlformats.org/officeDocument/2006/relationships/hyperlink" Id="rId67" Target="https://doi.org/10.1016/j.lana.2025.101254" TargetMode="External" /><Relationship Type="http://schemas.openxmlformats.org/officeDocument/2006/relationships/hyperlink" Id="rId114" Target="https://doi.org/10.1038/nature04246" TargetMode="External" /><Relationship Type="http://schemas.openxmlformats.org/officeDocument/2006/relationships/hyperlink" Id="rId118" Target="https://doi.org/10.1038/s41559-019-1060-6" TargetMode="External" /><Relationship Type="http://schemas.openxmlformats.org/officeDocument/2006/relationships/hyperlink" Id="rId88" Target="https://doi.org/10.1038/s41579-020-0335-x" TargetMode="External" /><Relationship Type="http://schemas.openxmlformats.org/officeDocument/2006/relationships/hyperlink" Id="rId90" Target="https://doi.org/10.1038/s41586-020-2562-8" TargetMode="External" /><Relationship Type="http://schemas.openxmlformats.org/officeDocument/2006/relationships/hyperlink" Id="rId122" Target="https://doi.org/10.1073/pnas.0806368105" TargetMode="External" /><Relationship Type="http://schemas.openxmlformats.org/officeDocument/2006/relationships/hyperlink" Id="rId120" Target="https://doi.org/10.1073/pnas.0912883107" TargetMode="External" /><Relationship Type="http://schemas.openxmlformats.org/officeDocument/2006/relationships/hyperlink" Id="rId104" Target="https://doi.org/10.1073/pnas.1905315116" TargetMode="External" /><Relationship Type="http://schemas.openxmlformats.org/officeDocument/2006/relationships/hyperlink" Id="rId116" Target="https://doi.org/10.1086/596510" TargetMode="External" /><Relationship Type="http://schemas.openxmlformats.org/officeDocument/2006/relationships/hyperlink" Id="rId124" Target="https://doi.org/10.1089/vbz.2015.1822" TargetMode="External" /><Relationship Type="http://schemas.openxmlformats.org/officeDocument/2006/relationships/hyperlink" Id="rId108" Target="https://doi.org/10.1111/ele.12015" TargetMode="External" /><Relationship Type="http://schemas.openxmlformats.org/officeDocument/2006/relationships/hyperlink" Id="rId92" Target="https://doi.org/10.1111/ele.13520" TargetMode="External" /><Relationship Type="http://schemas.openxmlformats.org/officeDocument/2006/relationships/hyperlink" Id="rId100" Target="https://doi.org/10.1111/ele.13875" TargetMode="External" /><Relationship Type="http://schemas.openxmlformats.org/officeDocument/2006/relationships/hyperlink" Id="rId69" Target="https://doi.org/10.1111/gcb.15966" TargetMode="External" /><Relationship Type="http://schemas.openxmlformats.org/officeDocument/2006/relationships/hyperlink" Id="rId73" Target="https://doi.org/10.1128/mBio.01397-19" TargetMode="External" /><Relationship Type="http://schemas.openxmlformats.org/officeDocument/2006/relationships/hyperlink" Id="rId75" Target="https://doi.org/10.1128/mbio.00360-21" TargetMode="External" /><Relationship Type="http://schemas.openxmlformats.org/officeDocument/2006/relationships/hyperlink" Id="rId98" Target="https://doi.org/10.1128/mbio.01638-21" TargetMode="External" /><Relationship Type="http://schemas.openxmlformats.org/officeDocument/2006/relationships/hyperlink" Id="rId71" Target="https://doi.org/10.1186/1471-2458-4-33" TargetMode="External" /><Relationship Type="http://schemas.openxmlformats.org/officeDocument/2006/relationships/hyperlink" Id="rId112" Target="https://doi.org/10.1186/1475-2875-10-12" TargetMode="External" /><Relationship Type="http://schemas.openxmlformats.org/officeDocument/2006/relationships/hyperlink" Id="rId96" Target="https://doi.org/10.1186/s13071-019-3656-8" TargetMode="External" /><Relationship Type="http://schemas.openxmlformats.org/officeDocument/2006/relationships/hyperlink" Id="rId126" Target="https://doi.org/10.1371/journal.pone.0206926" TargetMode="External" /><Relationship Type="http://schemas.openxmlformats.org/officeDocument/2006/relationships/hyperlink" Id="rId102" Target="https://doi.org/10.3390/biom12081073" TargetMode="External" /><Relationship Type="http://schemas.openxmlformats.org/officeDocument/2006/relationships/hyperlink" Id="rId78" Target="https://doi.org/10.3390/microorganisms12050927" TargetMode="External" /><Relationship Type="http://schemas.openxmlformats.org/officeDocument/2006/relationships/hyperlink" Id="rId82" Target="https://www.cdc.gov/chikungunya/data-maps/chikungunya-us.html" TargetMode="External" /><Relationship Type="http://schemas.openxmlformats.org/officeDocument/2006/relationships/hyperlink" Id="rId94" Target="https://www.health.ny.gov/press/releases/2025/2025-10-14\_chikungunya" TargetMode="External" /><Relationship Type="http://schemas.openxmlformats.org/officeDocument/2006/relationships/hyperlink" Id="rId86" Target="https://www.jstor.org/stable/27826354" TargetMode="External" /></Relationships>
</file>

<file path=word/_rels/footnotes.xml.rels><?xml version="1.0" encoding="UTF-8"?><Relationships xmlns="http://schemas.openxmlformats.org/package/2006/relationships"><Relationship Type="http://schemas.openxmlformats.org/officeDocument/2006/relationships/hyperlink" Id="rId80" Target="https://doi.org/10.1001/jamanetworkopen.2025.35719" TargetMode="External" /><Relationship Type="http://schemas.openxmlformats.org/officeDocument/2006/relationships/hyperlink" Id="rId110" Target="https://doi.org/10.1016/S2542-5196(20)30178-9" TargetMode="External" /><Relationship Type="http://schemas.openxmlformats.org/officeDocument/2006/relationships/hyperlink" Id="rId106" Target="https://doi.org/10.1016/j.funbio.2024.01.005" TargetMode="External" /><Relationship Type="http://schemas.openxmlformats.org/officeDocument/2006/relationships/hyperlink" Id="rId84" Target="https://doi.org/10.1016/j.ijid.2023.02.015" TargetMode="External" /><Relationship Type="http://schemas.openxmlformats.org/officeDocument/2006/relationships/hyperlink" Id="rId67" Target="https://doi.org/10.1016/j.lana.2025.101254" TargetMode="External" /><Relationship Type="http://schemas.openxmlformats.org/officeDocument/2006/relationships/hyperlink" Id="rId114" Target="https://doi.org/10.1038/nature04246" TargetMode="External" /><Relationship Type="http://schemas.openxmlformats.org/officeDocument/2006/relationships/hyperlink" Id="rId118" Target="https://doi.org/10.1038/s41559-019-1060-6" TargetMode="External" /><Relationship Type="http://schemas.openxmlformats.org/officeDocument/2006/relationships/hyperlink" Id="rId88" Target="https://doi.org/10.1038/s41579-020-0335-x" TargetMode="External" /><Relationship Type="http://schemas.openxmlformats.org/officeDocument/2006/relationships/hyperlink" Id="rId90" Target="https://doi.org/10.1038/s41586-020-2562-8" TargetMode="External" /><Relationship Type="http://schemas.openxmlformats.org/officeDocument/2006/relationships/hyperlink" Id="rId122" Target="https://doi.org/10.1073/pnas.0806368105" TargetMode="External" /><Relationship Type="http://schemas.openxmlformats.org/officeDocument/2006/relationships/hyperlink" Id="rId120" Target="https://doi.org/10.1073/pnas.0912883107" TargetMode="External" /><Relationship Type="http://schemas.openxmlformats.org/officeDocument/2006/relationships/hyperlink" Id="rId104" Target="https://doi.org/10.1073/pnas.1905315116" TargetMode="External" /><Relationship Type="http://schemas.openxmlformats.org/officeDocument/2006/relationships/hyperlink" Id="rId116" Target="https://doi.org/10.1086/596510" TargetMode="External" /><Relationship Type="http://schemas.openxmlformats.org/officeDocument/2006/relationships/hyperlink" Id="rId124" Target="https://doi.org/10.1089/vbz.2015.1822" TargetMode="External" /><Relationship Type="http://schemas.openxmlformats.org/officeDocument/2006/relationships/hyperlink" Id="rId108" Target="https://doi.org/10.1111/ele.12015" TargetMode="External" /><Relationship Type="http://schemas.openxmlformats.org/officeDocument/2006/relationships/hyperlink" Id="rId92" Target="https://doi.org/10.1111/ele.13520" TargetMode="External" /><Relationship Type="http://schemas.openxmlformats.org/officeDocument/2006/relationships/hyperlink" Id="rId100" Target="https://doi.org/10.1111/ele.13875" TargetMode="External" /><Relationship Type="http://schemas.openxmlformats.org/officeDocument/2006/relationships/hyperlink" Id="rId69" Target="https://doi.org/10.1111/gcb.15966" TargetMode="External" /><Relationship Type="http://schemas.openxmlformats.org/officeDocument/2006/relationships/hyperlink" Id="rId73" Target="https://doi.org/10.1128/mBio.01397-19" TargetMode="External" /><Relationship Type="http://schemas.openxmlformats.org/officeDocument/2006/relationships/hyperlink" Id="rId75" Target="https://doi.org/10.1128/mbio.00360-21" TargetMode="External" /><Relationship Type="http://schemas.openxmlformats.org/officeDocument/2006/relationships/hyperlink" Id="rId98" Target="https://doi.org/10.1128/mbio.01638-21" TargetMode="External" /><Relationship Type="http://schemas.openxmlformats.org/officeDocument/2006/relationships/hyperlink" Id="rId71" Target="https://doi.org/10.1186/1471-2458-4-33" TargetMode="External" /><Relationship Type="http://schemas.openxmlformats.org/officeDocument/2006/relationships/hyperlink" Id="rId112" Target="https://doi.org/10.1186/1475-2875-10-12" TargetMode="External" /><Relationship Type="http://schemas.openxmlformats.org/officeDocument/2006/relationships/hyperlink" Id="rId96" Target="https://doi.org/10.1186/s13071-019-3656-8" TargetMode="External" /><Relationship Type="http://schemas.openxmlformats.org/officeDocument/2006/relationships/hyperlink" Id="rId126" Target="https://doi.org/10.1371/journal.pone.0206926" TargetMode="External" /><Relationship Type="http://schemas.openxmlformats.org/officeDocument/2006/relationships/hyperlink" Id="rId102" Target="https://doi.org/10.3390/biom12081073" TargetMode="External" /><Relationship Type="http://schemas.openxmlformats.org/officeDocument/2006/relationships/hyperlink" Id="rId78" Target="https://doi.org/10.3390/microorganisms12050927" TargetMode="External" /><Relationship Type="http://schemas.openxmlformats.org/officeDocument/2006/relationships/hyperlink" Id="rId82" Target="https://www.cdc.gov/chikungunya/data-maps/chikungunya-us.html" TargetMode="External" /><Relationship Type="http://schemas.openxmlformats.org/officeDocument/2006/relationships/hyperlink" Id="rId94" Target="https://www.health.ny.gov/press/releases/2025/2025-10-14\_chikungunya" TargetMode="External" /><Relationship Type="http://schemas.openxmlformats.org/officeDocument/2006/relationships/hyperlink" Id="rId86" Target="https://www.jstor.org/stable/2782635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emerging infectious disease</dc:title>
  <dc:creator/>
  <cp:keywords/>
  <dcterms:created xsi:type="dcterms:W3CDTF">2025-11-26T02:05:40Z</dcterms:created>
  <dcterms:modified xsi:type="dcterms:W3CDTF">2025-11-26T02:05:40Z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../eeid.bib</vt:lpwstr>
  </property>
  <property fmtid="{D5CDD505-2E9C-101B-9397-08002B2CF9AE}" pid="3" name="csl">
    <vt:lpwstr>apa.csl</vt:lpwstr>
  </property>
  <property fmtid="{D5CDD505-2E9C-101B-9397-08002B2CF9AE}" pid="4" name="date">
    <vt:lpwstr>24 Nov 2025</vt:lpwstr>
  </property>
  <property fmtid="{D5CDD505-2E9C-101B-9397-08002B2CF9AE}" pid="5" name="header-includes">
    <vt:lpwstr/>
  </property>
</Properties>
</file>