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1.png" ContentType="image/png"/>
  <Override PartName="/word/media/rId20.png" ContentType="image/png"/>
  <Override PartName="/word/media/rId23.png" ContentType="image/png"/>
  <Override PartName="/word/media/rId26.png" ContentType="image/png"/>
  <Override PartName="/word/media/rId45.png" ContentType="image/png"/>
  <Override PartName="/word/media/rId48.png" ContentType="image/pn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Parasites and host communities</w:t>
      </w:r>
    </w:p>
    <w:p>
      <w:pPr>
        <w:pStyle w:val="FirstParagraph"/>
      </w:pPr>
      <w:r>
        <w:t xml:space="preserve">Parasites can have large effects on their host populations and communities; can</w:t>
      </w:r>
    </w:p>
    <w:p>
      <w:pPr>
        <w:pStyle w:val="Compact"/>
        <w:numPr>
          <w:ilvl w:val="0"/>
          <w:numId w:val="1001"/>
        </w:numPr>
      </w:pPr>
      <w:r>
        <w:t xml:space="preserve">determine the competitive balance between two species, whether one species can invade or coexist with another;</w:t>
      </w:r>
    </w:p>
    <w:p>
      <w:pPr>
        <w:pStyle w:val="Compact"/>
        <w:numPr>
          <w:ilvl w:val="0"/>
          <w:numId w:val="1001"/>
        </w:numPr>
      </w:pPr>
      <w:r>
        <w:t xml:space="preserve">change the flow of energy through and relative balance of different trophic levels;</w:t>
      </w:r>
    </w:p>
    <w:p>
      <w:pPr>
        <w:pStyle w:val="Compact"/>
        <w:numPr>
          <w:ilvl w:val="0"/>
          <w:numId w:val="1001"/>
        </w:numPr>
      </w:pPr>
      <w:r>
        <w:t xml:space="preserve">act as</w:t>
      </w:r>
      <w:r>
        <w:t xml:space="preserve"> </w:t>
      </w:r>
      <w:r>
        <w:t xml:space="preserve">“ecosystem engineers”</w:t>
      </w:r>
      <w:r>
        <w:t xml:space="preserve"> </w:t>
      </w:r>
      <w:r>
        <w:t xml:space="preserve">to change the environment in which other organisms live;</w:t>
      </w:r>
    </w:p>
    <w:p>
      <w:pPr>
        <w:pStyle w:val="Compact"/>
        <w:numPr>
          <w:ilvl w:val="0"/>
          <w:numId w:val="1001"/>
        </w:numPr>
      </w:pPr>
      <w:r>
        <w:t xml:space="preserve">have cascading effects on entire ecosystems, determining their biomass or diversity.</w:t>
      </w:r>
    </w:p>
    <w:bookmarkStart w:id="29" w:name="indirect-interactions"/>
    <w:p>
      <w:pPr>
        <w:pStyle w:val="Heading2"/>
      </w:pPr>
      <w:r>
        <w:t xml:space="preserve">Indirect interactions</w:t>
      </w:r>
    </w:p>
    <w:p>
      <w:pPr>
        <w:numPr>
          <w:ilvl w:val="0"/>
          <w:numId w:val="1002"/>
        </w:numPr>
      </w:pPr>
      <w:r>
        <w:rPr>
          <w:b/>
          <w:bCs/>
        </w:rPr>
        <w:t xml:space="preserve">Direct</w:t>
      </w:r>
      <w:r>
        <w:t xml:space="preserve"> </w:t>
      </w:r>
      <w:r>
        <w:t xml:space="preserve">interactions among species: (e.g.) parasites change the</w:t>
      </w:r>
      <w:r>
        <w:t xml:space="preserve"> </w:t>
      </w:r>
      <w:r>
        <w:t xml:space="preserve">fecundity and mortality of their hosts, leading to population cycles.</w:t>
      </w:r>
    </w:p>
    <w:p>
      <w:pPr>
        <w:numPr>
          <w:ilvl w:val="0"/>
          <w:numId w:val="1002"/>
        </w:numPr>
      </w:pPr>
      <w:r>
        <w:rPr>
          <w:b/>
          <w:bCs/>
        </w:rPr>
        <w:t xml:space="preserve">Indirect interactions</w:t>
      </w:r>
      <w:r>
        <w:t xml:space="preserve">: the direct (-/+) interaction between</w:t>
      </w:r>
      <w:r>
        <w:t xml:space="preserve"> </w:t>
      </w:r>
      <w:r>
        <w:t xml:space="preserve">parasites and one host leads to a change in the interaction between two</w:t>
      </w:r>
      <w:r>
        <w:t xml:space="preserve"> </w:t>
      </w:r>
      <w:r>
        <w:t xml:space="preserve">hosts, or between one host and another species in the community. These</w:t>
      </w:r>
      <w:r>
        <w:t xml:space="preserve"> </w:t>
      </w:r>
      <w:r>
        <w:t xml:space="preserve">interactions can be</w:t>
      </w:r>
      <w:r>
        <w:t xml:space="preserve"> </w:t>
      </w:r>
      <w:r>
        <w:rPr>
          <w:b/>
          <w:bCs/>
        </w:rPr>
        <w:t xml:space="preserve">density-mediated</w:t>
      </w:r>
      <w:r>
        <w:t xml:space="preserve"> </w:t>
      </w:r>
      <w:r>
        <w:t xml:space="preserve">(parasite changes the</w:t>
      </w:r>
      <w:r>
        <w:t xml:space="preserve"> </w:t>
      </w:r>
      <w:r>
        <w:t xml:space="preserve">population density of the target host, benefiting the second species</w:t>
      </w:r>
      <w:r>
        <w:t xml:space="preserve"> </w:t>
      </w:r>
      <w:r>
        <w:t xml:space="preserve">indirectly) or</w:t>
      </w:r>
      <w:r>
        <w:t xml:space="preserve"> </w:t>
      </w:r>
      <w:r>
        <w:rPr>
          <w:b/>
          <w:bCs/>
        </w:rPr>
        <w:t xml:space="preserve">trait-mediated</w:t>
      </w:r>
      <w:r>
        <w:t xml:space="preserve"> </w:t>
      </w:r>
      <w:r>
        <w:t xml:space="preserve">(parasite changes behavior of its</w:t>
      </w:r>
      <w:r>
        <w:t xml:space="preserve"> </w:t>
      </w:r>
      <w:r>
        <w:t xml:space="preserve">host, which hurts or helps another species).</w:t>
      </w:r>
    </w:p>
    <w:p>
      <w:pPr>
        <w:numPr>
          <w:ilvl w:val="0"/>
          <w:numId w:val="1002"/>
        </w:numPr>
      </w:pPr>
      <w:r>
        <w:t xml:space="preserve">Direct effects between deer, moose, and parasite populations:</w:t>
      </w:r>
      <w:r>
        <w:br/>
      </w:r>
      <w:r>
        <w:drawing>
          <wp:inline>
            <wp:extent cx="2001914" cy="1371600"/>
            <wp:effectExtent b="0" l="0" r="0" t="0"/>
            <wp:docPr descr="image" title="" id="21" name="Picture"/>
            <a:graphic>
              <a:graphicData uri="http://schemas.openxmlformats.org/drawingml/2006/picture">
                <pic:pic>
                  <pic:nvPicPr>
                    <pic:cNvPr descr="pix/indir1.png" id="22" name="Picture"/>
                    <pic:cNvPicPr>
                      <a:picLocks noChangeArrowheads="1" noChangeAspect="1"/>
                    </pic:cNvPicPr>
                  </pic:nvPicPr>
                  <pic:blipFill>
                    <a:blip r:embed="rId20"/>
                    <a:stretch>
                      <a:fillRect/>
                    </a:stretch>
                  </pic:blipFill>
                  <pic:spPr bwMode="auto">
                    <a:xfrm>
                      <a:off x="0" y="0"/>
                      <a:ext cx="2001914" cy="1371600"/>
                    </a:xfrm>
                    <a:prstGeom prst="rect">
                      <a:avLst/>
                    </a:prstGeom>
                    <a:noFill/>
                    <a:ln w="9525">
                      <a:noFill/>
                      <a:headEnd/>
                      <a:tailEnd/>
                    </a:ln>
                  </pic:spPr>
                </pic:pic>
              </a:graphicData>
            </a:graphic>
          </wp:inline>
        </w:drawing>
      </w:r>
    </w:p>
    <w:p>
      <w:pPr>
        <w:numPr>
          <w:ilvl w:val="0"/>
          <w:numId w:val="1002"/>
        </w:numPr>
      </w:pPr>
      <w:r>
        <w:t xml:space="preserve">The indirect interactions:</w:t>
      </w:r>
      <w:r>
        <w:br/>
      </w:r>
      <w:r>
        <w:drawing>
          <wp:inline>
            <wp:extent cx="1982665" cy="1371600"/>
            <wp:effectExtent b="0" l="0" r="0" t="0"/>
            <wp:docPr descr="image" title="" id="24" name="Picture"/>
            <a:graphic>
              <a:graphicData uri="http://schemas.openxmlformats.org/drawingml/2006/picture">
                <pic:pic>
                  <pic:nvPicPr>
                    <pic:cNvPr descr="pix/indir2.png" id="25" name="Picture"/>
                    <pic:cNvPicPr>
                      <a:picLocks noChangeArrowheads="1" noChangeAspect="1"/>
                    </pic:cNvPicPr>
                  </pic:nvPicPr>
                  <pic:blipFill>
                    <a:blip r:embed="rId23"/>
                    <a:stretch>
                      <a:fillRect/>
                    </a:stretch>
                  </pic:blipFill>
                  <pic:spPr bwMode="auto">
                    <a:xfrm>
                      <a:off x="0" y="0"/>
                      <a:ext cx="1982665" cy="1371600"/>
                    </a:xfrm>
                    <a:prstGeom prst="rect">
                      <a:avLst/>
                    </a:prstGeom>
                    <a:noFill/>
                    <a:ln w="9525">
                      <a:noFill/>
                      <a:headEnd/>
                      <a:tailEnd/>
                    </a:ln>
                  </pic:spPr>
                </pic:pic>
              </a:graphicData>
            </a:graphic>
          </wp:inline>
        </w:drawing>
      </w:r>
    </w:p>
    <w:p>
      <w:pPr>
        <w:numPr>
          <w:ilvl w:val="0"/>
          <w:numId w:val="1002"/>
        </w:numPr>
      </w:pPr>
      <w:r>
        <w:t xml:space="preserve">Indirect effects: a parasite that changes the behavior of its host to</w:t>
      </w:r>
      <w:r>
        <w:t xml:space="preserve"> </w:t>
      </w:r>
      <w:r>
        <w:t xml:space="preserve">encourage trophic transmission:</w:t>
      </w:r>
      <w:r>
        <w:br/>
      </w:r>
      <w:r>
        <w:drawing>
          <wp:inline>
            <wp:extent cx="2053086" cy="1371600"/>
            <wp:effectExtent b="0" l="0" r="0" t="0"/>
            <wp:docPr descr="image" title="" id="27" name="Picture"/>
            <a:graphic>
              <a:graphicData uri="http://schemas.openxmlformats.org/drawingml/2006/picture">
                <pic:pic>
                  <pic:nvPicPr>
                    <pic:cNvPr descr="pix/indir3.png" id="28" name="Picture"/>
                    <pic:cNvPicPr>
                      <a:picLocks noChangeArrowheads="1" noChangeAspect="1"/>
                    </pic:cNvPicPr>
                  </pic:nvPicPr>
                  <pic:blipFill>
                    <a:blip r:embed="rId26"/>
                    <a:stretch>
                      <a:fillRect/>
                    </a:stretch>
                  </pic:blipFill>
                  <pic:spPr bwMode="auto">
                    <a:xfrm>
                      <a:off x="0" y="0"/>
                      <a:ext cx="2053086" cy="1371600"/>
                    </a:xfrm>
                    <a:prstGeom prst="rect">
                      <a:avLst/>
                    </a:prstGeom>
                    <a:noFill/>
                    <a:ln w="9525">
                      <a:noFill/>
                      <a:headEnd/>
                      <a:tailEnd/>
                    </a:ln>
                  </pic:spPr>
                </pic:pic>
              </a:graphicData>
            </a:graphic>
          </wp:inline>
        </w:drawing>
      </w:r>
    </w:p>
    <w:p>
      <w:pPr>
        <w:pStyle w:val="FirstParagraph"/>
      </w:pPr>
      <w:r>
        <w:t xml:space="preserve">K. D. Lafferty (2008)</w:t>
      </w:r>
    </w:p>
    <w:p>
      <w:pPr>
        <w:pStyle w:val="BodyText"/>
      </w:pPr>
      <w:r>
        <w:t xml:space="preserve">Costs and benefits of parasitism: individual-level vs. population-level</w:t>
      </w:r>
      <w:r>
        <w:t xml:space="preserve"> </w:t>
      </w:r>
      <w:r>
        <w:t xml:space="preserve">effects.</w:t>
      </w:r>
    </w:p>
    <w:bookmarkEnd w:id="29"/>
    <w:bookmarkStart w:id="30" w:name="Xffa10039c70be82f22dceb7ed38fc5e01c0955b"/>
    <w:p>
      <w:pPr>
        <w:pStyle w:val="Heading2"/>
      </w:pPr>
      <w:r>
        <w:t xml:space="preserve">Parasite-mediated coexistence</w:t>
      </w:r>
      <w:r>
        <w:t xml:space="preserve"> </w:t>
      </w:r>
      <w:r>
        <w:t xml:space="preserve">(Combes 1996)</w:t>
      </w:r>
    </w:p>
    <w:p>
      <w:pPr>
        <w:numPr>
          <w:ilvl w:val="0"/>
          <w:numId w:val="1003"/>
        </w:numPr>
      </w:pPr>
      <w:r>
        <w:rPr>
          <w:i/>
          <w:iCs/>
        </w:rPr>
        <w:t xml:space="preserve">Drosophila melanogaster</w:t>
      </w:r>
      <w:r>
        <w:t xml:space="preserve">,</w:t>
      </w:r>
      <w:r>
        <w:t xml:space="preserve"> </w:t>
      </w:r>
      <w:r>
        <w:rPr>
          <w:i/>
          <w:iCs/>
        </w:rPr>
        <w:t xml:space="preserve">D. simulans</w:t>
      </w:r>
      <w:r>
        <w:t xml:space="preserve">,</w:t>
      </w:r>
      <w:r>
        <w:t xml:space="preserve"> </w:t>
      </w:r>
      <w:r>
        <w:rPr>
          <w:i/>
          <w:iCs/>
        </w:rPr>
        <w:t xml:space="preserve">L. boulardi</w:t>
      </w:r>
      <w:r>
        <w:t xml:space="preserve"> </w:t>
      </w:r>
      <w:r>
        <w:t xml:space="preserve">(parasitoid</w:t>
      </w:r>
      <w:r>
        <w:t xml:space="preserve"> </w:t>
      </w:r>
      <w:r>
        <w:t xml:space="preserve">wasp): exclusion by</w:t>
      </w:r>
      <w:r>
        <w:t xml:space="preserve"> </w:t>
      </w:r>
      <w:r>
        <w:rPr>
          <w:i/>
          <w:iCs/>
        </w:rPr>
        <w:t xml:space="preserve">melanogaster</w:t>
      </w:r>
      <w:r>
        <w:t xml:space="preserve"> </w:t>
      </w:r>
      <w:r>
        <w:t xml:space="preserve">in absence of</w:t>
      </w:r>
      <w:r>
        <w:t xml:space="preserve"> </w:t>
      </w:r>
      <w:r>
        <w:rPr>
          <w:i/>
          <w:iCs/>
        </w:rPr>
        <w:t xml:space="preserve">boulardi</w:t>
      </w:r>
      <w:r>
        <w:t xml:space="preserve">;</w:t>
      </w:r>
      <w:r>
        <w:t xml:space="preserve"> </w:t>
      </w:r>
      <w:r>
        <w:t xml:space="preserve">coexistence in presence of</w:t>
      </w:r>
      <w:r>
        <w:t xml:space="preserve"> </w:t>
      </w:r>
      <w:r>
        <w:rPr>
          <w:i/>
          <w:iCs/>
        </w:rPr>
        <w:t xml:space="preserve">boulardi</w:t>
      </w:r>
      <w:r>
        <w:t xml:space="preserve">; exclusion by</w:t>
      </w:r>
      <w:r>
        <w:t xml:space="preserve"> </w:t>
      </w:r>
      <w:r>
        <w:rPr>
          <w:i/>
          <w:iCs/>
        </w:rPr>
        <w:t xml:space="preserve">simulans</w:t>
      </w:r>
      <w:r>
        <w:t xml:space="preserve"> </w:t>
      </w:r>
      <w:r>
        <w:t xml:space="preserve">at</w:t>
      </w:r>
      <w:r>
        <w:t xml:space="preserve"> </w:t>
      </w:r>
      <w:r>
        <w:t xml:space="preserve">lower temperature with</w:t>
      </w:r>
      <w:r>
        <w:t xml:space="preserve"> </w:t>
      </w:r>
      <w:r>
        <w:rPr>
          <w:i/>
          <w:iCs/>
        </w:rPr>
        <w:t xml:space="preserve">boulardi</w:t>
      </w:r>
      <w:r>
        <w:t xml:space="preserve"> </w:t>
      </w:r>
      <w:r>
        <w:t xml:space="preserve">(Combes 1996)</w:t>
      </w:r>
    </w:p>
    <w:p>
      <w:pPr>
        <w:numPr>
          <w:ilvl w:val="0"/>
          <w:numId w:val="1003"/>
        </w:numPr>
      </w:pPr>
      <w:r>
        <w:rPr>
          <w:i/>
          <w:iCs/>
        </w:rPr>
        <w:t xml:space="preserve">Tribolium castaneum</w:t>
      </w:r>
      <w:r>
        <w:t xml:space="preserve">,</w:t>
      </w:r>
      <w:r>
        <w:t xml:space="preserve"> </w:t>
      </w:r>
      <w:r>
        <w:rPr>
          <w:i/>
          <w:iCs/>
        </w:rPr>
        <w:t xml:space="preserve">T. confusum</w:t>
      </w:r>
      <w:r>
        <w:t xml:space="preserve"> </w:t>
      </w:r>
      <w:r>
        <w:t xml:space="preserve">(flour beetles),</w:t>
      </w:r>
      <w:r>
        <w:t xml:space="preserve"> </w:t>
      </w:r>
      <w:r>
        <w:rPr>
          <w:i/>
          <w:iCs/>
        </w:rPr>
        <w:t xml:space="preserve">Adelina</w:t>
      </w:r>
      <w:r>
        <w:rPr>
          <w:i/>
          <w:iCs/>
        </w:rPr>
        <w:t xml:space="preserve"> </w:t>
      </w:r>
      <w:r>
        <w:rPr>
          <w:i/>
          <w:iCs/>
        </w:rPr>
        <w:t xml:space="preserve">tribolii</w:t>
      </w:r>
      <w:r>
        <w:t xml:space="preserve"> </w:t>
      </w:r>
      <w:r>
        <w:t xml:space="preserve">(sporozoan parasite)</w:t>
      </w:r>
      <w:r>
        <w:t xml:space="preserve"> </w:t>
      </w:r>
      <w:r>
        <w:t xml:space="preserve">(Park 1948)</w:t>
      </w:r>
    </w:p>
    <w:bookmarkEnd w:id="30"/>
    <w:bookmarkStart w:id="31" w:name="parasite-mediated-invasion"/>
    <w:p>
      <w:pPr>
        <w:pStyle w:val="Heading2"/>
      </w:pPr>
      <w:r>
        <w:t xml:space="preserve">Parasite-mediated invasion</w:t>
      </w:r>
    </w:p>
    <w:p>
      <w:pPr>
        <w:pStyle w:val="Compact"/>
        <w:numPr>
          <w:ilvl w:val="0"/>
          <w:numId w:val="1004"/>
        </w:numPr>
      </w:pPr>
      <w:r>
        <w:t xml:space="preserve">human movement: helped invasion of Europeans to the New World, hindered invasion of Europeans to Africa</w:t>
      </w:r>
      <w:r>
        <w:t xml:space="preserve"> </w:t>
      </w:r>
      <w:r>
        <w:t xml:space="preserve">(Curtin 1990)</w:t>
      </w:r>
    </w:p>
    <w:p>
      <w:pPr>
        <w:pStyle w:val="Compact"/>
        <w:numPr>
          <w:ilvl w:val="0"/>
          <w:numId w:val="1004"/>
        </w:numPr>
      </w:pPr>
      <w:r>
        <w:t xml:space="preserve">introduced parasites: e.g. </w:t>
      </w:r>
      <w:r>
        <w:rPr>
          <w:i/>
          <w:iCs/>
        </w:rPr>
        <w:t xml:space="preserve">Acipenser stellatus</w:t>
      </w:r>
      <w:r>
        <w:t xml:space="preserve"> </w:t>
      </w:r>
      <w:r>
        <w:t xml:space="preserve">(from Caspian to Aral Sea) 1929-32, carried</w:t>
      </w:r>
      <w:r>
        <w:t xml:space="preserve"> </w:t>
      </w:r>
      <w:r>
        <w:rPr>
          <w:i/>
          <w:iCs/>
        </w:rPr>
        <w:t xml:space="preserve">Nitzchia sturionis</w:t>
      </w:r>
      <w:r>
        <w:t xml:space="preserve"> </w:t>
      </w:r>
      <w:r>
        <w:t xml:space="preserve">(gill monogenean), severely reduced populations of</w:t>
      </w:r>
      <w:r>
        <w:t xml:space="preserve"> </w:t>
      </w:r>
      <w:r>
        <w:rPr>
          <w:i/>
          <w:iCs/>
        </w:rPr>
        <w:t xml:space="preserve">A. nudiventris</w:t>
      </w:r>
    </w:p>
    <w:p>
      <w:pPr>
        <w:pStyle w:val="BlockText"/>
      </w:pPr>
      <w:r>
        <w:t xml:space="preserve">Mortalities of spiny sturgeon of the Aral Sea began in 1936. Dead and dying fish had large’numbers (up to 600) of N. sturionis, which had not been seen during a parasite examination in 1930, nor had fishermen seen the worm previously. No indications of other diseases or parasites were noted. Parasitization rates approached 100%. Gill pathology was extensive, leading to interference with gas exchange and mortality. The sturgeon fishery of the Aral Sea was reduced below commercial levels for 20 years, according to Ozmanov (1963).</w:t>
      </w:r>
      <w:r>
        <w:t xml:space="preserve"> </w:t>
      </w:r>
      <w:r>
        <w:t xml:space="preserve">(Sindermann 1987)</w:t>
      </w:r>
    </w:p>
    <w:p>
      <w:pPr>
        <w:pStyle w:val="Compact"/>
        <w:numPr>
          <w:ilvl w:val="0"/>
          <w:numId w:val="1005"/>
        </w:numPr>
      </w:pPr>
      <w:r>
        <w:t xml:space="preserve">Invasive species and the</w:t>
      </w:r>
      <w:r>
        <w:t xml:space="preserve"> </w:t>
      </w:r>
      <w:r>
        <w:rPr>
          <w:b/>
          <w:bCs/>
        </w:rPr>
        <w:t xml:space="preserve">natural enemy hypothesis</w:t>
      </w:r>
      <w:r>
        <w:t xml:space="preserve"> </w:t>
      </w:r>
      <w:r>
        <w:t xml:space="preserve">(green crabs:</w:t>
      </w:r>
      <w:r>
        <w:t xml:space="preserve"> </w:t>
      </w:r>
      <w:r>
        <w:t xml:space="preserve">Torchin, Lafferty, and Kuris (2001)</w:t>
      </w:r>
      <w:r>
        <w:t xml:space="preserve">)</w:t>
      </w:r>
    </w:p>
    <w:p>
      <w:pPr>
        <w:pStyle w:val="Compact"/>
        <w:numPr>
          <w:ilvl w:val="0"/>
          <w:numId w:val="1005"/>
        </w:numPr>
      </w:pPr>
      <w:r>
        <w:t xml:space="preserve">lots more examples:</w:t>
      </w:r>
      <w:r>
        <w:t xml:space="preserve"> </w:t>
      </w:r>
      <w:r>
        <w:t xml:space="preserve">Strauss, White, and Boots (2012)</w:t>
      </w:r>
      <w:r>
        <w:t xml:space="preserve">]</w:t>
      </w:r>
    </w:p>
    <w:bookmarkEnd w:id="31"/>
    <w:bookmarkStart w:id="35" w:name="parasite-mediated-resistance-to-invasion"/>
    <w:p>
      <w:pPr>
        <w:pStyle w:val="Heading2"/>
      </w:pPr>
      <w:r>
        <w:t xml:space="preserve">Parasite-mediated resistance to invasion</w:t>
      </w:r>
    </w:p>
    <w:p>
      <w:pPr>
        <w:pStyle w:val="Compact"/>
        <w:numPr>
          <w:ilvl w:val="0"/>
          <w:numId w:val="1006"/>
        </w:numPr>
      </w:pPr>
      <w:r>
        <w:rPr>
          <w:i/>
          <w:iCs/>
        </w:rPr>
        <w:t xml:space="preserve">Parelaphostrongylus tenuis</w:t>
      </w:r>
      <w:r>
        <w:t xml:space="preserve"> </w:t>
      </w:r>
      <w:r>
        <w:t xml:space="preserve">(meningeal worm): kills moose (</w:t>
      </w:r>
      <w:r>
        <w:rPr>
          <w:i/>
          <w:iCs/>
        </w:rPr>
        <w:t xml:space="preserve">Alces alces</w:t>
      </w:r>
      <w:r>
        <w:t xml:space="preserve">) and caribou (</w:t>
      </w:r>
      <w:r>
        <w:rPr>
          <w:i/>
          <w:iCs/>
        </w:rPr>
        <w:t xml:space="preserve">Rangifer tarandus</w:t>
      </w:r>
      <w:r>
        <w:t xml:space="preserve">) in clinical infections (brain pathology), doesn’t kill white-tailed deer. Moose density inversely correlated with density of</w:t>
      </w:r>
      <w:r>
        <w:t xml:space="preserve"> </w:t>
      </w:r>
      <w:r>
        <w:rPr>
          <w:i/>
          <w:iCs/>
        </w:rPr>
        <w:t xml:space="preserve">P. tenuis</w:t>
      </w:r>
      <w:r>
        <w:t xml:space="preserve"> </w:t>
      </w:r>
      <w:r>
        <w:t xml:space="preserve">eggs in deer feces.</w:t>
      </w:r>
    </w:p>
    <w:p>
      <w:pPr>
        <w:pStyle w:val="FirstParagraph"/>
      </w:pPr>
      <w:r>
        <w:rPr>
          <w:i/>
          <w:iCs/>
        </w:rPr>
        <w:t xml:space="preserve">P. tenuis</w:t>
      </w:r>
      <w:r>
        <w:t xml:space="preserve"> </w:t>
      </w:r>
      <w:r>
        <w:t xml:space="preserve">has a two-host life cycle, from gastropods which are eaten</w:t>
      </w:r>
      <w:r>
        <w:t xml:space="preserve"> </w:t>
      </w:r>
      <w:r>
        <w:t xml:space="preserve">accidentally by grazing ungulates and back again (via excreted eggs</w:t>
      </w:r>
      <w:r>
        <w:t xml:space="preserve"> </w:t>
      </w:r>
      <w:r>
        <w:t xml:space="preserve">which hatch into larvae and bore into the gastropods when they crawl</w:t>
      </w:r>
      <w:r>
        <w:t xml:space="preserve"> </w:t>
      </w:r>
      <w:r>
        <w:t xml:space="preserve">over the larvae).</w:t>
      </w:r>
    </w:p>
    <w:p>
      <w:pPr>
        <w:pStyle w:val="BodyText"/>
      </w:pPr>
      <w:r>
        <w:t xml:space="preserve">In the absence of the worm, moose can outcompete white-tailed deer for</w:t>
      </w:r>
      <w:r>
        <w:t xml:space="preserve"> </w:t>
      </w:r>
      <w:r>
        <w:t xml:space="preserve">forage. Has</w:t>
      </w:r>
      <w:r>
        <w:t xml:space="preserve"> </w:t>
      </w:r>
      <w:r>
        <w:rPr>
          <w:i/>
          <w:iCs/>
        </w:rPr>
        <w:t xml:space="preserve">P. tenuis</w:t>
      </w:r>
      <w:r>
        <w:t xml:space="preserve"> </w:t>
      </w:r>
      <w:r>
        <w:t xml:space="preserve">has caused the rise of deer and the decline of</w:t>
      </w:r>
      <w:r>
        <w:t xml:space="preserve"> </w:t>
      </w:r>
      <w:r>
        <w:t xml:space="preserve">moose in the southern boreal forest? Do deer and</w:t>
      </w:r>
      <w:r>
        <w:t xml:space="preserve"> </w:t>
      </w:r>
      <w:r>
        <w:rPr>
          <w:i/>
          <w:iCs/>
        </w:rPr>
        <w:t xml:space="preserve">P. tenuis</w:t>
      </w:r>
      <w:r>
        <w:t xml:space="preserve"> </w:t>
      </w:r>
      <w:r>
        <w:t xml:space="preserve">prevent the</w:t>
      </w:r>
      <w:r>
        <w:t xml:space="preserve"> </w:t>
      </w:r>
      <w:r>
        <w:t xml:space="preserve">reintroduction of moose?</w:t>
      </w:r>
    </w:p>
    <w:p>
      <w:pPr>
        <w:pStyle w:val="BodyText"/>
      </w:pPr>
      <w:r>
        <w:t xml:space="preserve">Schmitz and Nudds (1994)</w:t>
      </w:r>
      <w:r>
        <w:t xml:space="preserve">: macroparasite model with two possible definitive</w:t>
      </w:r>
      <w:r>
        <w:t xml:space="preserve"> </w:t>
      </w:r>
      <w:r>
        <w:t xml:space="preserve">hosts, moose and deer, which also compete with each other.</w:t>
      </w:r>
      <w:r>
        <w:t xml:space="preserve"> </w:t>
      </w:r>
      <w:r>
        <w:rPr>
          <w:i/>
          <w:iCs/>
        </w:rPr>
        <w:t xml:space="preserve">P. tenuis</w:t>
      </w:r>
      <w:r>
        <w:t xml:space="preserve"> </w:t>
      </w:r>
      <w:r>
        <w:t xml:space="preserve">kills moose, no effect on deer. Model suggests that (depending on</w:t>
      </w:r>
      <w:r>
        <w:t xml:space="preserve"> </w:t>
      </w:r>
      <w:r>
        <w:t xml:space="preserve">parameters that we don’t know), moose could outcompete deer, be</w:t>
      </w:r>
      <w:r>
        <w:t xml:space="preserve"> </w:t>
      </w:r>
      <w:r>
        <w:t xml:space="preserve">outcompeted by deer, or coexist even in the presence of deer and</w:t>
      </w:r>
      <w:r>
        <w:t xml:space="preserve"> </w:t>
      </w:r>
      <w:r>
        <w:rPr>
          <w:i/>
          <w:iCs/>
        </w:rPr>
        <w:t xml:space="preserve">P.</w:t>
      </w:r>
      <w:r>
        <w:rPr>
          <w:i/>
          <w:iCs/>
        </w:rPr>
        <w:t xml:space="preserve"> </w:t>
      </w:r>
      <w:r>
        <w:rPr>
          <w:i/>
          <w:iCs/>
        </w:rPr>
        <w:t xml:space="preserve">tenuis</w:t>
      </w:r>
      <w:r>
        <w:t xml:space="preserve">.</w:t>
      </w:r>
    </w:p>
    <w:p>
      <w:pPr>
        <w:pStyle w:val="Compact"/>
        <w:numPr>
          <w:ilvl w:val="0"/>
          <w:numId w:val="1007"/>
        </w:numPr>
      </w:pPr>
      <w:r>
        <w:t xml:space="preserve">just because a parasite kills a host in a clinical setting doesn’t</w:t>
      </w:r>
      <w:r>
        <w:t xml:space="preserve"> </w:t>
      </w:r>
      <w:r>
        <w:t xml:space="preserve">mean that the parasite will necessary reduce host population</w:t>
      </w:r>
      <w:r>
        <w:t xml:space="preserve"> </w:t>
      </w:r>
      <w:r>
        <w:t xml:space="preserve">significantly</w:t>
      </w:r>
    </w:p>
    <w:p>
      <w:pPr>
        <w:pStyle w:val="Compact"/>
        <w:numPr>
          <w:ilvl w:val="0"/>
          <w:numId w:val="1007"/>
        </w:numPr>
      </w:pPr>
      <w:r>
        <w:t xml:space="preserve">model identifies sensitive parameters:</w:t>
      </w:r>
    </w:p>
    <w:p>
      <w:pPr>
        <w:pStyle w:val="Compact"/>
        <w:numPr>
          <w:ilvl w:val="1"/>
          <w:numId w:val="1008"/>
        </w:numPr>
      </w:pPr>
      <w:r>
        <w:t xml:space="preserve">growth rate of intermediate hosts (gastropods)</w:t>
      </w:r>
    </w:p>
    <w:p>
      <w:pPr>
        <w:pStyle w:val="Compact"/>
        <w:numPr>
          <w:ilvl w:val="1"/>
          <w:numId w:val="1008"/>
        </w:numPr>
      </w:pPr>
      <w:r>
        <w:t xml:space="preserve">competitive interaction between moose and deer</w:t>
      </w:r>
    </w:p>
    <w:p>
      <w:pPr>
        <w:pStyle w:val="Compact"/>
        <w:numPr>
          <w:ilvl w:val="1"/>
          <w:numId w:val="1008"/>
        </w:numPr>
      </w:pPr>
      <w:r>
        <w:t xml:space="preserve">death rate of moose from parasites</w:t>
      </w:r>
    </w:p>
    <w:p>
      <w:pPr>
        <w:pStyle w:val="FirstParagraph"/>
      </w:pPr>
      <w:r>
        <w:drawing>
          <wp:inline>
            <wp:extent cx="5334000" cy="4407307"/>
            <wp:effectExtent b="0" l="0" r="0" t="0"/>
            <wp:docPr descr="" title="" id="33" name="Picture"/>
            <a:graphic>
              <a:graphicData uri="http://schemas.openxmlformats.org/drawingml/2006/picture">
                <pic:pic>
                  <pic:nvPicPr>
                    <pic:cNvPr descr="pix/brainworm.png" id="34" name="Picture"/>
                    <pic:cNvPicPr>
                      <a:picLocks noChangeArrowheads="1" noChangeAspect="1"/>
                    </pic:cNvPicPr>
                  </pic:nvPicPr>
                  <pic:blipFill>
                    <a:blip r:embed="rId32"/>
                    <a:stretch>
                      <a:fillRect/>
                    </a:stretch>
                  </pic:blipFill>
                  <pic:spPr bwMode="auto">
                    <a:xfrm>
                      <a:off x="0" y="0"/>
                      <a:ext cx="5334000" cy="4407307"/>
                    </a:xfrm>
                    <a:prstGeom prst="rect">
                      <a:avLst/>
                    </a:prstGeom>
                    <a:noFill/>
                    <a:ln w="9525">
                      <a:noFill/>
                      <a:headEnd/>
                      <a:tailEnd/>
                    </a:ln>
                  </pic:spPr>
                </pic:pic>
              </a:graphicData>
            </a:graphic>
          </wp:inline>
        </w:drawing>
      </w:r>
    </w:p>
    <w:p>
      <w:pPr>
        <w:pStyle w:val="BodyText"/>
      </w:pPr>
      <w:r>
        <w:t xml:space="preserve">Oliveira-Santos et al. (2021)</w:t>
      </w:r>
    </w:p>
    <w:bookmarkEnd w:id="35"/>
    <w:bookmarkStart w:id="36" w:name="trophic-cascades-and-apparent-mutualism"/>
    <w:p>
      <w:pPr>
        <w:pStyle w:val="Heading2"/>
      </w:pPr>
      <w:r>
        <w:t xml:space="preserve">Trophic cascades and apparent mutualism</w:t>
      </w:r>
    </w:p>
    <w:p>
      <w:pPr>
        <w:pStyle w:val="Compact"/>
        <w:numPr>
          <w:ilvl w:val="0"/>
          <w:numId w:val="1009"/>
        </w:numPr>
      </w:pPr>
      <w:r>
        <w:rPr>
          <w:b/>
          <w:bCs/>
        </w:rPr>
        <w:t xml:space="preserve">Trophic cascades</w:t>
      </w:r>
      <w:r>
        <w:t xml:space="preserve">: alternating changes in density at odd vs. even a</w:t>
      </w:r>
      <w:r>
        <w:t xml:space="preserve"> </w:t>
      </w:r>
      <w:r>
        <w:t xml:space="preserve">food chain (prey decrease, prey’s prey increase, etc.). Can parasites be</w:t>
      </w:r>
      <w:r>
        <w:t xml:space="preserve"> </w:t>
      </w:r>
      <w:r>
        <w:t xml:space="preserve">“top predators”</w:t>
      </w:r>
      <w:r>
        <w:t xml:space="preserve"> </w:t>
      </w:r>
      <w:r>
        <w:t xml:space="preserve">in these cases?</w:t>
      </w:r>
    </w:p>
    <w:p>
      <w:pPr>
        <w:pStyle w:val="Compact"/>
        <w:numPr>
          <w:ilvl w:val="0"/>
          <w:numId w:val="1009"/>
        </w:numPr>
      </w:pPr>
      <w:r>
        <w:t xml:space="preserve">Cestodes/killifish/seabirds: whether this helps or hurts the predator</w:t>
      </w:r>
      <w:r>
        <w:t xml:space="preserve"> </w:t>
      </w:r>
      <w:r>
        <w:t xml:space="preserve">(individual or population) depends on level of parasitism, costs,</w:t>
      </w:r>
      <w:r>
        <w:t xml:space="preserve"> </w:t>
      </w:r>
      <w:r>
        <w:t xml:space="preserve">benefits. Predator population size might be max. with no parasites, but</w:t>
      </w:r>
      <w:r>
        <w:t xml:space="preserve"> </w:t>
      </w:r>
      <w:r>
        <w:t xml:space="preserve">individual decisions (presumably) maximize individual fitness.</w:t>
      </w:r>
    </w:p>
    <w:p>
      <w:pPr>
        <w:pStyle w:val="Compact"/>
        <w:numPr>
          <w:ilvl w:val="0"/>
          <w:numId w:val="1009"/>
        </w:numPr>
      </w:pPr>
      <w:r>
        <w:t xml:space="preserve">Toxoplasma-induced bottom-up trophic cascades (??):</w:t>
      </w:r>
      <w:r>
        <w:t xml:space="preserve"> </w:t>
      </w:r>
      <w:r>
        <w:t xml:space="preserve">Skorping and Högstedt (2001)</w:t>
      </w:r>
      <w:r>
        <w:t xml:space="preserve">/</w:t>
      </w:r>
      <w:r>
        <w:t xml:space="preserve">Pusenius and Ostfeld (2000)</w:t>
      </w:r>
      <w:r>
        <w:t xml:space="preserve">:</w:t>
      </w:r>
      <w:r>
        <w:t xml:space="preserve"> </w:t>
      </w:r>
      <w:r>
        <w:rPr>
          <w:i/>
          <w:iCs/>
        </w:rPr>
        <w:t xml:space="preserve">more</w:t>
      </w:r>
      <w:r>
        <w:t xml:space="preserve"> </w:t>
      </w:r>
      <w:r>
        <w:t xml:space="preserve">seeds eaten in the presence of stoats than in their absence!)</w:t>
      </w:r>
    </w:p>
    <w:p>
      <w:pPr>
        <w:pStyle w:val="Compact"/>
        <w:numPr>
          <w:ilvl w:val="0"/>
          <w:numId w:val="1009"/>
        </w:numPr>
      </w:pPr>
      <w:r>
        <w:t xml:space="preserve">Increased flow through food webs, ecosystem efficiency?</w:t>
      </w:r>
    </w:p>
    <w:bookmarkEnd w:id="36"/>
    <w:bookmarkStart w:id="37" w:name="ecosystem-engineering"/>
    <w:p>
      <w:pPr>
        <w:pStyle w:val="Heading2"/>
      </w:pPr>
      <w:r>
        <w:t xml:space="preserve">ecosystem engineering</w:t>
      </w:r>
    </w:p>
    <w:p>
      <w:pPr>
        <w:pStyle w:val="Compact"/>
        <w:numPr>
          <w:ilvl w:val="0"/>
          <w:numId w:val="1010"/>
        </w:numPr>
      </w:pPr>
      <w:r>
        <w:t xml:space="preserve">Parasitized cockles</w:t>
      </w:r>
      <w:r>
        <w:t xml:space="preserve"> </w:t>
      </w:r>
      <w:r>
        <w:t xml:space="preserve">(F. Thomas and Poulin 1998; Frédéric Thomas et al. 1999)</w:t>
      </w:r>
      <w:r>
        <w:t xml:space="preserve">: changed bioturbation (stirring), presence of hard surface has various impacts on community structure. Changes habitat for other species;</w:t>
      </w:r>
      <w:r>
        <w:t xml:space="preserve"> </w:t>
      </w:r>
      <w:r>
        <w:t xml:space="preserve">“arrows”</w:t>
      </w:r>
      <w:r>
        <w:t xml:space="preserve"> </w:t>
      </w:r>
      <w:r>
        <w:t xml:space="preserve">(influence of one species on another) mediated through the environment.</w:t>
      </w:r>
    </w:p>
    <w:bookmarkEnd w:id="37"/>
    <w:bookmarkStart w:id="44" w:name="large-scale-community-structure"/>
    <w:p>
      <w:pPr>
        <w:pStyle w:val="Heading2"/>
      </w:pPr>
      <w:r>
        <w:t xml:space="preserve">Large-scale community structure</w:t>
      </w:r>
    </w:p>
    <w:p>
      <w:pPr>
        <w:pStyle w:val="Compact"/>
        <w:numPr>
          <w:ilvl w:val="0"/>
          <w:numId w:val="1011"/>
        </w:numPr>
      </w:pPr>
      <w:r>
        <w:t xml:space="preserve">rinderpest</w:t>
      </w:r>
      <w:r>
        <w:t xml:space="preserve"> </w:t>
      </w:r>
      <m:oMath>
        <m:r>
          <m:rPr>
            <m:sty m:val="p"/>
          </m:rPr>
          <m:t>→</m:t>
        </m:r>
      </m:oMath>
      <w:r>
        <w:t xml:space="preserve"> </w:t>
      </w:r>
      <w:r>
        <w:t xml:space="preserve">ungulates</w:t>
      </w:r>
      <w:r>
        <w:t xml:space="preserve"> </w:t>
      </w:r>
      <m:oMath>
        <m:r>
          <m:rPr>
            <m:sty m:val="p"/>
          </m:rPr>
          <m:t>→</m:t>
        </m:r>
      </m:oMath>
      <w:r>
        <w:t xml:space="preserve"> </w:t>
      </w:r>
      <w:r>
        <w:t xml:space="preserve">grass</w:t>
      </w:r>
      <w:r>
        <w:t xml:space="preserve"> </w:t>
      </w:r>
      <m:oMath>
        <m:r>
          <m:rPr>
            <m:sty m:val="p"/>
          </m:rPr>
          <m:t>→</m:t>
        </m:r>
      </m:oMath>
      <w:r>
        <w:t xml:space="preserve"> </w:t>
      </w:r>
      <w:r>
        <w:t xml:space="preserve">brushy vegetation</w:t>
      </w:r>
      <w:r>
        <w:t xml:space="preserve"> </w:t>
      </w:r>
      <m:oMath>
        <m:r>
          <m:rPr>
            <m:sty m:val="p"/>
          </m:rPr>
          <m:t>→</m:t>
        </m:r>
      </m:oMath>
      <w:r>
        <w:t xml:space="preserve"> </w:t>
      </w:r>
      <w:r>
        <w:t xml:space="preserve">tsetse flies</w:t>
      </w:r>
      <w:r>
        <w:t xml:space="preserve"> </w:t>
      </w:r>
      <m:oMath>
        <m:r>
          <m:rPr>
            <m:sty m:val="p"/>
          </m:rPr>
          <m:t>→</m:t>
        </m:r>
      </m:oMath>
      <w:r>
        <w:t xml:space="preserve"> </w:t>
      </w:r>
      <w:r>
        <w:t xml:space="preserve">trypanosomiasis: keeps out livestock, horses (and hence humans, or at least Europeans)</w:t>
      </w:r>
      <w:r>
        <w:t xml:space="preserve"> </w:t>
      </w:r>
      <w:r>
        <w:t xml:space="preserve">(Pearce 2000; Dublin 1986)</w:t>
      </w:r>
    </w:p>
    <w:p>
      <w:pPr>
        <w:pStyle w:val="FirstParagraph"/>
      </w:pPr>
      <w:r>
        <w:drawing>
          <wp:inline>
            <wp:extent cx="5334000" cy="3086380"/>
            <wp:effectExtent b="0" l="0" r="0" t="0"/>
            <wp:docPr descr="" title="" id="39" name="Picture"/>
            <a:graphic>
              <a:graphicData uri="http://schemas.openxmlformats.org/drawingml/2006/picture">
                <pic:pic>
                  <pic:nvPicPr>
                    <pic:cNvPr descr="pix/trypan.jpg" id="40" name="Picture"/>
                    <pic:cNvPicPr>
                      <a:picLocks noChangeArrowheads="1" noChangeAspect="1"/>
                    </pic:cNvPicPr>
                  </pic:nvPicPr>
                  <pic:blipFill>
                    <a:blip r:embed="rId38"/>
                    <a:stretch>
                      <a:fillRect/>
                    </a:stretch>
                  </pic:blipFill>
                  <pic:spPr bwMode="auto">
                    <a:xfrm>
                      <a:off x="0" y="0"/>
                      <a:ext cx="5334000" cy="3086380"/>
                    </a:xfrm>
                    <a:prstGeom prst="rect">
                      <a:avLst/>
                    </a:prstGeom>
                    <a:noFill/>
                    <a:ln w="9525">
                      <a:noFill/>
                      <a:headEnd/>
                      <a:tailEnd/>
                    </a:ln>
                  </pic:spPr>
                </pic:pic>
              </a:graphicData>
            </a:graphic>
          </wp:inline>
        </w:drawing>
      </w:r>
    </w:p>
    <w:p>
      <w:pPr>
        <w:pStyle w:val="BodyText"/>
      </w:pPr>
      <w:r>
        <w:t xml:space="preserve">Van den Bossche et al. (2010)</w:t>
      </w:r>
    </w:p>
    <w:p>
      <w:pPr>
        <w:pStyle w:val="Compact"/>
        <w:numPr>
          <w:ilvl w:val="0"/>
          <w:numId w:val="1012"/>
        </w:numPr>
      </w:pPr>
      <w:r>
        <w:t xml:space="preserve">Serengeti</w:t>
      </w:r>
    </w:p>
    <w:p>
      <w:pPr>
        <w:pStyle w:val="Compact"/>
        <w:numPr>
          <w:ilvl w:val="1"/>
          <w:numId w:val="1013"/>
        </w:numPr>
      </w:pPr>
      <w:r>
        <w:t xml:space="preserve">rinderpest, ungulates, vegetation, trypanosome interaction</w:t>
      </w:r>
      <w:r>
        <w:t xml:space="preserve"> </w:t>
      </w:r>
      <w:r>
        <w:t xml:space="preserve">(Pearce 2000)</w:t>
      </w:r>
    </w:p>
    <w:p>
      <w:pPr>
        <w:pStyle w:val="Compact"/>
        <w:numPr>
          <w:ilvl w:val="1"/>
          <w:numId w:val="1013"/>
        </w:numPr>
      </w:pPr>
      <w:r>
        <w:t xml:space="preserve">Holdo et al. (2009)</w:t>
      </w:r>
      <w:r>
        <w:t xml:space="preserve">: effects of rinderpest on fire frequency and carbon storage</w:t>
      </w:r>
    </w:p>
    <w:p>
      <w:pPr>
        <w:pStyle w:val="FirstParagraph"/>
      </w:pPr>
      <w:r>
        <w:drawing>
          <wp:inline>
            <wp:extent cx="4495800" cy="3390900"/>
            <wp:effectExtent b="0" l="0" r="0" t="0"/>
            <wp:docPr descr="" title="" id="42" name="Picture"/>
            <a:graphic>
              <a:graphicData uri="http://schemas.openxmlformats.org/drawingml/2006/picture">
                <pic:pic>
                  <pic:nvPicPr>
                    <pic:cNvPr descr="pix/holdo_graph.png" id="43" name="Picture"/>
                    <pic:cNvPicPr>
                      <a:picLocks noChangeArrowheads="1" noChangeAspect="1"/>
                    </pic:cNvPicPr>
                  </pic:nvPicPr>
                  <pic:blipFill>
                    <a:blip r:embed="rId41"/>
                    <a:stretch>
                      <a:fillRect/>
                    </a:stretch>
                  </pic:blipFill>
                  <pic:spPr bwMode="auto">
                    <a:xfrm>
                      <a:off x="0" y="0"/>
                      <a:ext cx="4495800" cy="3390900"/>
                    </a:xfrm>
                    <a:prstGeom prst="rect">
                      <a:avLst/>
                    </a:prstGeom>
                    <a:noFill/>
                    <a:ln w="9525">
                      <a:noFill/>
                      <a:headEnd/>
                      <a:tailEnd/>
                    </a:ln>
                  </pic:spPr>
                </pic:pic>
              </a:graphicData>
            </a:graphic>
          </wp:inline>
        </w:drawing>
      </w:r>
    </w:p>
    <w:p>
      <w:pPr>
        <w:pStyle w:val="Compact"/>
        <w:numPr>
          <w:ilvl w:val="0"/>
          <w:numId w:val="1014"/>
        </w:numPr>
      </w:pPr>
      <w:r>
        <w:t xml:space="preserve">Chestnut blight (hypovirulence, fungal superparasites)</w:t>
      </w:r>
    </w:p>
    <w:p>
      <w:pPr>
        <w:pStyle w:val="Compact"/>
        <w:numPr>
          <w:ilvl w:val="0"/>
          <w:numId w:val="1014"/>
        </w:numPr>
      </w:pPr>
      <w:r>
        <w:t xml:space="preserve">Cascading effects of myxomatosis in Australia and Britain</w:t>
      </w:r>
      <w:r>
        <w:t xml:space="preserve"> </w:t>
      </w:r>
      <w:r>
        <w:t xml:space="preserve">(Sumption and Flowerdew 1985)</w:t>
      </w:r>
    </w:p>
    <w:p>
      <w:pPr>
        <w:pStyle w:val="Compact"/>
        <w:numPr>
          <w:ilvl w:val="1"/>
          <w:numId w:val="1015"/>
        </w:numPr>
      </w:pPr>
      <w:r>
        <w:t xml:space="preserve">Britain: post 1954-55, increased woodland regeneration and increased grassland and cereal production</w:t>
      </w:r>
      <w:r>
        <w:t xml:space="preserve"> </w:t>
      </w:r>
      <w:r>
        <w:t xml:space="preserve">- increase in many inverts, voles, but some species of insects declined (Large Blue Butterfly,</w:t>
      </w:r>
      <w:r>
        <w:t xml:space="preserve"> </w:t>
      </w:r>
      <w:r>
        <w:rPr>
          <w:i/>
          <w:iCs/>
        </w:rPr>
        <w:t xml:space="preserve">Maculinea arion</w:t>
      </w:r>
      <w:r>
        <w:t xml:space="preserve">, went extinct because of missing red ant species)</w:t>
      </w:r>
      <w:r>
        <w:t xml:space="preserve"> </w:t>
      </w:r>
      <w:r>
        <w:t xml:space="preserve">- predator populations dropped immediately, but generalists recovered</w:t>
      </w:r>
      <w:r>
        <w:t xml:space="preserve"> </w:t>
      </w:r>
      <w:r>
        <w:t xml:space="preserve">- other rabbit parasites declined</w:t>
      </w:r>
    </w:p>
    <w:bookmarkEnd w:id="44"/>
    <w:bookmarkStart w:id="51" w:name="community-effects-on-parasites"/>
    <w:p>
      <w:pPr>
        <w:pStyle w:val="Heading2"/>
      </w:pPr>
      <w:r>
        <w:t xml:space="preserve">Community effects on parasites</w:t>
      </w:r>
    </w:p>
    <w:p>
      <w:pPr>
        <w:pStyle w:val="Compact"/>
        <w:numPr>
          <w:ilvl w:val="0"/>
          <w:numId w:val="1016"/>
        </w:numPr>
      </w:pPr>
      <w:r>
        <w:t xml:space="preserve">“Keeping the herds healthy”</w:t>
      </w:r>
      <w:r>
        <w:t xml:space="preserve">: when is predator removal bad for hosts?</w:t>
      </w:r>
    </w:p>
    <w:p>
      <w:pPr>
        <w:pStyle w:val="Compact"/>
        <w:numPr>
          <w:ilvl w:val="0"/>
          <w:numId w:val="1016"/>
        </w:numPr>
      </w:pPr>
      <w:r>
        <w:t xml:space="preserve">Packer et al. (2003)</w:t>
      </w:r>
      <w:r>
        <w:t xml:space="preserve">,</w:t>
      </w:r>
      <w:r>
        <w:t xml:space="preserve"> </w:t>
      </w:r>
      <w:r>
        <w:t xml:space="preserve">Kevin D. Lafferty (2004)</w:t>
      </w:r>
    </w:p>
    <w:p>
      <w:pPr>
        <w:pStyle w:val="Compact"/>
        <w:numPr>
          <w:ilvl w:val="0"/>
          <w:numId w:val="1016"/>
        </w:numPr>
      </w:pPr>
      <w:r>
        <w:t xml:space="preserve">competing effects</w:t>
      </w:r>
    </w:p>
    <w:p>
      <w:pPr>
        <w:pStyle w:val="Compact"/>
        <w:numPr>
          <w:ilvl w:val="1"/>
          <w:numId w:val="1017"/>
        </w:numPr>
      </w:pPr>
      <w:r>
        <w:t xml:space="preserve">kill infected individuals, reduce density</w:t>
      </w:r>
    </w:p>
    <w:p>
      <w:pPr>
        <w:pStyle w:val="Compact"/>
        <w:numPr>
          <w:ilvl w:val="1"/>
          <w:numId w:val="1017"/>
        </w:numPr>
      </w:pPr>
      <w:r>
        <w:rPr>
          <w:i/>
          <w:iCs/>
        </w:rPr>
        <w:t xml:space="preserve">inverse</w:t>
      </w:r>
      <w:r>
        <w:t xml:space="preserve"> </w:t>
      </w:r>
      <w:r>
        <w:t xml:space="preserve">density dependence (e.g. vector-borne transmission)?</w:t>
      </w:r>
    </w:p>
    <w:p>
      <w:pPr>
        <w:pStyle w:val="BlockText"/>
      </w:pPr>
      <w:r>
        <w:t xml:space="preserve">In general, predator removal is more likely to be harmful [i.e. increase parasitism] when the parasite is highly virulent, macroparasites are highly aggregated in their prey, hosts are long-lived and the predators select infected prey</w:t>
      </w:r>
    </w:p>
    <w:p>
      <w:pPr>
        <w:pStyle w:val="Compact"/>
        <w:numPr>
          <w:ilvl w:val="0"/>
          <w:numId w:val="1018"/>
        </w:numPr>
      </w:pPr>
      <w:r>
        <w:t xml:space="preserve">Richards, Drake, and Ezenwa (2021)</w:t>
      </w:r>
    </w:p>
    <w:p>
      <w:pPr>
        <w:pStyle w:val="FirstParagraph"/>
      </w:pPr>
      <w:r>
        <w:drawing>
          <wp:inline>
            <wp:extent cx="5334000" cy="2450529"/>
            <wp:effectExtent b="0" l="0" r="0" t="0"/>
            <wp:docPr descr="" title="" id="46" name="Picture"/>
            <a:graphic>
              <a:graphicData uri="http://schemas.openxmlformats.org/drawingml/2006/picture">
                <pic:pic>
                  <pic:nvPicPr>
                    <pic:cNvPr descr="pix/richards_2021_fig1.png" id="47" name="Picture"/>
                    <pic:cNvPicPr>
                      <a:picLocks noChangeArrowheads="1" noChangeAspect="1"/>
                    </pic:cNvPicPr>
                  </pic:nvPicPr>
                  <pic:blipFill>
                    <a:blip r:embed="rId45"/>
                    <a:stretch>
                      <a:fillRect/>
                    </a:stretch>
                  </pic:blipFill>
                  <pic:spPr bwMode="auto">
                    <a:xfrm>
                      <a:off x="0" y="0"/>
                      <a:ext cx="5334000" cy="2450529"/>
                    </a:xfrm>
                    <a:prstGeom prst="rect">
                      <a:avLst/>
                    </a:prstGeom>
                    <a:noFill/>
                    <a:ln w="9525">
                      <a:noFill/>
                      <a:headEnd/>
                      <a:tailEnd/>
                    </a:ln>
                  </pic:spPr>
                </pic:pic>
              </a:graphicData>
            </a:graphic>
          </wp:inline>
        </w:drawing>
      </w:r>
    </w:p>
    <w:p>
      <w:pPr>
        <w:pStyle w:val="BodyText"/>
      </w:pPr>
      <w:r>
        <w:drawing>
          <wp:inline>
            <wp:extent cx="5334000" cy="3733377"/>
            <wp:effectExtent b="0" l="0" r="0" t="0"/>
            <wp:docPr descr="" title="" id="49" name="Picture"/>
            <a:graphic>
              <a:graphicData uri="http://schemas.openxmlformats.org/drawingml/2006/picture">
                <pic:pic>
                  <pic:nvPicPr>
                    <pic:cNvPr descr="pix/richards_2021_fig2.png" id="50" name="Picture"/>
                    <pic:cNvPicPr>
                      <a:picLocks noChangeArrowheads="1" noChangeAspect="1"/>
                    </pic:cNvPicPr>
                  </pic:nvPicPr>
                  <pic:blipFill>
                    <a:blip r:embed="rId48"/>
                    <a:stretch>
                      <a:fillRect/>
                    </a:stretch>
                  </pic:blipFill>
                  <pic:spPr bwMode="auto">
                    <a:xfrm>
                      <a:off x="0" y="0"/>
                      <a:ext cx="5334000" cy="3733377"/>
                    </a:xfrm>
                    <a:prstGeom prst="rect">
                      <a:avLst/>
                    </a:prstGeom>
                    <a:noFill/>
                    <a:ln w="9525">
                      <a:noFill/>
                      <a:headEnd/>
                      <a:tailEnd/>
                    </a:ln>
                  </pic:spPr>
                </pic:pic>
              </a:graphicData>
            </a:graphic>
          </wp:inline>
        </w:drawing>
      </w:r>
    </w:p>
    <w:bookmarkEnd w:id="51"/>
    <w:bookmarkStart w:id="95" w:name="references"/>
    <w:p>
      <w:pPr>
        <w:pStyle w:val="Heading2"/>
      </w:pPr>
      <w:r>
        <w:t xml:space="preserve">References</w:t>
      </w:r>
    </w:p>
    <w:bookmarkStart w:id="94" w:name="refs"/>
    <w:bookmarkStart w:id="53" w:name="ref-combes_parasites_1996"/>
    <w:p>
      <w:pPr>
        <w:pStyle w:val="Bibliography"/>
      </w:pPr>
      <w:r>
        <w:t xml:space="preserve">Combes, Claude. 1996.</w:t>
      </w:r>
      <w:r>
        <w:t xml:space="preserve"> </w:t>
      </w:r>
      <w:r>
        <w:t xml:space="preserve">“Parasites, Biodiversity and Ecosystem Stability.”</w:t>
      </w:r>
      <w:r>
        <w:t xml:space="preserve"> </w:t>
      </w:r>
      <w:r>
        <w:rPr>
          <w:i/>
          <w:iCs/>
        </w:rPr>
        <w:t xml:space="preserve">Biodiversity &amp; Conservation</w:t>
      </w:r>
      <w:r>
        <w:t xml:space="preserve"> </w:t>
      </w:r>
      <w:r>
        <w:t xml:space="preserve">5 (8): 953–62.</w:t>
      </w:r>
      <w:r>
        <w:t xml:space="preserve"> </w:t>
      </w:r>
      <w:hyperlink r:id="rId52">
        <w:r>
          <w:rPr>
            <w:rStyle w:val="Hyperlink"/>
          </w:rPr>
          <w:t xml:space="preserve">https://doi.org/10.1007/BF00054413</w:t>
        </w:r>
      </w:hyperlink>
      <w:r>
        <w:t xml:space="preserve">.</w:t>
      </w:r>
    </w:p>
    <w:bookmarkEnd w:id="53"/>
    <w:bookmarkStart w:id="55" w:name="ref-curtinEnd1990"/>
    <w:p>
      <w:pPr>
        <w:pStyle w:val="Bibliography"/>
      </w:pPr>
      <w:r>
        <w:t xml:space="preserve">Curtin, Philip D. 1990.</w:t>
      </w:r>
      <w:r>
        <w:t xml:space="preserve"> </w:t>
      </w:r>
      <w:r>
        <w:t xml:space="preserve">“The</w:t>
      </w:r>
      <w:r>
        <w:t xml:space="preserve"> </w:t>
      </w:r>
      <w:r>
        <w:t xml:space="preserve">End</w:t>
      </w:r>
      <w:r>
        <w:t xml:space="preserve"> </w:t>
      </w:r>
      <w:r>
        <w:t xml:space="preserve">of the "</w:t>
      </w:r>
      <w:r>
        <w:t xml:space="preserve">White Man</w:t>
      </w:r>
      <w:r>
        <w:t xml:space="preserve">’s</w:t>
      </w:r>
      <w:r>
        <w:t xml:space="preserve"> </w:t>
      </w:r>
      <w:r>
        <w:t xml:space="preserve">Grave</w:t>
      </w:r>
      <w:r>
        <w:t xml:space="preserve">"?</w:t>
      </w:r>
      <w:r>
        <w:t xml:space="preserve"> </w:t>
      </w:r>
      <w:r>
        <w:t xml:space="preserve">Nineteenth-Century Mortality</w:t>
      </w:r>
      <w:r>
        <w:t xml:space="preserve"> </w:t>
      </w:r>
      <w:r>
        <w:t xml:space="preserve">in</w:t>
      </w:r>
      <w:r>
        <w:t xml:space="preserve"> </w:t>
      </w:r>
      <w:r>
        <w:t xml:space="preserve">West Africa</w:t>
      </w:r>
      <w:r>
        <w:t xml:space="preserve">.”</w:t>
      </w:r>
      <w:r>
        <w:t xml:space="preserve"> </w:t>
      </w:r>
      <w:r>
        <w:rPr>
          <w:i/>
          <w:iCs/>
        </w:rPr>
        <w:t xml:space="preserve">The Journal of Interdisciplinary History</w:t>
      </w:r>
      <w:r>
        <w:t xml:space="preserve"> </w:t>
      </w:r>
      <w:r>
        <w:t xml:space="preserve">21 (1): 63–88.</w:t>
      </w:r>
      <w:r>
        <w:t xml:space="preserve"> </w:t>
      </w:r>
      <w:hyperlink r:id="rId54">
        <w:r>
          <w:rPr>
            <w:rStyle w:val="Hyperlink"/>
          </w:rPr>
          <w:t xml:space="preserve">https://doi.org/10.2307/204918</w:t>
        </w:r>
      </w:hyperlink>
      <w:r>
        <w:t xml:space="preserve">.</w:t>
      </w:r>
    </w:p>
    <w:bookmarkEnd w:id="55"/>
    <w:bookmarkStart w:id="57" w:name="ref-dublinDeclineMaraWoodlands1986"/>
    <w:p>
      <w:pPr>
        <w:pStyle w:val="Bibliography"/>
      </w:pPr>
      <w:r>
        <w:t xml:space="preserve">Dublin, Holly T. 1986.</w:t>
      </w:r>
      <w:r>
        <w:t xml:space="preserve"> </w:t>
      </w:r>
      <w:r>
        <w:t xml:space="preserve">“Decline of the</w:t>
      </w:r>
      <w:r>
        <w:t xml:space="preserve"> </w:t>
      </w:r>
      <w:r>
        <w:t xml:space="preserve">Mara</w:t>
      </w:r>
      <w:r>
        <w:t xml:space="preserve"> </w:t>
      </w:r>
      <w:r>
        <w:t xml:space="preserve">Woodlands : The Role of Fire and Elephants.”</w:t>
      </w:r>
      <w:r>
        <w:t xml:space="preserve"> </w:t>
      </w:r>
      <w:r>
        <w:t xml:space="preserve">PhD thesis, University of British Columbia.</w:t>
      </w:r>
      <w:r>
        <w:t xml:space="preserve"> </w:t>
      </w:r>
      <w:hyperlink r:id="rId56">
        <w:r>
          <w:rPr>
            <w:rStyle w:val="Hyperlink"/>
          </w:rPr>
          <w:t xml:space="preserve">https://doi.org/10.14288/1.0097282</w:t>
        </w:r>
      </w:hyperlink>
      <w:r>
        <w:t xml:space="preserve">.</w:t>
      </w:r>
    </w:p>
    <w:bookmarkEnd w:id="57"/>
    <w:bookmarkStart w:id="59" w:name="ref-holdo_disease-mediated_2009"/>
    <w:p>
      <w:pPr>
        <w:pStyle w:val="Bibliography"/>
      </w:pPr>
      <w:r>
        <w:t xml:space="preserve">Holdo, Ricardo M., Anthony R. E. Sinclair, Andrew P. Dobson, Kristine L. Metzger, Benjamin M. Bolker, Mark E. Ritchie, and Robert D. Holt. 2009.</w:t>
      </w:r>
      <w:r>
        <w:t xml:space="preserve"> </w:t>
      </w:r>
      <w:r>
        <w:t xml:space="preserve">“A</w:t>
      </w:r>
      <w:r>
        <w:t xml:space="preserve"> </w:t>
      </w:r>
      <w:r>
        <w:t xml:space="preserve">Disease</w:t>
      </w:r>
      <w:r>
        <w:t xml:space="preserve">-</w:t>
      </w:r>
      <w:r>
        <w:t xml:space="preserve">Mediated</w:t>
      </w:r>
      <w:r>
        <w:t xml:space="preserve"> </w:t>
      </w:r>
      <w:r>
        <w:t xml:space="preserve">Trophic</w:t>
      </w:r>
      <w:r>
        <w:t xml:space="preserve"> </w:t>
      </w:r>
      <w:r>
        <w:t xml:space="preserve">Cascade</w:t>
      </w:r>
      <w:r>
        <w:t xml:space="preserve"> </w:t>
      </w:r>
      <w:r>
        <w:t xml:space="preserve">in the</w:t>
      </w:r>
      <w:r>
        <w:t xml:space="preserve"> </w:t>
      </w:r>
      <w:r>
        <w:t xml:space="preserve">Serengeti</w:t>
      </w:r>
      <w:r>
        <w:t xml:space="preserve"> </w:t>
      </w:r>
      <w:r>
        <w:t xml:space="preserve">and Its</w:t>
      </w:r>
      <w:r>
        <w:t xml:space="preserve"> </w:t>
      </w:r>
      <w:r>
        <w:t xml:space="preserve">Implications</w:t>
      </w:r>
      <w:r>
        <w:t xml:space="preserve"> </w:t>
      </w:r>
      <w:r>
        <w:t xml:space="preserve">for</w:t>
      </w:r>
      <w:r>
        <w:t xml:space="preserve"> </w:t>
      </w:r>
      <w:r>
        <w:t xml:space="preserve">Ecosystem</w:t>
      </w:r>
      <w:r>
        <w:t xml:space="preserve"> </w:t>
      </w:r>
      <w:r>
        <w:t xml:space="preserve">C</w:t>
      </w:r>
      <w:r>
        <w:t xml:space="preserve">.”</w:t>
      </w:r>
      <w:r>
        <w:t xml:space="preserve"> </w:t>
      </w:r>
      <w:r>
        <w:rPr>
          <w:i/>
          <w:iCs/>
        </w:rPr>
        <w:t xml:space="preserve">PLoS Biol</w:t>
      </w:r>
      <w:r>
        <w:t xml:space="preserve"> </w:t>
      </w:r>
      <w:r>
        <w:t xml:space="preserve">7 (9): e1000210.</w:t>
      </w:r>
      <w:r>
        <w:t xml:space="preserve"> </w:t>
      </w:r>
      <w:hyperlink r:id="rId58">
        <w:r>
          <w:rPr>
            <w:rStyle w:val="Hyperlink"/>
          </w:rPr>
          <w:t xml:space="preserve">https://doi.org/10.1371/journal.pbio.1000210</w:t>
        </w:r>
      </w:hyperlink>
      <w:r>
        <w:t xml:space="preserve">.</w:t>
      </w:r>
    </w:p>
    <w:bookmarkEnd w:id="59"/>
    <w:bookmarkStart w:id="61" w:name="ref-lafferty_ecosystem_2008"/>
    <w:p>
      <w:pPr>
        <w:pStyle w:val="Bibliography"/>
      </w:pPr>
      <w:r>
        <w:t xml:space="preserve">Lafferty, K. D. 2008.</w:t>
      </w:r>
      <w:r>
        <w:t xml:space="preserve"> </w:t>
      </w:r>
      <w:r>
        <w:t xml:space="preserve">“Ecosystem Consequences of Fish Parasites.”</w:t>
      </w:r>
      <w:r>
        <w:t xml:space="preserve"> </w:t>
      </w:r>
      <w:r>
        <w:rPr>
          <w:i/>
          <w:iCs/>
        </w:rPr>
        <w:t xml:space="preserve">Journal of Fish Biology</w:t>
      </w:r>
      <w:r>
        <w:t xml:space="preserve"> </w:t>
      </w:r>
      <w:r>
        <w:t xml:space="preserve">73 (9): 2083–93.</w:t>
      </w:r>
      <w:r>
        <w:t xml:space="preserve"> </w:t>
      </w:r>
      <w:hyperlink r:id="rId60">
        <w:r>
          <w:rPr>
            <w:rStyle w:val="Hyperlink"/>
          </w:rPr>
          <w:t xml:space="preserve">https://doi.org/10.1111/j.1095-8649.2008.02059.x</w:t>
        </w:r>
      </w:hyperlink>
      <w:r>
        <w:t xml:space="preserve">.</w:t>
      </w:r>
    </w:p>
    <w:bookmarkEnd w:id="61"/>
    <w:bookmarkStart w:id="63" w:name="ref-lafferty_fishing_2004"/>
    <w:p>
      <w:pPr>
        <w:pStyle w:val="Bibliography"/>
      </w:pPr>
      <w:r>
        <w:t xml:space="preserve">Lafferty, Kevin D. 2004.</w:t>
      </w:r>
      <w:r>
        <w:t xml:space="preserve"> </w:t>
      </w:r>
      <w:r>
        <w:t xml:space="preserve">“Fishing for</w:t>
      </w:r>
      <w:r>
        <w:t xml:space="preserve"> </w:t>
      </w:r>
      <w:r>
        <w:t xml:space="preserve">Lobsters</w:t>
      </w:r>
      <w:r>
        <w:t xml:space="preserve"> </w:t>
      </w:r>
      <w:r>
        <w:t xml:space="preserve">Indirectly</w:t>
      </w:r>
      <w:r>
        <w:t xml:space="preserve"> </w:t>
      </w:r>
      <w:r>
        <w:t xml:space="preserve">Increases</w:t>
      </w:r>
      <w:r>
        <w:t xml:space="preserve"> </w:t>
      </w:r>
      <w:r>
        <w:t xml:space="preserve">Epidemics</w:t>
      </w:r>
      <w:r>
        <w:t xml:space="preserve"> </w:t>
      </w:r>
      <w:r>
        <w:t xml:space="preserve">in</w:t>
      </w:r>
      <w:r>
        <w:t xml:space="preserve"> </w:t>
      </w:r>
      <w:r>
        <w:t xml:space="preserve">Sea</w:t>
      </w:r>
      <w:r>
        <w:t xml:space="preserve"> </w:t>
      </w:r>
      <w:r>
        <w:t xml:space="preserve">Urchins</w:t>
      </w:r>
      <w:r>
        <w:t xml:space="preserve">.”</w:t>
      </w:r>
      <w:r>
        <w:t xml:space="preserve"> </w:t>
      </w:r>
      <w:r>
        <w:rPr>
          <w:i/>
          <w:iCs/>
        </w:rPr>
        <w:t xml:space="preserve">Ecological Applications</w:t>
      </w:r>
      <w:r>
        <w:t xml:space="preserve"> </w:t>
      </w:r>
      <w:r>
        <w:t xml:space="preserve">14 (5): 1566–73.</w:t>
      </w:r>
      <w:r>
        <w:t xml:space="preserve"> </w:t>
      </w:r>
      <w:hyperlink r:id="rId62">
        <w:r>
          <w:rPr>
            <w:rStyle w:val="Hyperlink"/>
          </w:rPr>
          <w:t xml:space="preserve">https://doi.org/10.1890/03-5088</w:t>
        </w:r>
      </w:hyperlink>
      <w:r>
        <w:t xml:space="preserve">.</w:t>
      </w:r>
    </w:p>
    <w:bookmarkEnd w:id="63"/>
    <w:bookmarkStart w:id="65" w:name="ref-oliveira-santosSpatial2021"/>
    <w:p>
      <w:pPr>
        <w:pStyle w:val="Bibliography"/>
      </w:pPr>
      <w:r>
        <w:t xml:space="preserve">Oliveira-Santos, L. Gustavo R., Seth A. Moore, William J. Severud, James D. Forester, Edmund J. Isaac, Yvette Chenaux-Ibrahim, Tyler Garwood, Luis E. Escobar, and Tiffany M. Wolf. 2021.</w:t>
      </w:r>
      <w:r>
        <w:t xml:space="preserve"> </w:t>
      </w:r>
      <w:r>
        <w:t xml:space="preserve">“Spatial Compartmentalization:</w:t>
      </w:r>
      <w:r>
        <w:t xml:space="preserve"> </w:t>
      </w:r>
      <w:r>
        <w:t xml:space="preserve">A</w:t>
      </w:r>
      <w:r>
        <w:t xml:space="preserve"> </w:t>
      </w:r>
      <w:r>
        <w:t xml:space="preserve">Nonlethal Predator Mechanism to Reduce Parasite Transmission Between Prey Species.”</w:t>
      </w:r>
      <w:r>
        <w:t xml:space="preserve"> </w:t>
      </w:r>
      <w:r>
        <w:rPr>
          <w:i/>
          <w:iCs/>
        </w:rPr>
        <w:t xml:space="preserve">Science Advances</w:t>
      </w:r>
      <w:r>
        <w:t xml:space="preserve"> </w:t>
      </w:r>
      <w:r>
        <w:t xml:space="preserve">7 (52): eabj5944.</w:t>
      </w:r>
      <w:r>
        <w:t xml:space="preserve"> </w:t>
      </w:r>
      <w:hyperlink r:id="rId64">
        <w:r>
          <w:rPr>
            <w:rStyle w:val="Hyperlink"/>
          </w:rPr>
          <w:t xml:space="preserve">https://doi.org/10.1126/sciadv.abj5944</w:t>
        </w:r>
      </w:hyperlink>
      <w:r>
        <w:t xml:space="preserve">.</w:t>
      </w:r>
    </w:p>
    <w:bookmarkEnd w:id="65"/>
    <w:bookmarkStart w:id="67" w:name="ref-packer_keeping_2003"/>
    <w:p>
      <w:pPr>
        <w:pStyle w:val="Bibliography"/>
      </w:pPr>
      <w:r>
        <w:t xml:space="preserve">Packer, Craig, Robert D. Holt, Peter J. Hudson, Kevin D. Lafferty, and Andrew P. Dobson. 2003.</w:t>
      </w:r>
      <w:r>
        <w:t xml:space="preserve"> </w:t>
      </w:r>
      <w:r>
        <w:t xml:space="preserve">“Keeping the Herds Healthy and Alert: Implications of Predator Control for Infectious Disease.”</w:t>
      </w:r>
      <w:r>
        <w:t xml:space="preserve"> </w:t>
      </w:r>
      <w:r>
        <w:rPr>
          <w:i/>
          <w:iCs/>
        </w:rPr>
        <w:t xml:space="preserve">Ecology Letters</w:t>
      </w:r>
      <w:r>
        <w:t xml:space="preserve"> </w:t>
      </w:r>
      <w:r>
        <w:t xml:space="preserve">6 (9): 797–802.</w:t>
      </w:r>
      <w:r>
        <w:t xml:space="preserve"> </w:t>
      </w:r>
      <w:hyperlink r:id="rId66">
        <w:r>
          <w:rPr>
            <w:rStyle w:val="Hyperlink"/>
          </w:rPr>
          <w:t xml:space="preserve">https://doi.org/10.1046/j.1461-0248.2003.00500.x</w:t>
        </w:r>
      </w:hyperlink>
      <w:r>
        <w:t xml:space="preserve">.</w:t>
      </w:r>
    </w:p>
    <w:bookmarkEnd w:id="67"/>
    <w:bookmarkStart w:id="69" w:name="ref-park_interspecies_1948"/>
    <w:p>
      <w:pPr>
        <w:pStyle w:val="Bibliography"/>
      </w:pPr>
      <w:r>
        <w:t xml:space="preserve">Park, Thomas. 1948.</w:t>
      </w:r>
      <w:r>
        <w:t xml:space="preserve"> </w:t>
      </w:r>
      <w:r>
        <w:t xml:space="preserve">“Interspecies</w:t>
      </w:r>
      <w:r>
        <w:t xml:space="preserve"> </w:t>
      </w:r>
      <w:r>
        <w:t xml:space="preserve">Competition</w:t>
      </w:r>
      <w:r>
        <w:t xml:space="preserve"> </w:t>
      </w:r>
      <w:r>
        <w:t xml:space="preserve">in</w:t>
      </w:r>
      <w:r>
        <w:t xml:space="preserve"> </w:t>
      </w:r>
      <w:r>
        <w:t xml:space="preserve">Populations</w:t>
      </w:r>
      <w:r>
        <w:t xml:space="preserve"> </w:t>
      </w:r>
      <w:r>
        <w:t xml:space="preserve">of</w:t>
      </w:r>
      <w:r>
        <w:t xml:space="preserve"> </w:t>
      </w:r>
      <w:r>
        <w:t xml:space="preserve">Trilobium</w:t>
      </w:r>
      <w:r>
        <w:t xml:space="preserve"> </w:t>
      </w:r>
      <w:r>
        <w:t xml:space="preserve">Confusum</w:t>
      </w:r>
      <w:r>
        <w:t xml:space="preserve"> </w:t>
      </w:r>
      <w:r>
        <w:t xml:space="preserve">Duval</w:t>
      </w:r>
      <w:r>
        <w:t xml:space="preserve"> </w:t>
      </w:r>
      <w:r>
        <w:t xml:space="preserve">and</w:t>
      </w:r>
      <w:r>
        <w:t xml:space="preserve"> </w:t>
      </w:r>
      <w:r>
        <w:t xml:space="preserve">Trilobium</w:t>
      </w:r>
      <w:r>
        <w:t xml:space="preserve"> </w:t>
      </w:r>
      <w:r>
        <w:t xml:space="preserve">Castaneum</w:t>
      </w:r>
      <w:r>
        <w:t xml:space="preserve"> </w:t>
      </w:r>
      <w:r>
        <w:t xml:space="preserve">Herbst</w:t>
      </w:r>
      <w:r>
        <w:t xml:space="preserve">.”</w:t>
      </w:r>
      <w:r>
        <w:t xml:space="preserve"> </w:t>
      </w:r>
      <w:r>
        <w:rPr>
          <w:i/>
          <w:iCs/>
        </w:rPr>
        <w:t xml:space="preserve">Ecological Monographs</w:t>
      </w:r>
      <w:r>
        <w:t xml:space="preserve"> </w:t>
      </w:r>
      <w:r>
        <w:t xml:space="preserve">18 (2): 265–307.</w:t>
      </w:r>
      <w:r>
        <w:t xml:space="preserve"> </w:t>
      </w:r>
      <w:hyperlink r:id="rId68">
        <w:r>
          <w:rPr>
            <w:rStyle w:val="Hyperlink"/>
          </w:rPr>
          <w:t xml:space="preserve">https://doi.org/10.2307/1948641</w:t>
        </w:r>
      </w:hyperlink>
      <w:r>
        <w:t xml:space="preserve">.</w:t>
      </w:r>
    </w:p>
    <w:bookmarkEnd w:id="69"/>
    <w:bookmarkStart w:id="71" w:name="ref-pearceInventing2000"/>
    <w:p>
      <w:pPr>
        <w:pStyle w:val="Bibliography"/>
      </w:pPr>
      <w:r>
        <w:t xml:space="preserve">Pearce, Fred. 2000.</w:t>
      </w:r>
      <w:r>
        <w:t xml:space="preserve"> </w:t>
      </w:r>
      <w:r>
        <w:t xml:space="preserve">“Inventing</w:t>
      </w:r>
      <w:r>
        <w:t xml:space="preserve"> </w:t>
      </w:r>
      <w:r>
        <w:t xml:space="preserve">Africa</w:t>
      </w:r>
      <w:r>
        <w:t xml:space="preserve">.”</w:t>
      </w:r>
      <w:r>
        <w:t xml:space="preserve"> </w:t>
      </w:r>
      <w:r>
        <w:rPr>
          <w:i/>
          <w:iCs/>
        </w:rPr>
        <w:t xml:space="preserve">New Scientist</w:t>
      </w:r>
      <w:r>
        <w:t xml:space="preserve"> </w:t>
      </w:r>
      <w:r>
        <w:t xml:space="preserve">167 (2251): 30.</w:t>
      </w:r>
      <w:r>
        <w:t xml:space="preserve"> </w:t>
      </w:r>
      <w:hyperlink r:id="rId70">
        <w:r>
          <w:rPr>
            <w:rStyle w:val="Hyperlink"/>
          </w:rPr>
          <w:t xml:space="preserve">https://web.archive.org/web/20171215000000*/http://www.faculty.umb.edu/pjt/pearce00.pdf</w:t>
        </w:r>
      </w:hyperlink>
      <w:r>
        <w:t xml:space="preserve">.</w:t>
      </w:r>
    </w:p>
    <w:bookmarkEnd w:id="71"/>
    <w:bookmarkStart w:id="73" w:name="ref-pusenius_effects_2000"/>
    <w:p>
      <w:pPr>
        <w:pStyle w:val="Bibliography"/>
      </w:pPr>
      <w:r>
        <w:t xml:space="preserve">Pusenius, Jyrki, and Richard S. Ostfeld. 2000.</w:t>
      </w:r>
      <w:r>
        <w:t xml:space="preserve"> </w:t>
      </w:r>
      <w:r>
        <w:t xml:space="preserve">“Effects of Stoat’s Presence and Auditory Cues Indicating Its Presence on Tree Seedling Predation by Meadow Voles.”</w:t>
      </w:r>
      <w:r>
        <w:t xml:space="preserve"> </w:t>
      </w:r>
      <w:r>
        <w:rPr>
          <w:i/>
          <w:iCs/>
        </w:rPr>
        <w:t xml:space="preserve">Oikos</w:t>
      </w:r>
      <w:r>
        <w:t xml:space="preserve"> </w:t>
      </w:r>
      <w:r>
        <w:t xml:space="preserve">91 (1): 123–30.</w:t>
      </w:r>
      <w:r>
        <w:t xml:space="preserve"> </w:t>
      </w:r>
      <w:hyperlink r:id="rId72">
        <w:r>
          <w:rPr>
            <w:rStyle w:val="Hyperlink"/>
          </w:rPr>
          <w:t xml:space="preserve">https://doi.org/10.1034/j.1600-0706.2000.910111.x</w:t>
        </w:r>
      </w:hyperlink>
      <w:r>
        <w:t xml:space="preserve">.</w:t>
      </w:r>
    </w:p>
    <w:bookmarkEnd w:id="73"/>
    <w:bookmarkStart w:id="75" w:name="ref-richards_predators_2021"/>
    <w:p>
      <w:pPr>
        <w:pStyle w:val="Bibliography"/>
      </w:pPr>
      <w:r>
        <w:t xml:space="preserve">Richards, Robert L., John M. Drake, and Vanessa O. Ezenwa. 2021.</w:t>
      </w:r>
      <w:r>
        <w:t xml:space="preserve"> </w:t>
      </w:r>
      <w:r>
        <w:t xml:space="preserve">“Do Predators Keep Prey Healthy or Make Them Sicker?</w:t>
      </w:r>
      <w:r>
        <w:t xml:space="preserve"> </w:t>
      </w:r>
      <w:r>
        <w:t xml:space="preserve">A</w:t>
      </w:r>
      <w:r>
        <w:t xml:space="preserve"> </w:t>
      </w:r>
      <w:r>
        <w:t xml:space="preserve">Meta-Analysis.”</w:t>
      </w:r>
      <w:r>
        <w:t xml:space="preserve"> </w:t>
      </w:r>
      <w:r>
        <w:rPr>
          <w:i/>
          <w:iCs/>
        </w:rPr>
        <w:t xml:space="preserve">Ecology Letters</w:t>
      </w:r>
      <w:r>
        <w:t xml:space="preserve"> </w:t>
      </w:r>
      <w:r>
        <w:t xml:space="preserve">25 (2).</w:t>
      </w:r>
      <w:r>
        <w:t xml:space="preserve"> </w:t>
      </w:r>
      <w:hyperlink r:id="rId74">
        <w:r>
          <w:rPr>
            <w:rStyle w:val="Hyperlink"/>
          </w:rPr>
          <w:t xml:space="preserve">https://doi.org/10.1111/ele.13919</w:t>
        </w:r>
      </w:hyperlink>
      <w:r>
        <w:t xml:space="preserve">.</w:t>
      </w:r>
    </w:p>
    <w:bookmarkEnd w:id="75"/>
    <w:bookmarkStart w:id="77" w:name="ref-schmitz_parasite-mediated_1994"/>
    <w:p>
      <w:pPr>
        <w:pStyle w:val="Bibliography"/>
      </w:pPr>
      <w:r>
        <w:t xml:space="preserve">Schmitz, Oswald J., and Thomas D. Nudds. 1994.</w:t>
      </w:r>
      <w:r>
        <w:t xml:space="preserve"> </w:t>
      </w:r>
      <w:r>
        <w:t xml:space="preserve">“Parasite-</w:t>
      </w:r>
      <w:r>
        <w:t xml:space="preserve">Mediated</w:t>
      </w:r>
      <w:r>
        <w:t xml:space="preserve"> </w:t>
      </w:r>
      <w:r>
        <w:t xml:space="preserve">Competition</w:t>
      </w:r>
      <w:r>
        <w:t xml:space="preserve"> </w:t>
      </w:r>
      <w:r>
        <w:t xml:space="preserve">in</w:t>
      </w:r>
      <w:r>
        <w:t xml:space="preserve"> </w:t>
      </w:r>
      <w:r>
        <w:t xml:space="preserve">Deer</w:t>
      </w:r>
      <w:r>
        <w:t xml:space="preserve"> </w:t>
      </w:r>
      <w:r>
        <w:t xml:space="preserve">and</w:t>
      </w:r>
      <w:r>
        <w:t xml:space="preserve"> </w:t>
      </w:r>
      <w:r>
        <w:t xml:space="preserve">Moose</w:t>
      </w:r>
      <w:r>
        <w:t xml:space="preserve">:</w:t>
      </w:r>
      <w:r>
        <w:t xml:space="preserve"> </w:t>
      </w:r>
      <w:r>
        <w:t xml:space="preserve">How</w:t>
      </w:r>
      <w:r>
        <w:t xml:space="preserve"> </w:t>
      </w:r>
      <w:r>
        <w:t xml:space="preserve">Strong</w:t>
      </w:r>
      <w:r>
        <w:t xml:space="preserve"> </w:t>
      </w:r>
      <w:r>
        <w:t xml:space="preserve">Is the</w:t>
      </w:r>
      <w:r>
        <w:t xml:space="preserve"> </w:t>
      </w:r>
      <w:r>
        <w:t xml:space="preserve">Effect</w:t>
      </w:r>
      <w:r>
        <w:t xml:space="preserve"> </w:t>
      </w:r>
      <w:r>
        <w:t xml:space="preserve">of</w:t>
      </w:r>
      <w:r>
        <w:t xml:space="preserve"> </w:t>
      </w:r>
      <w:r>
        <w:t xml:space="preserve">Meningeal</w:t>
      </w:r>
      <w:r>
        <w:t xml:space="preserve"> </w:t>
      </w:r>
      <w:r>
        <w:t xml:space="preserve">Worm</w:t>
      </w:r>
      <w:r>
        <w:t xml:space="preserve"> </w:t>
      </w:r>
      <w:r>
        <w:t xml:space="preserve">on</w:t>
      </w:r>
      <w:r>
        <w:t xml:space="preserve"> </w:t>
      </w:r>
      <w:r>
        <w:t xml:space="preserve">Moose</w:t>
      </w:r>
      <w:r>
        <w:t xml:space="preserve">?”</w:t>
      </w:r>
      <w:r>
        <w:t xml:space="preserve"> </w:t>
      </w:r>
      <w:r>
        <w:rPr>
          <w:i/>
          <w:iCs/>
        </w:rPr>
        <w:t xml:space="preserve">Ecological Applications</w:t>
      </w:r>
      <w:r>
        <w:t xml:space="preserve"> </w:t>
      </w:r>
      <w:r>
        <w:t xml:space="preserve">4 (1): 91–103.</w:t>
      </w:r>
      <w:r>
        <w:t xml:space="preserve"> </w:t>
      </w:r>
      <w:hyperlink r:id="rId76">
        <w:r>
          <w:rPr>
            <w:rStyle w:val="Hyperlink"/>
          </w:rPr>
          <w:t xml:space="preserve">https://doi.org/10.2307/1942118</w:t>
        </w:r>
      </w:hyperlink>
      <w:r>
        <w:t xml:space="preserve">.</w:t>
      </w:r>
    </w:p>
    <w:bookmarkEnd w:id="77"/>
    <w:bookmarkStart w:id="79" w:name="ref-sindermannEffects1987"/>
    <w:p>
      <w:pPr>
        <w:pStyle w:val="Bibliography"/>
      </w:pPr>
      <w:r>
        <w:t xml:space="preserve">Sindermann, Carl J. 1987.</w:t>
      </w:r>
      <w:r>
        <w:t xml:space="preserve"> </w:t>
      </w:r>
      <w:r>
        <w:t xml:space="preserve">“Effects of Parasites on Fish Populations: Practical Considerations.”</w:t>
      </w:r>
      <w:r>
        <w:t xml:space="preserve"> </w:t>
      </w:r>
      <w:r>
        <w:rPr>
          <w:i/>
          <w:iCs/>
        </w:rPr>
        <w:t xml:space="preserve">International Journal for Parasitology</w:t>
      </w:r>
      <w:r>
        <w:t xml:space="preserve"> </w:t>
      </w:r>
      <w:r>
        <w:t xml:space="preserve">17 (2): 371–82.</w:t>
      </w:r>
      <w:r>
        <w:t xml:space="preserve"> </w:t>
      </w:r>
      <w:hyperlink r:id="rId78">
        <w:r>
          <w:rPr>
            <w:rStyle w:val="Hyperlink"/>
          </w:rPr>
          <w:t xml:space="preserve">https://doi.org/10.1016/0020-7519(87)90112-3</w:t>
        </w:r>
      </w:hyperlink>
      <w:r>
        <w:t xml:space="preserve">.</w:t>
      </w:r>
    </w:p>
    <w:bookmarkEnd w:id="79"/>
    <w:bookmarkStart w:id="81" w:name="ref-skorping_trophic_2001"/>
    <w:p>
      <w:pPr>
        <w:pStyle w:val="Bibliography"/>
      </w:pPr>
      <w:r>
        <w:t xml:space="preserve">Skorping, Arne, and Göran Högstedt. 2001.</w:t>
      </w:r>
      <w:r>
        <w:t xml:space="preserve"> </w:t>
      </w:r>
      <w:r>
        <w:t xml:space="preserve">“Trophic Cascades: A Role for Parasites?”</w:t>
      </w:r>
      <w:r>
        <w:t xml:space="preserve"> </w:t>
      </w:r>
      <w:r>
        <w:rPr>
          <w:i/>
          <w:iCs/>
        </w:rPr>
        <w:t xml:space="preserve">Oikos</w:t>
      </w:r>
      <w:r>
        <w:t xml:space="preserve"> </w:t>
      </w:r>
      <w:r>
        <w:t xml:space="preserve">94 (1): 191–92.</w:t>
      </w:r>
      <w:r>
        <w:t xml:space="preserve"> </w:t>
      </w:r>
      <w:hyperlink r:id="rId80">
        <w:r>
          <w:rPr>
            <w:rStyle w:val="Hyperlink"/>
          </w:rPr>
          <w:t xml:space="preserve">https://doi.org/10.1034/j.1600-0706.2001.t01-1-11193.x</w:t>
        </w:r>
      </w:hyperlink>
      <w:r>
        <w:t xml:space="preserve">.</w:t>
      </w:r>
    </w:p>
    <w:bookmarkEnd w:id="81"/>
    <w:bookmarkStart w:id="83" w:name="ref-strauss_invading_2012"/>
    <w:p>
      <w:pPr>
        <w:pStyle w:val="Bibliography"/>
      </w:pPr>
      <w:r>
        <w:t xml:space="preserve">Strauss, Alex, Andy White, and Mike Boots. 2012.</w:t>
      </w:r>
      <w:r>
        <w:t xml:space="preserve"> </w:t>
      </w:r>
      <w:r>
        <w:t xml:space="preserve">“Invading with Biological Weapons: The Importance of Disease-Mediated Invasions.”</w:t>
      </w:r>
      <w:r>
        <w:t xml:space="preserve"> </w:t>
      </w:r>
      <w:r>
        <w:rPr>
          <w:i/>
          <w:iCs/>
        </w:rPr>
        <w:t xml:space="preserve">Functional Ecology</w:t>
      </w:r>
      <w:r>
        <w:t xml:space="preserve"> </w:t>
      </w:r>
      <w:r>
        <w:t xml:space="preserve">26 (6): 1249–61.</w:t>
      </w:r>
      <w:r>
        <w:t xml:space="preserve"> </w:t>
      </w:r>
      <w:hyperlink r:id="rId82">
        <w:r>
          <w:rPr>
            <w:rStyle w:val="Hyperlink"/>
          </w:rPr>
          <w:t xml:space="preserve">https://doi.org/10.1111/1365-2435.12011</w:t>
        </w:r>
      </w:hyperlink>
      <w:r>
        <w:t xml:space="preserve">.</w:t>
      </w:r>
    </w:p>
    <w:bookmarkEnd w:id="83"/>
    <w:bookmarkStart w:id="85" w:name="ref-sumption_ecological_1985"/>
    <w:p>
      <w:pPr>
        <w:pStyle w:val="Bibliography"/>
      </w:pPr>
      <w:r>
        <w:t xml:space="preserve">Sumption, K. J., and J. R. Flowerdew. 1985.</w:t>
      </w:r>
      <w:r>
        <w:t xml:space="preserve"> </w:t>
      </w:r>
      <w:r>
        <w:t xml:space="preserve">“The Ecological Effects of the Decline in</w:t>
      </w:r>
      <w:r>
        <w:t xml:space="preserve"> </w:t>
      </w:r>
      <w:r>
        <w:t xml:space="preserve">Rabbits</w:t>
      </w:r>
      <w:r>
        <w:t xml:space="preserve"> </w:t>
      </w:r>
      <w:r>
        <w:t xml:space="preserve">(</w:t>
      </w:r>
      <w:r>
        <w:t xml:space="preserve">Oryctolagus</w:t>
      </w:r>
      <w:r>
        <w:t xml:space="preserve"> </w:t>
      </w:r>
      <w:r>
        <w:t xml:space="preserve">Cuniculus</w:t>
      </w:r>
      <w:r>
        <w:t xml:space="preserve"> </w:t>
      </w:r>
      <w:r>
        <w:t xml:space="preserve">L</w:t>
      </w:r>
      <w:r>
        <w:t xml:space="preserve">.) Due to Myxomatosis.”</w:t>
      </w:r>
      <w:r>
        <w:t xml:space="preserve"> </w:t>
      </w:r>
      <w:r>
        <w:rPr>
          <w:i/>
          <w:iCs/>
        </w:rPr>
        <w:t xml:space="preserve">Mammal Review</w:t>
      </w:r>
      <w:r>
        <w:t xml:space="preserve"> </w:t>
      </w:r>
      <w:r>
        <w:t xml:space="preserve">15 (4): 151–86.</w:t>
      </w:r>
      <w:r>
        <w:t xml:space="preserve"> </w:t>
      </w:r>
      <w:hyperlink r:id="rId84">
        <w:r>
          <w:rPr>
            <w:rStyle w:val="Hyperlink"/>
          </w:rPr>
          <w:t xml:space="preserve">https://doi.org/10.1111/j.1365-2907.1985.tb00396.x</w:t>
        </w:r>
      </w:hyperlink>
      <w:r>
        <w:t xml:space="preserve">.</w:t>
      </w:r>
    </w:p>
    <w:bookmarkEnd w:id="85"/>
    <w:bookmarkStart w:id="87" w:name="ref-thomas_manipulation_1998"/>
    <w:p>
      <w:pPr>
        <w:pStyle w:val="Bibliography"/>
      </w:pPr>
      <w:r>
        <w:t xml:space="preserve">Thomas, F., and R. Poulin. 1998.</w:t>
      </w:r>
      <w:r>
        <w:t xml:space="preserve"> </w:t>
      </w:r>
      <w:r>
        <w:t xml:space="preserve">“Manipulation of a Mollusc by a Trophically Transmitted Parasite: Convergent Evolution or Phylogenetic Inheritance?”</w:t>
      </w:r>
      <w:r>
        <w:t xml:space="preserve"> </w:t>
      </w:r>
      <w:r>
        <w:rPr>
          <w:i/>
          <w:iCs/>
        </w:rPr>
        <w:t xml:space="preserve">Parasitology</w:t>
      </w:r>
      <w:r>
        <w:t xml:space="preserve"> </w:t>
      </w:r>
      <w:r>
        <w:t xml:space="preserve">116 (5): 431–36.</w:t>
      </w:r>
      <w:r>
        <w:t xml:space="preserve"> </w:t>
      </w:r>
      <w:hyperlink r:id="rId86">
        <w:r>
          <w:rPr>
            <w:rStyle w:val="Hyperlink"/>
          </w:rPr>
          <w:t xml:space="preserve">https://doi.org/10.1017/S003118209800239X</w:t>
        </w:r>
      </w:hyperlink>
      <w:r>
        <w:t xml:space="preserve">.</w:t>
      </w:r>
    </w:p>
    <w:bookmarkEnd w:id="87"/>
    <w:bookmarkStart w:id="89" w:name="ref-thomasParasites1999"/>
    <w:p>
      <w:pPr>
        <w:pStyle w:val="Bibliography"/>
      </w:pPr>
      <w:r>
        <w:t xml:space="preserve">Thomas, Frédéric, Robert Poulin, Thierry de Meeüs, Jean-François Guégan, François Renaud, Frederic Thomas, Thierry de Meeus, Jean-Francois Guegan, and Francois Renaud. 1999.</w:t>
      </w:r>
      <w:r>
        <w:t xml:space="preserve"> </w:t>
      </w:r>
      <w:r>
        <w:t xml:space="preserve">“Parasites and</w:t>
      </w:r>
      <w:r>
        <w:t xml:space="preserve"> </w:t>
      </w:r>
      <w:r>
        <w:t xml:space="preserve">Ecosystem Engineering</w:t>
      </w:r>
      <w:r>
        <w:t xml:space="preserve">:</w:t>
      </w:r>
      <w:r>
        <w:t xml:space="preserve"> </w:t>
      </w:r>
      <w:r>
        <w:t xml:space="preserve">What Roles Could They Play</w:t>
      </w:r>
      <w:r>
        <w:t xml:space="preserve">?”</w:t>
      </w:r>
      <w:r>
        <w:t xml:space="preserve"> </w:t>
      </w:r>
      <w:r>
        <w:rPr>
          <w:i/>
          <w:iCs/>
        </w:rPr>
        <w:t xml:space="preserve">Oikos</w:t>
      </w:r>
      <w:r>
        <w:t xml:space="preserve"> </w:t>
      </w:r>
      <w:r>
        <w:t xml:space="preserve">84 (1): 167.</w:t>
      </w:r>
      <w:r>
        <w:t xml:space="preserve"> </w:t>
      </w:r>
      <w:hyperlink r:id="rId88">
        <w:r>
          <w:rPr>
            <w:rStyle w:val="Hyperlink"/>
          </w:rPr>
          <w:t xml:space="preserve">https://doi.org/10.2307/3546879</w:t>
        </w:r>
      </w:hyperlink>
      <w:r>
        <w:t xml:space="preserve">.</w:t>
      </w:r>
    </w:p>
    <w:bookmarkEnd w:id="89"/>
    <w:bookmarkStart w:id="91" w:name="ref-torchinRelease2001"/>
    <w:p>
      <w:pPr>
        <w:pStyle w:val="Bibliography"/>
      </w:pPr>
      <w:r>
        <w:t xml:space="preserve">Torchin, Mark E., Kevin D. Lafferty, and Armand M. Kuris. 2001.</w:t>
      </w:r>
      <w:r>
        <w:t xml:space="preserve"> </w:t>
      </w:r>
      <w:r>
        <w:t xml:space="preserve">“Release from</w:t>
      </w:r>
      <w:r>
        <w:t xml:space="preserve"> </w:t>
      </w:r>
      <w:r>
        <w:t xml:space="preserve">Parasites</w:t>
      </w:r>
      <w:r>
        <w:t xml:space="preserve"> </w:t>
      </w:r>
      <w:r>
        <w:t xml:space="preserve">as</w:t>
      </w:r>
      <w:r>
        <w:t xml:space="preserve"> </w:t>
      </w:r>
      <w:r>
        <w:t xml:space="preserve">Natural Enemies</w:t>
      </w:r>
      <w:r>
        <w:t xml:space="preserve">:</w:t>
      </w:r>
      <w:r>
        <w:t xml:space="preserve"> </w:t>
      </w:r>
      <w:r>
        <w:t xml:space="preserve">Increased Performance</w:t>
      </w:r>
      <w:r>
        <w:t xml:space="preserve"> </w:t>
      </w:r>
      <w:r>
        <w:t xml:space="preserve">of a</w:t>
      </w:r>
      <w:r>
        <w:t xml:space="preserve"> </w:t>
      </w:r>
      <w:r>
        <w:t xml:space="preserve">Globally Introduced Marine Crab</w:t>
      </w:r>
      <w:r>
        <w:t xml:space="preserve">.”</w:t>
      </w:r>
      <w:r>
        <w:t xml:space="preserve"> </w:t>
      </w:r>
      <w:r>
        <w:rPr>
          <w:i/>
          <w:iCs/>
        </w:rPr>
        <w:t xml:space="preserve">Biological Invasions</w:t>
      </w:r>
      <w:r>
        <w:t xml:space="preserve"> </w:t>
      </w:r>
      <w:r>
        <w:t xml:space="preserve">3 (4): 333–45.</w:t>
      </w:r>
      <w:r>
        <w:t xml:space="preserve"> </w:t>
      </w:r>
      <w:hyperlink r:id="rId90">
        <w:r>
          <w:rPr>
            <w:rStyle w:val="Hyperlink"/>
          </w:rPr>
          <w:t xml:space="preserve">https://doi.org/10.1023/A:1015855019360</w:t>
        </w:r>
      </w:hyperlink>
      <w:r>
        <w:t xml:space="preserve">.</w:t>
      </w:r>
    </w:p>
    <w:bookmarkEnd w:id="91"/>
    <w:bookmarkStart w:id="93" w:name="X1675344bf6623475d7e909d6bbea340dd97786f"/>
    <w:p>
      <w:pPr>
        <w:pStyle w:val="Bibliography"/>
      </w:pPr>
      <w:r>
        <w:t xml:space="preserve">Van den Bossche, Peter, Stéphane de La Rocque, Guy Hendrickx, and Jérémy Bouyer. 2010.</w:t>
      </w:r>
      <w:r>
        <w:t xml:space="preserve"> </w:t>
      </w:r>
      <w:r>
        <w:t xml:space="preserve">“A Changing Environment and the Epidemiology of Tsetse-Transmitted Livestock Trypanosomiasis.”</w:t>
      </w:r>
      <w:r>
        <w:t xml:space="preserve"> </w:t>
      </w:r>
      <w:r>
        <w:rPr>
          <w:i/>
          <w:iCs/>
        </w:rPr>
        <w:t xml:space="preserve">Trends in Parasitology</w:t>
      </w:r>
      <w:r>
        <w:t xml:space="preserve"> </w:t>
      </w:r>
      <w:r>
        <w:t xml:space="preserve">26 (5): 236–43.</w:t>
      </w:r>
      <w:r>
        <w:t xml:space="preserve"> </w:t>
      </w:r>
      <w:hyperlink r:id="rId92">
        <w:r>
          <w:rPr>
            <w:rStyle w:val="Hyperlink"/>
          </w:rPr>
          <w:t xml:space="preserve">https://doi.org/10.1016/j.pt.2010.02.010</w:t>
        </w:r>
      </w:hyperlink>
      <w:r>
        <w:t xml:space="preserve">.</w:t>
      </w:r>
    </w:p>
    <w:bookmarkEnd w:id="93"/>
    <w:bookmarkEnd w:id="94"/>
    <w:p>
      <w:r>
        <w:pict>
          <v:rect style="width:0;height:1.5pt" o:hralign="center" o:hrstd="t" o:hr="t"/>
        </w:pict>
      </w:r>
    </w:p>
    <w:p>
      <w:pPr>
        <w:pStyle w:val="FirstParagraph"/>
      </w:pPr>
      <w:r>
        <w:t xml:space="preserve">Last updated: 2025-10-02 21:39:43.305665</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8" Target="media/rId38.jpg" /><Relationship Type="http://schemas.openxmlformats.org/officeDocument/2006/relationships/hyperlink" Id="rId52" Target="https://doi.org/10.1007/BF00054413" TargetMode="External" /><Relationship Type="http://schemas.openxmlformats.org/officeDocument/2006/relationships/hyperlink" Id="rId78" Target="https://doi.org/10.1016/0020-7519(87)90112-3" TargetMode="External" /><Relationship Type="http://schemas.openxmlformats.org/officeDocument/2006/relationships/hyperlink" Id="rId92" Target="https://doi.org/10.1016/j.pt.2010.02.010" TargetMode="External" /><Relationship Type="http://schemas.openxmlformats.org/officeDocument/2006/relationships/hyperlink" Id="rId86" Target="https://doi.org/10.1017/S003118209800239X" TargetMode="External" /><Relationship Type="http://schemas.openxmlformats.org/officeDocument/2006/relationships/hyperlink" Id="rId90" Target="https://doi.org/10.1023/A:1015855019360" TargetMode="External" /><Relationship Type="http://schemas.openxmlformats.org/officeDocument/2006/relationships/hyperlink" Id="rId72" Target="https://doi.org/10.1034/j.1600-0706.2000.910111.x" TargetMode="External" /><Relationship Type="http://schemas.openxmlformats.org/officeDocument/2006/relationships/hyperlink" Id="rId80" Target="https://doi.org/10.1034/j.1600-0706.2001.t01-1-11193.x" TargetMode="External" /><Relationship Type="http://schemas.openxmlformats.org/officeDocument/2006/relationships/hyperlink" Id="rId66" Target="https://doi.org/10.1046/j.1461-0248.2003.00500.x" TargetMode="External" /><Relationship Type="http://schemas.openxmlformats.org/officeDocument/2006/relationships/hyperlink" Id="rId82" Target="https://doi.org/10.1111/1365-2435.12011" TargetMode="External" /><Relationship Type="http://schemas.openxmlformats.org/officeDocument/2006/relationships/hyperlink" Id="rId74" Target="https://doi.org/10.1111/ele.13919" TargetMode="External" /><Relationship Type="http://schemas.openxmlformats.org/officeDocument/2006/relationships/hyperlink" Id="rId60" Target="https://doi.org/10.1111/j.1095-8649.2008.02059.x" TargetMode="External" /><Relationship Type="http://schemas.openxmlformats.org/officeDocument/2006/relationships/hyperlink" Id="rId84" Target="https://doi.org/10.1111/j.1365-2907.1985.tb00396.x" TargetMode="External" /><Relationship Type="http://schemas.openxmlformats.org/officeDocument/2006/relationships/hyperlink" Id="rId64" Target="https://doi.org/10.1126/sciadv.abj5944" TargetMode="External" /><Relationship Type="http://schemas.openxmlformats.org/officeDocument/2006/relationships/hyperlink" Id="rId58" Target="https://doi.org/10.1371/journal.pbio.1000210" TargetMode="External" /><Relationship Type="http://schemas.openxmlformats.org/officeDocument/2006/relationships/hyperlink" Id="rId56" Target="https://doi.org/10.14288/1.0097282" TargetMode="External" /><Relationship Type="http://schemas.openxmlformats.org/officeDocument/2006/relationships/hyperlink" Id="rId62" Target="https://doi.org/10.1890/03-5088" TargetMode="External" /><Relationship Type="http://schemas.openxmlformats.org/officeDocument/2006/relationships/hyperlink" Id="rId76" Target="https://doi.org/10.2307/1942118" TargetMode="External" /><Relationship Type="http://schemas.openxmlformats.org/officeDocument/2006/relationships/hyperlink" Id="rId68" Target="https://doi.org/10.2307/1948641" TargetMode="External" /><Relationship Type="http://schemas.openxmlformats.org/officeDocument/2006/relationships/hyperlink" Id="rId54" Target="https://doi.org/10.2307/204918" TargetMode="External" /><Relationship Type="http://schemas.openxmlformats.org/officeDocument/2006/relationships/hyperlink" Id="rId88" Target="https://doi.org/10.2307/3546879" TargetMode="External" /><Relationship Type="http://schemas.openxmlformats.org/officeDocument/2006/relationships/hyperlink" Id="rId70" Target="https://web.archive.org/web/20171215000000*/http://www.faculty.umb.edu/pjt/pearce00.pdf"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07/BF00054413" TargetMode="External" /><Relationship Type="http://schemas.openxmlformats.org/officeDocument/2006/relationships/hyperlink" Id="rId78" Target="https://doi.org/10.1016/0020-7519(87)90112-3" TargetMode="External" /><Relationship Type="http://schemas.openxmlformats.org/officeDocument/2006/relationships/hyperlink" Id="rId92" Target="https://doi.org/10.1016/j.pt.2010.02.010" TargetMode="External" /><Relationship Type="http://schemas.openxmlformats.org/officeDocument/2006/relationships/hyperlink" Id="rId86" Target="https://doi.org/10.1017/S003118209800239X" TargetMode="External" /><Relationship Type="http://schemas.openxmlformats.org/officeDocument/2006/relationships/hyperlink" Id="rId90" Target="https://doi.org/10.1023/A:1015855019360" TargetMode="External" /><Relationship Type="http://schemas.openxmlformats.org/officeDocument/2006/relationships/hyperlink" Id="rId72" Target="https://doi.org/10.1034/j.1600-0706.2000.910111.x" TargetMode="External" /><Relationship Type="http://schemas.openxmlformats.org/officeDocument/2006/relationships/hyperlink" Id="rId80" Target="https://doi.org/10.1034/j.1600-0706.2001.t01-1-11193.x" TargetMode="External" /><Relationship Type="http://schemas.openxmlformats.org/officeDocument/2006/relationships/hyperlink" Id="rId66" Target="https://doi.org/10.1046/j.1461-0248.2003.00500.x" TargetMode="External" /><Relationship Type="http://schemas.openxmlformats.org/officeDocument/2006/relationships/hyperlink" Id="rId82" Target="https://doi.org/10.1111/1365-2435.12011" TargetMode="External" /><Relationship Type="http://schemas.openxmlformats.org/officeDocument/2006/relationships/hyperlink" Id="rId74" Target="https://doi.org/10.1111/ele.13919" TargetMode="External" /><Relationship Type="http://schemas.openxmlformats.org/officeDocument/2006/relationships/hyperlink" Id="rId60" Target="https://doi.org/10.1111/j.1095-8649.2008.02059.x" TargetMode="External" /><Relationship Type="http://schemas.openxmlformats.org/officeDocument/2006/relationships/hyperlink" Id="rId84" Target="https://doi.org/10.1111/j.1365-2907.1985.tb00396.x" TargetMode="External" /><Relationship Type="http://schemas.openxmlformats.org/officeDocument/2006/relationships/hyperlink" Id="rId64" Target="https://doi.org/10.1126/sciadv.abj5944" TargetMode="External" /><Relationship Type="http://schemas.openxmlformats.org/officeDocument/2006/relationships/hyperlink" Id="rId58" Target="https://doi.org/10.1371/journal.pbio.1000210" TargetMode="External" /><Relationship Type="http://schemas.openxmlformats.org/officeDocument/2006/relationships/hyperlink" Id="rId56" Target="https://doi.org/10.14288/1.0097282" TargetMode="External" /><Relationship Type="http://schemas.openxmlformats.org/officeDocument/2006/relationships/hyperlink" Id="rId62" Target="https://doi.org/10.1890/03-5088" TargetMode="External" /><Relationship Type="http://schemas.openxmlformats.org/officeDocument/2006/relationships/hyperlink" Id="rId76" Target="https://doi.org/10.2307/1942118" TargetMode="External" /><Relationship Type="http://schemas.openxmlformats.org/officeDocument/2006/relationships/hyperlink" Id="rId68" Target="https://doi.org/10.2307/1948641" TargetMode="External" /><Relationship Type="http://schemas.openxmlformats.org/officeDocument/2006/relationships/hyperlink" Id="rId54" Target="https://doi.org/10.2307/204918" TargetMode="External" /><Relationship Type="http://schemas.openxmlformats.org/officeDocument/2006/relationships/hyperlink" Id="rId88" Target="https://doi.org/10.2307/3546879" TargetMode="External" /><Relationship Type="http://schemas.openxmlformats.org/officeDocument/2006/relationships/hyperlink" Id="rId70" Target="https://web.archive.org/web/20171215000000*/http://www.faculty.umb.edu/pjt/pearce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Parasites and host communities</dc:title>
  <dc:creator/>
  <cp:keywords/>
  <dcterms:created xsi:type="dcterms:W3CDTF">2025-10-03T01:39:43Z</dcterms:created>
  <dcterms:modified xsi:type="dcterms:W3CDTF">2025-10-03T01:39:43Z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../eeid.bib</vt:lpwstr>
  </property>
</Properties>
</file>