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 introduction</w:t>
      </w:r>
    </w:p>
    <w:p>
      <w:pPr>
        <w:pStyle w:val="Date"/>
      </w:pPr>
      <w:r>
        <w:t xml:space="preserve">21 Aug 2025</w:t>
      </w:r>
    </w:p>
    <w:bookmarkStart w:id="21" w:name="land-acknowledgement"/>
    <w:p>
      <w:pPr>
        <w:pStyle w:val="Heading2"/>
      </w:pPr>
      <w:r>
        <w:t xml:space="preserve">Land acknowledgement</w:t>
      </w:r>
    </w:p>
    <w:p>
      <w:pPr>
        <w:pStyle w:val="FirstParagraph"/>
      </w:pPr>
      <w:r>
        <w:t xml:space="preserve">McMaster University (and this class) is on the traditional territories of the Mississauga and Haudenosaunee nations, and within the lands protected by the</w:t>
      </w:r>
      <w:r>
        <w:t xml:space="preserve"> </w:t>
      </w:r>
      <w:r>
        <w:t xml:space="preserve">“Dish with One Spoon”</w:t>
      </w:r>
      <w:r>
        <w:t xml:space="preserve"> </w:t>
      </w:r>
      <w:r>
        <w:t xml:space="preserve">wampum agreement. (</w:t>
      </w:r>
      <w:r>
        <w:rPr>
          <w:b/>
          <w:bCs/>
        </w:rPr>
        <w:t xml:space="preserve">Why?</w:t>
      </w:r>
      <w:r>
        <w:t xml:space="preserve"> </w:t>
      </w: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“Beyond Territorial Acknowledgements”</w:t>
        </w:r>
      </w:hyperlink>
    </w:p>
    <w:bookmarkEnd w:id="21"/>
    <w:bookmarkStart w:id="22" w:name="course-goals"/>
    <w:p>
      <w:pPr>
        <w:pStyle w:val="Heading1"/>
      </w:pPr>
      <w:r>
        <w:t xml:space="preserve">Course goals</w:t>
      </w:r>
    </w:p>
    <w:p>
      <w:pPr>
        <w:pStyle w:val="FirstParagraph"/>
      </w:pPr>
      <w:r>
        <w:rPr>
          <w:b/>
          <w:bCs/>
        </w:rPr>
        <w:t xml:space="preserve">Primary</w:t>
      </w:r>
      <w:r>
        <w:t xml:space="preserve">: To learn about the ecology and evolution of infectious</w:t>
      </w:r>
      <w:r>
        <w:t xml:space="preserve"> </w:t>
      </w:r>
      <w:r>
        <w:t xml:space="preserve">diseases and parasites in general, both (1) the E&amp;E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t xml:space="preserve">infectious</w:t>
      </w:r>
      <w:r>
        <w:t xml:space="preserve"> </w:t>
      </w:r>
      <w:r>
        <w:t xml:space="preserve">diseases (how E&amp;E principles apply to pathogens) and (2) the effect of</w:t>
      </w:r>
      <w:r>
        <w:t xml:space="preserve"> </w:t>
      </w:r>
      <w:r>
        <w:t xml:space="preserve">pathogens on the E&amp;E of their host organisms and communities.</w:t>
      </w:r>
    </w:p>
    <w:p>
      <w:pPr>
        <w:pStyle w:val="BodyText"/>
      </w:pPr>
      <w:r>
        <w:rPr>
          <w:b/>
          <w:bCs/>
        </w:rPr>
        <w:t xml:space="preserve">Secondary</w:t>
      </w:r>
      <w:r>
        <w:t xml:space="preserve">: to practice a variety of skills including critical</w:t>
      </w:r>
      <w:r>
        <w:t xml:space="preserve"> </w:t>
      </w:r>
      <w:r>
        <w:t xml:space="preserve">and creative thinking; critical reading of papers from the</w:t>
      </w:r>
      <w:r>
        <w:t xml:space="preserve"> </w:t>
      </w:r>
      <w:r>
        <w:t xml:space="preserve">primary and secondary literature; scientific writing and review; web and</w:t>
      </w:r>
      <w:r>
        <w:t xml:space="preserve"> </w:t>
      </w:r>
      <w:r>
        <w:t xml:space="preserve">literature searches for scientific information.</w:t>
      </w:r>
    </w:p>
    <w:p>
      <w:pPr>
        <w:pStyle w:val="BodyText"/>
      </w:pPr>
      <w:r>
        <w:t xml:space="preserve">Check out</w:t>
      </w:r>
      <w:r>
        <w:t xml:space="preserve"> </w:t>
      </w:r>
      <w:r>
        <w:t xml:space="preserve">Perry Jr. (1997)</w:t>
      </w:r>
      <w:r>
        <w:t xml:space="preserve">.</w:t>
      </w:r>
    </w:p>
    <w:bookmarkEnd w:id="22"/>
    <w:bookmarkStart w:id="25" w:name="expectations"/>
    <w:p>
      <w:pPr>
        <w:pStyle w:val="Heading1"/>
      </w:pPr>
      <w:r>
        <w:t xml:space="preserve">Expectations</w:t>
      </w:r>
    </w:p>
    <w:p>
      <w:pPr>
        <w:pStyle w:val="Compact"/>
        <w:numPr>
          <w:ilvl w:val="0"/>
          <w:numId w:val="1001"/>
        </w:numPr>
      </w:pPr>
      <w:r>
        <w:t xml:space="preserve">attend and participate in class (on time); do the reading; ask questions</w:t>
      </w:r>
      <w:r>
        <w:t xml:space="preserve"> </w:t>
      </w:r>
      <w:r>
        <w:t xml:space="preserve">(including submitting your discussion questions online and</w:t>
      </w:r>
      <w:r>
        <w:t xml:space="preserve"> </w:t>
      </w:r>
      <w:r>
        <w:t xml:space="preserve">participating in class and online discussions); think critically and</w:t>
      </w:r>
      <w:r>
        <w:t xml:space="preserve"> </w:t>
      </w:r>
      <w:r>
        <w:t xml:space="preserve">creatively.</w:t>
      </w:r>
      <w:r>
        <w:t xml:space="preserve"> </w:t>
      </w:r>
      <w:r>
        <w:rPr>
          <w:i/>
          <w:iCs/>
        </w:rPr>
        <w:t xml:space="preserve">Please let me know if you can’t participate in class discussion (shyness, internet/remote-participation issues, etc.).</w:t>
      </w:r>
    </w:p>
    <w:p>
      <w:pPr>
        <w:pStyle w:val="Compact"/>
        <w:numPr>
          <w:ilvl w:val="0"/>
          <w:numId w:val="1001"/>
        </w:numPr>
      </w:pPr>
      <w:r>
        <w:t xml:space="preserve">know basic ecological and evolutionary principles (from BIO 1M03, 2C03,</w:t>
      </w:r>
      <w:r>
        <w:t xml:space="preserve"> </w:t>
      </w:r>
      <w:r>
        <w:t xml:space="preserve">2F03, 3FF3) but more importantly</w:t>
      </w:r>
      <w:r>
        <w:t xml:space="preserve"> </w:t>
      </w:r>
      <w:r>
        <w:rPr>
          <w:b/>
          <w:bCs/>
        </w:rPr>
        <w:t xml:space="preserve">to ask questions, in or out of</w:t>
      </w:r>
      <w:r>
        <w:rPr>
          <w:b/>
          <w:bCs/>
        </w:rPr>
        <w:t xml:space="preserve"> </w:t>
      </w:r>
      <w:r>
        <w:rPr>
          <w:b/>
          <w:bCs/>
        </w:rPr>
        <w:t xml:space="preserve">class, when you don’t understand something</w:t>
      </w:r>
      <w:r>
        <w:t xml:space="preserve">. There is no such thing</w:t>
      </w:r>
      <w:r>
        <w:t xml:space="preserve"> </w:t>
      </w:r>
      <w:r>
        <w:t xml:space="preserve">as a stupid question. If you don’t know something you’re</w:t>
      </w:r>
      <w:r>
        <w:t xml:space="preserve"> </w:t>
      </w:r>
      <w:r>
        <w:t xml:space="preserve">probably not the only one in class.</w:t>
      </w:r>
    </w:p>
    <w:p>
      <w:pPr>
        <w:pStyle w:val="Compact"/>
        <w:numPr>
          <w:ilvl w:val="0"/>
          <w:numId w:val="1001"/>
        </w:numPr>
      </w:pPr>
      <w:r>
        <w:t xml:space="preserve">behave responsibly in online and in-person settings</w:t>
      </w:r>
    </w:p>
    <w:p>
      <w:pPr>
        <w:pStyle w:val="Compact"/>
        <w:numPr>
          <w:ilvl w:val="0"/>
          <w:numId w:val="1001"/>
        </w:numPr>
      </w:pPr>
      <w:r>
        <w:t xml:space="preserve">do your own work, don’t plagiarize, reference sources appropriately, credit group work appropriately: see</w:t>
      </w:r>
      <w:r>
        <w:t xml:space="preserve"> </w:t>
      </w:r>
      <w:hyperlink r:id="rId23">
        <w:r>
          <w:rPr>
            <w:rStyle w:val="Hyperlink"/>
          </w:rPr>
          <w:t xml:space="preserve">honesty.html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Appropriate use of generative AI. We will discuss GenAI at greater length later, but roughly: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always</w:t>
      </w:r>
      <w:r>
        <w:t xml:space="preserve"> </w:t>
      </w:r>
      <w:r>
        <w:t xml:space="preserve">cite GenAI use (see</w:t>
      </w:r>
      <w:r>
        <w:t xml:space="preserve"> </w:t>
      </w:r>
      <w:hyperlink r:id="rId24">
        <w:r>
          <w:rPr>
            <w:rStyle w:val="Hyperlink"/>
          </w:rPr>
          <w:t xml:space="preserve">citation guide</w:t>
        </w:r>
      </w:hyperlink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fixing spelling and grammar: OK, make sure it doesn’t change the meaning</w:t>
      </w:r>
    </w:p>
    <w:p>
      <w:pPr>
        <w:pStyle w:val="Compact"/>
        <w:numPr>
          <w:ilvl w:val="1"/>
          <w:numId w:val="1002"/>
        </w:numPr>
      </w:pPr>
      <w:r>
        <w:t xml:space="preserve">polishing writing: if you must, although it might not improve it</w:t>
      </w:r>
    </w:p>
    <w:p>
      <w:pPr>
        <w:pStyle w:val="Compact"/>
        <w:numPr>
          <w:ilvl w:val="1"/>
          <w:numId w:val="1002"/>
        </w:numPr>
      </w:pPr>
      <w:r>
        <w:t xml:space="preserve">finding resources: OK, but check that the sources really exist and that facts are correct</w:t>
      </w:r>
    </w:p>
    <w:p>
      <w:pPr>
        <w:pStyle w:val="Compact"/>
        <w:numPr>
          <w:ilvl w:val="1"/>
          <w:numId w:val="1002"/>
        </w:numPr>
      </w:pPr>
      <w:r>
        <w:t xml:space="preserve">coming up with ideas:</w:t>
      </w:r>
      <w:r>
        <w:t xml:space="preserve"> </w:t>
      </w:r>
      <w:r>
        <w:rPr>
          <w:b/>
          <w:bCs/>
        </w:rPr>
        <w:t xml:space="preserve">not OK</w:t>
      </w:r>
    </w:p>
    <w:p>
      <w:pPr>
        <w:pStyle w:val="Compact"/>
        <w:numPr>
          <w:ilvl w:val="1"/>
          <w:numId w:val="1002"/>
        </w:numPr>
      </w:pPr>
      <w:r>
        <w:t xml:space="preserve">writing from scratch:</w:t>
      </w:r>
      <w:r>
        <w:t xml:space="preserve"> </w:t>
      </w:r>
      <w:r>
        <w:rPr>
          <w:b/>
          <w:bCs/>
        </w:rPr>
        <w:t xml:space="preserve">not OK</w:t>
      </w:r>
      <w:r>
        <w:t xml:space="preserve"> </w:t>
      </w:r>
      <w:r>
        <w:t xml:space="preserve">(not even first drafts)</w:t>
      </w:r>
    </w:p>
    <w:bookmarkEnd w:id="25"/>
    <w:bookmarkStart w:id="27" w:name="assignments-grading"/>
    <w:p>
      <w:pPr>
        <w:pStyle w:val="Heading1"/>
      </w:pPr>
      <w:r>
        <w:t xml:space="preserve">Assignments &amp; grading</w:t>
      </w:r>
    </w:p>
    <w:p>
      <w:pPr>
        <w:pStyle w:val="Compact"/>
        <w:numPr>
          <w:ilvl w:val="0"/>
          <w:numId w:val="1003"/>
        </w:numPr>
      </w:pPr>
      <w:r>
        <w:t xml:space="preserve">See</w:t>
      </w:r>
      <w:r>
        <w:t xml:space="preserve"> </w:t>
      </w:r>
      <w:hyperlink r:id="rId26">
        <w:r>
          <w:rPr>
            <w:rStyle w:val="Hyperlink"/>
          </w:rPr>
          <w:t xml:space="preserve">here</w:t>
        </w:r>
      </w:hyperlink>
    </w:p>
    <w:bookmarkEnd w:id="27"/>
    <w:bookmarkStart w:id="28" w:name="readings-and-discussion"/>
    <w:p>
      <w:pPr>
        <w:pStyle w:val="Heading1"/>
      </w:pPr>
      <w:r>
        <w:t xml:space="preserve">Readings and discussion</w:t>
      </w:r>
    </w:p>
    <w:p>
      <w:pPr>
        <w:pStyle w:val="FirstParagraph"/>
      </w:pPr>
      <w:r>
        <w:t xml:space="preserve">In addition to the textbook, we will read papers from the primary and</w:t>
      </w:r>
      <w:r>
        <w:t xml:space="preserve"> </w:t>
      </w:r>
      <w:r>
        <w:t xml:space="preserve">secondary literature and discuss them in class every Friday (starting September 12). I hope to do reading-based interactions on Perusall, still working out the details.</w:t>
      </w:r>
    </w:p>
    <w:bookmarkEnd w:id="28"/>
    <w:bookmarkStart w:id="29" w:name="recordings-and-notes"/>
    <w:p>
      <w:pPr>
        <w:pStyle w:val="Heading1"/>
      </w:pPr>
      <w:r>
        <w:t xml:space="preserve">Recordings and notes</w:t>
      </w:r>
    </w:p>
    <w:p>
      <w:pPr>
        <w:pStyle w:val="Compact"/>
        <w:numPr>
          <w:ilvl w:val="0"/>
          <w:numId w:val="1004"/>
        </w:numPr>
      </w:pPr>
      <w:r>
        <w:t xml:space="preserve">I will post lecture notes beforehand; recordings will be available by request. Don’t expect them to be comprehensive.</w:t>
      </w:r>
    </w:p>
    <w:p>
      <w:pPr>
        <w:pStyle w:val="Compact"/>
        <w:numPr>
          <w:ilvl w:val="0"/>
          <w:numId w:val="1004"/>
        </w:numPr>
      </w:pPr>
      <w:r>
        <w:t xml:space="preserve">There will be some</w:t>
      </w:r>
      <w:r>
        <w:t xml:space="preserve"> </w:t>
      </w:r>
      <w:r>
        <w:t xml:space="preserve">‘spoiler’</w:t>
      </w:r>
      <w:r>
        <w:t xml:space="preserve"> </w:t>
      </w:r>
      <w:r>
        <w:t xml:space="preserve">blocks in notes.</w:t>
      </w:r>
    </w:p>
    <w:p>
      <w:pPr>
        <w:pStyle w:val="Compact"/>
        <w:numPr>
          <w:ilvl w:val="0"/>
          <w:numId w:val="1004"/>
        </w:numPr>
      </w:pPr>
      <w:r>
        <w:t xml:space="preserve">If you prefer notes in another format, ask.</w:t>
      </w:r>
    </w:p>
    <w:bookmarkEnd w:id="29"/>
    <w:bookmarkStart w:id="34" w:name="topics"/>
    <w:p>
      <w:pPr>
        <w:pStyle w:val="Heading1"/>
      </w:pPr>
      <w:r>
        <w:t xml:space="preserve">Topics</w:t>
      </w:r>
    </w:p>
    <w:p>
      <w:pPr>
        <w:pStyle w:val="Compact"/>
        <w:numPr>
          <w:ilvl w:val="0"/>
          <w:numId w:val="1005"/>
        </w:numPr>
      </w:pPr>
      <w:r>
        <w:t xml:space="preserve">Way too much interesting stuff:</w:t>
      </w:r>
    </w:p>
    <w:p>
      <w:pPr>
        <w:pStyle w:val="Compact"/>
        <w:numPr>
          <w:ilvl w:val="1"/>
          <w:numId w:val="1006"/>
        </w:numPr>
      </w:pPr>
      <w:r>
        <w:t xml:space="preserve">how does the ecology (</w:t>
      </w:r>
      <w:r>
        <w:t xml:space="preserve">“distribution and abundance”</w:t>
      </w:r>
      <w:r>
        <w:t xml:space="preserve">) of parasites/ID work? Classic ID epidemiology, population dynamics. Variation in space and time.</w:t>
      </w:r>
    </w:p>
    <w:p>
      <w:pPr>
        <w:pStyle w:val="Compact"/>
        <w:numPr>
          <w:ilvl w:val="1"/>
          <w:numId w:val="1006"/>
        </w:numPr>
      </w:pPr>
      <w:r>
        <w:t xml:space="preserve">how do parasites/ID evolve? Phylogenetics, population genetics; phenotypes, genotypes</w:t>
      </w:r>
    </w:p>
    <w:p>
      <w:pPr>
        <w:pStyle w:val="Compact"/>
        <w:numPr>
          <w:ilvl w:val="1"/>
          <w:numId w:val="1006"/>
        </w:numPr>
      </w:pPr>
      <w:r>
        <w:t xml:space="preserve">how do parasites/ID affect the ecology of their hosts? Biocontrol, conservation biology, apparent competition, trophic cascades</w:t>
      </w:r>
    </w:p>
    <w:p>
      <w:pPr>
        <w:pStyle w:val="Compact"/>
        <w:numPr>
          <w:ilvl w:val="1"/>
          <w:numId w:val="1006"/>
        </w:numPr>
      </w:pPr>
      <w:r>
        <w:t xml:space="preserve">how do parasites/ID affect the evolution of their hosts? Coevolution</w:t>
      </w:r>
    </w:p>
    <w:p>
      <w:pPr>
        <w:pStyle w:val="Compact"/>
        <w:numPr>
          <w:ilvl w:val="0"/>
          <w:numId w:val="1006"/>
        </w:numPr>
      </w:pPr>
      <w:r>
        <w:t xml:space="preserve">The important questions: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How do we know?</w:t>
      </w:r>
      <w:r>
        <w:t xml:space="preserve"> </w:t>
      </w:r>
      <w:r>
        <w:t xml:space="preserve">Population genetics, phylogenetics, historical records, surveys, experiments, statistics, mathematical models, meta-analysis …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So what?</w:t>
      </w:r>
      <w:r>
        <w:t xml:space="preserve"> </w:t>
      </w:r>
      <w:r>
        <w:t xml:space="preserve">Why are we bothering with the details of a certain fact or definition?</w:t>
      </w:r>
    </w:p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31" w:name="ref-Perry1963"/>
    <w:p>
      <w:pPr>
        <w:pStyle w:val="Bibliography"/>
      </w:pPr>
      <w:r>
        <w:t xml:space="preserve">Perry Jr., William G. 1997.</w:t>
      </w:r>
      <w:r>
        <w:t xml:space="preserve"> </w:t>
      </w:r>
      <w:r>
        <w:t xml:space="preserve">“Examsmanship and the Liberal Arts: An Epistemological Inquiry.”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The Writer’s Home Companion: An Anthology of the World’s Best Writing Advice, from Keats to Kunitz</w:t>
      </w:r>
      <w:r>
        <w:t xml:space="preserve">, edited by Joan Bolker, 234–50. New York: Henry Holt &amp; Company.</w:t>
      </w:r>
      <w:r>
        <w:t xml:space="preserve"> </w:t>
      </w:r>
      <w:hyperlink r:id="rId30">
        <w:r>
          <w:rPr>
            <w:rStyle w:val="Hyperlink"/>
          </w:rPr>
          <w:t xml:space="preserve">https://web.archive.org/web/20031219180243/http://plantpath.unl.edu/llane/101/examsmanship.html</w:t>
        </w:r>
      </w:hyperlink>
      <w:r>
        <w:t xml:space="preserve">.</w:t>
      </w:r>
    </w:p>
    <w:bookmarkEnd w:id="31"/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../assignments/README.html" TargetMode="External" /><Relationship Type="http://schemas.openxmlformats.org/officeDocument/2006/relationships/hyperlink" Id="rId23" Target="honesty.html" TargetMode="External" /><Relationship Type="http://schemas.openxmlformats.org/officeDocument/2006/relationships/hyperlink" Id="rId20" Target="https://apihtawikosisan.com/2024/11/revisiting-beyond-territorial-acknowledgments/" TargetMode="External" /><Relationship Type="http://schemas.openxmlformats.org/officeDocument/2006/relationships/hyperlink" Id="rId24" Target="https://libguides.mcmaster.ca/cite-gen-ai" TargetMode="External" /><Relationship Type="http://schemas.openxmlformats.org/officeDocument/2006/relationships/hyperlink" Id="rId30" Target="https://web.archive.org/web/20031219180243/http://plantpath.unl.edu/llane/101/examsmanshi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assignments/README.html" TargetMode="External" /><Relationship Type="http://schemas.openxmlformats.org/officeDocument/2006/relationships/hyperlink" Id="rId23" Target="honesty.html" TargetMode="External" /><Relationship Type="http://schemas.openxmlformats.org/officeDocument/2006/relationships/hyperlink" Id="rId20" Target="https://apihtawikosisan.com/2024/11/revisiting-beyond-territorial-acknowledgments/" TargetMode="External" /><Relationship Type="http://schemas.openxmlformats.org/officeDocument/2006/relationships/hyperlink" Id="rId24" Target="https://libguides.mcmaster.ca/cite-gen-ai" TargetMode="External" /><Relationship Type="http://schemas.openxmlformats.org/officeDocument/2006/relationships/hyperlink" Id="rId30" Target="https://web.archive.org/web/20031219180243/http://plantpath.unl.edu/llane/101/examsmanshi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introduction</dc:title>
  <dc:creator/>
  <cp:keywords/>
  <dcterms:created xsi:type="dcterms:W3CDTF">2025-08-21T19:00:20Z</dcterms:created>
  <dcterms:modified xsi:type="dcterms:W3CDTF">2025-08-21T19:00:20Z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date">
    <vt:lpwstr>21 Aug 2025</vt:lpwstr>
  </property>
</Properties>
</file>