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8.png" ContentType="image/png"/>
  <Override PartName="/word/media/rId26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2023</w:t>
      </w:r>
    </w:p>
    <w:p>
      <w:pPr>
        <w:pStyle w:val="Heading2"/>
      </w:pPr>
      <w:bookmarkStart w:id="20" w:name="emerging-and-re-emerging-disease"/>
      <w:r>
        <w:t xml:space="preserve">emerging and re-emerging disease</w:t>
      </w:r>
      <w:bookmarkEnd w:id="20"/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zoon_eme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new mutations</w:t>
      </w:r>
    </w:p>
    <w:p>
      <w:pPr>
        <w:numPr>
          <w:ilvl w:val="0"/>
          <w:numId w:val="1001"/>
        </w:numPr>
        <w:pStyle w:val="Compact"/>
      </w:pPr>
      <w:r>
        <w:t xml:space="preserve">change in environment</w:t>
      </w:r>
    </w:p>
    <w:p>
      <w:pPr>
        <w:numPr>
          <w:ilvl w:val="0"/>
          <w:numId w:val="1001"/>
        </w:numPr>
        <w:pStyle w:val="Compact"/>
      </w:pPr>
      <w:r>
        <w:t xml:space="preserve">resistant strains</w:t>
      </w:r>
    </w:p>
    <w:p>
      <w:pPr>
        <w:numPr>
          <w:ilvl w:val="0"/>
          <w:numId w:val="1001"/>
        </w:numPr>
        <w:pStyle w:val="Compact"/>
      </w:pPr>
      <w:r>
        <w:t xml:space="preserve">species jumps (encounter and compatibility: changes via recombination, mutation)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p>
      <w:pPr>
        <w:pStyle w:val="Heading2"/>
      </w:pPr>
      <w:bookmarkStart w:id="22" w:name="batrachochytrium-dendrobatidis"/>
      <w:r>
        <w:rPr>
          <w:i/>
        </w:rPr>
        <w:t xml:space="preserve">Batrachochytrium dendrobatidis</w:t>
      </w:r>
      <w:bookmarkEnd w:id="22"/>
    </w:p>
    <w:p>
      <w:pPr>
        <w:pStyle w:val="FirstParagraph"/>
      </w:pPr>
      <w:r>
        <w:rPr>
          <w:b/>
        </w:rPr>
        <w:t xml:space="preserve">Reminders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numPr>
          <w:ilvl w:val="0"/>
          <w:numId w:val="1003"/>
        </w:numPr>
        <w:pStyle w:val="Compact"/>
      </w:pPr>
      <w:r>
        <w:t xml:space="preserve">occurred in pristine areas (probably not anthropogenic?)</w:t>
      </w:r>
    </w:p>
    <w:p>
      <w:pPr>
        <w:numPr>
          <w:ilvl w:val="0"/>
          <w:numId w:val="1003"/>
        </w:numPr>
        <w:pStyle w:val="Compact"/>
      </w:pPr>
      <w:r>
        <w:t xml:space="preserve">pathogenesis via screwed-up osmoregulation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  <w:pStyle w:val="Compact"/>
      </w:pPr>
      <w:r>
        <w:t xml:space="preserve">some species decline in the absence of Bd</w:t>
      </w:r>
    </w:p>
    <w:p>
      <w:pPr>
        <w:numPr>
          <w:ilvl w:val="0"/>
          <w:numId w:val="1005"/>
        </w:numPr>
        <w:pStyle w:val="Compact"/>
      </w:pPr>
      <w:r>
        <w:t xml:space="preserve">some species stable in the presence of Bd</w:t>
      </w:r>
      <w:r>
        <w:br/>
      </w:r>
      <w:r>
        <w:t xml:space="preserve">(Bd may have been there all along?)</w:t>
      </w:r>
    </w:p>
    <w:p>
      <w:pPr>
        <w:numPr>
          <w:ilvl w:val="0"/>
          <w:numId w:val="1005"/>
        </w:numPr>
        <w:pStyle w:val="Compact"/>
      </w:pPr>
      <w:r>
        <w:t xml:space="preserve">susceptibility:</w:t>
      </w:r>
    </w:p>
    <w:p>
      <w:pPr>
        <w:numPr>
          <w:ilvl w:val="1"/>
          <w:numId w:val="1006"/>
        </w:numPr>
        <w:pStyle w:val="Compact"/>
      </w:pPr>
      <w:r>
        <w:t xml:space="preserve">ability to bask</w:t>
      </w:r>
    </w:p>
    <w:p>
      <w:pPr>
        <w:numPr>
          <w:ilvl w:val="1"/>
          <w:numId w:val="1006"/>
        </w:numPr>
        <w:pStyle w:val="Compact"/>
      </w:pPr>
      <w:r>
        <w:t xml:space="preserve">antimicrobial peptides</w:t>
      </w:r>
    </w:p>
    <w:p>
      <w:pPr>
        <w:pStyle w:val="FirstParagraph"/>
      </w:pPr>
      <w:r>
        <w:rPr>
          <w:b/>
        </w:rPr>
        <w:t xml:space="preserve">tipping point hypothesis</w:t>
      </w:r>
      <w:r>
        <w:t xml:space="preserve">: in populations all the time, but something happened to increase virulence/reduce tolerance or resistance</w:t>
      </w:r>
    </w:p>
    <w:p>
      <w:pPr>
        <w:numPr>
          <w:ilvl w:val="0"/>
          <w:numId w:val="1007"/>
        </w:numPr>
      </w:pPr>
      <w:r>
        <w:t xml:space="preserve">climate change/El Niño ?</w:t>
      </w:r>
    </w:p>
    <w:p>
      <w:pPr>
        <w:numPr>
          <w:ilvl w:val="0"/>
          <w:numId w:val="1007"/>
        </w:numPr>
      </w:pPr>
      <w:r>
        <w:t xml:space="preserve">ultraviolet radiation?</w:t>
      </w:r>
    </w:p>
    <w:p>
      <w:pPr>
        <w:numPr>
          <w:ilvl w:val="0"/>
          <w:numId w:val="1007"/>
        </w:numPr>
      </w:pPr>
      <w:r>
        <w:t xml:space="preserve">cooler temperatures? (basking etc.)</w:t>
      </w:r>
    </w:p>
    <w:p>
      <w:pPr>
        <w:numPr>
          <w:ilvl w:val="0"/>
          <w:numId w:val="1007"/>
        </w:numPr>
      </w:pPr>
      <w:r>
        <w:t xml:space="preserve">pesticides?</w:t>
      </w:r>
    </w:p>
    <w:p>
      <w:pPr>
        <w:numPr>
          <w:ilvl w:val="0"/>
          <w:numId w:val="1007"/>
        </w:numPr>
      </w:pPr>
      <w:r>
        <w:t xml:space="preserve">combination (species × temperature × U/V × pesticide × …)</w:t>
      </w:r>
    </w:p>
    <w:p>
      <w:pPr>
        <w:numPr>
          <w:ilvl w:val="0"/>
          <w:numId w:val="1007"/>
        </w:numPr>
      </w:pPr>
      <w:r>
        <w:t xml:space="preserve">Pounds et al. (2006)</w:t>
      </w:r>
      <w:r>
        <w:t xml:space="preserve">:</w:t>
      </w:r>
      <w:r>
        <w:t xml:space="preserve"> </w:t>
      </w:r>
      <w:r>
        <w:t xml:space="preserve">“</w:t>
      </w:r>
      <w:r>
        <w:t xml:space="preserve">chytrid-thermal-optimum hypothesis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et al. (2008)</w:t>
      </w:r>
      <w:r>
        <w:t xml:space="preserve">:</w:t>
      </w:r>
      <w:r>
        <w:t xml:space="preserve"> </w:t>
      </w:r>
      <w:r>
        <w:t xml:space="preserve">“</w:t>
      </w:r>
      <w:r>
        <w:t xml:space="preserve">numerous other variables, including regional banana and beer production, were better predictors of these extinctions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&amp; Raffel (2010)</w:t>
      </w:r>
    </w:p>
    <w:p>
      <w:pPr>
        <w:pStyle w:val="FirstParagraph"/>
      </w:pPr>
      <w:r>
        <w:rPr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Out of Africa</w:t>
      </w:r>
      <w:r>
        <w:t xml:space="preserve">”</w:t>
      </w:r>
      <w:r>
        <w:t xml:space="preserve"> </w:t>
      </w:r>
      <w:r>
        <w:t xml:space="preserve">hypothesis</w:t>
      </w:r>
    </w:p>
    <w:p>
      <w:pPr>
        <w:numPr>
          <w:ilvl w:val="0"/>
          <w:numId w:val="1008"/>
        </w:numPr>
        <w:pStyle w:val="Compact"/>
      </w:pPr>
      <w:r>
        <w:t xml:space="preserve">earlier/broader detection in historical specimens: CA/bullfrog, Brazil …</w:t>
      </w:r>
    </w:p>
    <w:p>
      <w:pPr>
        <w:numPr>
          <w:ilvl w:val="0"/>
          <w:numId w:val="1008"/>
        </w:numPr>
        <w:pStyle w:val="Compact"/>
      </w:pPr>
      <w:r>
        <w:t xml:space="preserve">genomics (challenging!)</w:t>
      </w:r>
    </w:p>
    <w:p>
      <w:pPr>
        <w:numPr>
          <w:ilvl w:val="0"/>
          <w:numId w:val="1008"/>
        </w:numPr>
        <w:pStyle w:val="Compact"/>
      </w:pPr>
      <w:r>
        <w:t xml:space="preserve">Asian sampling</w:t>
      </w:r>
    </w:p>
    <w:p>
      <w:pPr>
        <w:pStyle w:val="Heading2"/>
      </w:pPr>
      <w:bookmarkStart w:id="23" w:name="monkeypox"/>
      <w:r>
        <w:t xml:space="preserve">monkeypox</w:t>
      </w:r>
      <w:bookmarkEnd w:id="23"/>
    </w:p>
    <w:p>
      <w:pPr>
        <w:pStyle w:val="Heading2"/>
      </w:pPr>
      <w:bookmarkStart w:id="24" w:name="climate-change"/>
      <w:r>
        <w:t xml:space="preserve">climate change</w:t>
      </w:r>
      <w:bookmarkEnd w:id="24"/>
    </w:p>
    <w:p>
      <w:pPr>
        <w:numPr>
          <w:ilvl w:val="0"/>
          <w:numId w:val="1009"/>
        </w:numPr>
        <w:pStyle w:val="Compact"/>
      </w:pPr>
      <w:r>
        <w:t xml:space="preserve">warming</w:t>
      </w:r>
    </w:p>
    <w:p>
      <w:pPr>
        <w:numPr>
          <w:ilvl w:val="1"/>
          <w:numId w:val="1010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10"/>
        </w:numPr>
        <w:pStyle w:val="Compact"/>
      </w:pPr>
      <w:r>
        <w:t xml:space="preserve">vector biology</w:t>
      </w:r>
    </w:p>
    <w:p>
      <w:pPr>
        <w:numPr>
          <w:ilvl w:val="2"/>
          <w:numId w:val="1011"/>
        </w:numPr>
        <w:pStyle w:val="Compact"/>
      </w:pPr>
      <w:r>
        <w:t xml:space="preserve">extended range</w:t>
      </w:r>
    </w:p>
    <w:p>
      <w:pPr>
        <w:numPr>
          <w:ilvl w:val="2"/>
          <w:numId w:val="1011"/>
        </w:numPr>
        <w:pStyle w:val="Compact"/>
      </w:pPr>
      <w:r>
        <w:t xml:space="preserve">higher activity?</w:t>
      </w:r>
    </w:p>
    <w:p>
      <w:pPr>
        <w:numPr>
          <w:ilvl w:val="0"/>
          <w:numId w:val="1009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9"/>
        </w:numPr>
        <w:pStyle w:val="Compact"/>
      </w:pPr>
      <w:r>
        <w:t xml:space="preserve">local landscape change</w:t>
      </w:r>
    </w:p>
    <w:p>
      <w:pPr>
        <w:numPr>
          <w:ilvl w:val="1"/>
          <w:numId w:val="1012"/>
        </w:numPr>
        <w:pStyle w:val="Compact"/>
      </w:pPr>
      <w:r>
        <w:t xml:space="preserve">hydrology</w:t>
      </w:r>
    </w:p>
    <w:p>
      <w:pPr>
        <w:numPr>
          <w:ilvl w:val="1"/>
          <w:numId w:val="1012"/>
        </w:numPr>
        <w:pStyle w:val="Compact"/>
      </w:pPr>
      <w:r>
        <w:t xml:space="preserve">land cover (Lyme disease)</w:t>
      </w:r>
    </w:p>
    <w:p>
      <w:pPr>
        <w:numPr>
          <w:ilvl w:val="1"/>
          <w:numId w:val="1012"/>
        </w:numPr>
        <w:pStyle w:val="Compact"/>
      </w:pPr>
      <w:r>
        <w:t xml:space="preserve">forest cover</w:t>
      </w:r>
    </w:p>
    <w:p>
      <w:pPr>
        <w:numPr>
          <w:ilvl w:val="0"/>
          <w:numId w:val="1009"/>
        </w:numPr>
        <w:pStyle w:val="Compact"/>
      </w:pPr>
      <w:r>
        <w:t xml:space="preserve">changes in reservoir communities</w:t>
      </w:r>
    </w:p>
    <w:p>
      <w:pPr>
        <w:pStyle w:val="Heading2"/>
      </w:pPr>
      <w:bookmarkStart w:id="25" w:name="dilution-effect-keesing_dilution_2021"/>
      <w:r>
        <w:t xml:space="preserve">dilution effect</w:t>
      </w:r>
      <w:r>
        <w:t xml:space="preserve"> </w:t>
      </w:r>
      <w:r>
        <w:t xml:space="preserve">(Keesing &amp; Ostfeld, 2021)</w:t>
      </w:r>
      <w:bookmarkEnd w:id="25"/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ohr_dil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prediction"/>
      <w:r>
        <w:t xml:space="preserve">prediction</w:t>
      </w:r>
      <w:bookmarkEnd w:id="27"/>
    </w:p>
    <w:p>
      <w:pPr>
        <w:pStyle w:val="FirstParagraph"/>
      </w:pPr>
      <w:r>
        <w:t xml:space="preserve">Pulliam &amp; Dushoff (2009)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ulliam_p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Walker et al. (2018)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51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Carlson et al. (2021)</w:t>
      </w:r>
    </w:p>
    <w:p>
      <w:pPr>
        <w:pStyle w:val="BodyText"/>
      </w:pPr>
      <w:r>
        <w:t xml:space="preserve">Evans et al. (2023)</w:t>
      </w:r>
    </w:p>
    <w:p>
      <w:pPr>
        <w:pStyle w:val="BodyText"/>
      </w:pPr>
      <w:r>
        <w:t xml:space="preserve">MacDonald &amp; Mordecai (2019)</w:t>
      </w:r>
    </w:p>
    <w:p>
      <w:pPr>
        <w:pStyle w:val="Heading2"/>
      </w:pPr>
      <w:bookmarkStart w:id="34" w:name="references"/>
      <w:r>
        <w:t xml:space="preserve">References</w:t>
      </w:r>
      <w:bookmarkEnd w:id="34"/>
    </w:p>
    <w:bookmarkStart w:id="59" w:name="refs"/>
    <w:bookmarkStart w:id="36" w:name="ref-carlsonPlague2021"/>
    <w:p>
      <w:pPr>
        <w:pStyle w:val="Bibliography"/>
      </w:pPr>
      <w:r>
        <w:t xml:space="preserve">Carlson, C. J., Bevins, S. N., &amp; Schmid, B. V. (2021). Plague risk in the western United States over seven decades of environmental change.</w:t>
      </w:r>
      <w:r>
        <w:t xml:space="preserve"> </w:t>
      </w:r>
      <w:r>
        <w:rPr>
          <w:i/>
        </w:rPr>
        <w:t xml:space="preserve">bioRxiv</w:t>
      </w:r>
      <w:r>
        <w:t xml:space="preserve">, 2021.02.26.433096.</w:t>
      </w:r>
      <w:r>
        <w:t xml:space="preserve"> </w:t>
      </w:r>
      <w:hyperlink r:id="rId35">
        <w:r>
          <w:rPr>
            <w:rStyle w:val="Hyperlink"/>
          </w:rPr>
          <w:t xml:space="preserve">https://doi.org/10.1101/2021.02.26.433096</w:t>
        </w:r>
      </w:hyperlink>
    </w:p>
    <w:bookmarkEnd w:id="36"/>
    <w:bookmarkStart w:id="38" w:name="ref-evansExposure2023"/>
    <w:p>
      <w:pPr>
        <w:pStyle w:val="Bibliography"/>
      </w:pPr>
      <w:r>
        <w:t xml:space="preserve">Evans, T. S., Tan, C. W., Aung, O., Phyu, S., Lin, H., Coffey, L. L., Toe, A. T., Aung, P., Aung, T. H., Aung, N. T., Weiss, C. M., Thant, K. Z., Htun, Z. T., Murray, S., Wang, L.-F., Johnson, C. K., &amp; Thu, H. M. (2023). Exposure to diverse sarbecoviruses indicates frequent zoonotic spillover in human communities interacting with wildlife.</w:t>
      </w:r>
      <w:r>
        <w:t xml:space="preserve"> </w:t>
      </w:r>
      <w:r>
        <w:rPr>
          <w:i/>
        </w:rPr>
        <w:t xml:space="preserve">International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0</w:t>
      </w:r>
      <w:r>
        <w:t xml:space="preserve">(0).</w:t>
      </w:r>
      <w:r>
        <w:t xml:space="preserve"> </w:t>
      </w:r>
      <w:hyperlink r:id="rId37">
        <w:r>
          <w:rPr>
            <w:rStyle w:val="Hyperlink"/>
          </w:rPr>
          <w:t xml:space="preserve">https://doi.org/10.1016/j.ijid.2023.02.015</w:t>
        </w:r>
      </w:hyperlink>
    </w:p>
    <w:bookmarkEnd w:id="38"/>
    <w:bookmarkStart w:id="40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23</w:t>
      </w:r>
      <w:r>
        <w:t xml:space="preserve">(8), 1178–1188.</w:t>
      </w:r>
      <w:r>
        <w:t xml:space="preserve"> </w:t>
      </w:r>
      <w:hyperlink r:id="rId39">
        <w:r>
          <w:rPr>
            <w:rStyle w:val="Hyperlink"/>
          </w:rPr>
          <w:t xml:space="preserve">https://doi.org/10.1111/ele.13520</w:t>
        </w:r>
      </w:hyperlink>
    </w:p>
    <w:bookmarkEnd w:id="40"/>
    <w:bookmarkStart w:id="42" w:name="ref-kain_predicting_2019"/>
    <w:p>
      <w:pPr>
        <w:pStyle w:val="Bibliography"/>
      </w:pPr>
      <w:r>
        <w:t xml:space="preserve">Kain, M. P., &amp; Bolker, B. M. (2019). Predicting West Nile virus transmission in North American bird communities using phylogenetic mixed effects models and eBird citizen science data.</w:t>
      </w:r>
      <w:r>
        <w:t xml:space="preserve"> </w:t>
      </w:r>
      <w:r>
        <w:rPr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/>
        </w:rPr>
        <w:t xml:space="preserve">12</w:t>
      </w:r>
      <w:r>
        <w:t xml:space="preserve">(1), 395.</w:t>
      </w:r>
      <w:r>
        <w:t xml:space="preserve"> </w:t>
      </w:r>
      <w:hyperlink r:id="rId41">
        <w:r>
          <w:rPr>
            <w:rStyle w:val="Hyperlink"/>
          </w:rPr>
          <w:t xml:space="preserve">https://doi.org/10.1186/s13071-019-3656-8</w:t>
        </w:r>
      </w:hyperlink>
    </w:p>
    <w:bookmarkEnd w:id="42"/>
    <w:bookmarkStart w:id="44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2490–2505.</w:t>
      </w:r>
      <w:r>
        <w:t xml:space="preserve"> </w:t>
      </w:r>
      <w:hyperlink r:id="rId43">
        <w:r>
          <w:rPr>
            <w:rStyle w:val="Hyperlink"/>
          </w:rPr>
          <w:t xml:space="preserve">https://doi.org/10.1111/ele.13875</w:t>
        </w:r>
      </w:hyperlink>
    </w:p>
    <w:bookmarkEnd w:id="44"/>
    <w:bookmarkStart w:id="46" w:name="ref-macdonaldAmazon2019a"/>
    <w:p>
      <w:pPr>
        <w:pStyle w:val="Bibliography"/>
      </w:pPr>
      <w:r>
        <w:t xml:space="preserve">MacDonald, A. J., &amp; Mordecai, E. A. (2019). Amazon deforestation drives malaria transmission, and malaria burden reduces forest clearing.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116</w:t>
      </w:r>
      <w:r>
        <w:t xml:space="preserve">(44), 22212–22218.</w:t>
      </w:r>
      <w:r>
        <w:t xml:space="preserve"> </w:t>
      </w:r>
      <w:hyperlink r:id="rId45">
        <w:r>
          <w:rPr>
            <w:rStyle w:val="Hyperlink"/>
          </w:rPr>
          <w:t xml:space="preserve">https://doi.org/10.1073/pnas.1905315116</w:t>
        </w:r>
      </w:hyperlink>
    </w:p>
    <w:bookmarkEnd w:id="46"/>
    <w:bookmarkStart w:id="48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439</w:t>
      </w:r>
      <w:r>
        <w:t xml:space="preserve">(7073), 161–167.</w:t>
      </w:r>
      <w:r>
        <w:t xml:space="preserve"> </w:t>
      </w:r>
      <w:hyperlink r:id="rId47">
        <w:r>
          <w:rPr>
            <w:rStyle w:val="Hyperlink"/>
          </w:rPr>
          <w:t xml:space="preserve">https://doi.org/10.1038/nature04246</w:t>
        </w:r>
      </w:hyperlink>
    </w:p>
    <w:bookmarkEnd w:id="48"/>
    <w:bookmarkStart w:id="50" w:name="ref-pulliam_ability_2009"/>
    <w:p>
      <w:pPr>
        <w:pStyle w:val="Bibliography"/>
      </w:pPr>
      <w:r>
        <w:t xml:space="preserve">Pulliam, J. R. C., &amp; Dushoff, J. (2009). Ability to Replicate in the Cytoplasm Predicts Zoonotic Transmission of Livestock Viruses.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(4), 565–568.</w:t>
      </w:r>
      <w:r>
        <w:t xml:space="preserve"> </w:t>
      </w:r>
      <w:hyperlink r:id="rId49">
        <w:r>
          <w:rPr>
            <w:rStyle w:val="Hyperlink"/>
          </w:rPr>
          <w:t xml:space="preserve">https://doi.org/10.1086/596510</w:t>
        </w:r>
      </w:hyperlink>
    </w:p>
    <w:bookmarkEnd w:id="50"/>
    <w:bookmarkStart w:id="52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24–33.</w:t>
      </w:r>
      <w:r>
        <w:t xml:space="preserve"> </w:t>
      </w:r>
      <w:hyperlink r:id="rId51">
        <w:r>
          <w:rPr>
            <w:rStyle w:val="Hyperlink"/>
          </w:rPr>
          <w:t xml:space="preserve">https://doi.org/10.1038/s41559-019-1060-6</w:t>
        </w:r>
      </w:hyperlink>
    </w:p>
    <w:bookmarkEnd w:id="52"/>
    <w:bookmarkStart w:id="54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107</w:t>
      </w:r>
      <w:r>
        <w:t xml:space="preserve">(18), 8269–8274.</w:t>
      </w:r>
      <w:r>
        <w:t xml:space="preserve"> </w:t>
      </w:r>
      <w:hyperlink r:id="rId53">
        <w:r>
          <w:rPr>
            <w:rStyle w:val="Hyperlink"/>
          </w:rPr>
          <w:t xml:space="preserve">https://doi.org/10.1073/pnas.0912883107</w:t>
        </w:r>
      </w:hyperlink>
    </w:p>
    <w:bookmarkEnd w:id="54"/>
    <w:bookmarkStart w:id="56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105</w:t>
      </w:r>
      <w:r>
        <w:t xml:space="preserve">(45), 17436–17441.</w:t>
      </w:r>
      <w:r>
        <w:t xml:space="preserve"> </w:t>
      </w:r>
      <w:hyperlink r:id="rId55">
        <w:r>
          <w:rPr>
            <w:rStyle w:val="Hyperlink"/>
          </w:rPr>
          <w:t xml:space="preserve">https://doi.org/10.1073/pnas.0806368105</w:t>
        </w:r>
      </w:hyperlink>
    </w:p>
    <w:bookmarkEnd w:id="56"/>
    <w:bookmarkStart w:id="58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(11), e0206926.</w:t>
      </w:r>
      <w:r>
        <w:t xml:space="preserve"> </w:t>
      </w:r>
      <w:hyperlink r:id="rId57">
        <w:r>
          <w:rPr>
            <w:rStyle w:val="Hyperlink"/>
          </w:rPr>
          <w:t xml:space="preserve">https://doi.org/10.1371/journal.pone.0206926</w:t>
        </w:r>
      </w:hyperlink>
    </w:p>
    <w:bookmarkEnd w:id="58"/>
    <w:bookmarkEnd w:id="59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2023-04-03 13:16:20.928258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hyperlink" Id="rId37" Target="https://doi.org/10.1016/j.ijid.2023.02.015" TargetMode="External" /><Relationship Type="http://schemas.openxmlformats.org/officeDocument/2006/relationships/hyperlink" Id="rId47" Target="https://doi.org/10.1038/nature04246" TargetMode="External" /><Relationship Type="http://schemas.openxmlformats.org/officeDocument/2006/relationships/hyperlink" Id="rId51" Target="https://doi.org/10.1038/s41559-019-1060-6" TargetMode="External" /><Relationship Type="http://schemas.openxmlformats.org/officeDocument/2006/relationships/hyperlink" Id="rId55" Target="https://doi.org/10.1073/pnas.0806368105" TargetMode="External" /><Relationship Type="http://schemas.openxmlformats.org/officeDocument/2006/relationships/hyperlink" Id="rId53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49" Target="https://doi.org/10.1086/596510" TargetMode="External" /><Relationship Type="http://schemas.openxmlformats.org/officeDocument/2006/relationships/hyperlink" Id="rId35" Target="https://doi.org/10.1101/2021.02.26.433096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7" Target="https://doi.org/10.1371/journal.pone.02069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s://doi.org/10.1016/j.ijid.2023.02.015" TargetMode="External" /><Relationship Type="http://schemas.openxmlformats.org/officeDocument/2006/relationships/hyperlink" Id="rId47" Target="https://doi.org/10.1038/nature04246" TargetMode="External" /><Relationship Type="http://schemas.openxmlformats.org/officeDocument/2006/relationships/hyperlink" Id="rId51" Target="https://doi.org/10.1038/s41559-019-1060-6" TargetMode="External" /><Relationship Type="http://schemas.openxmlformats.org/officeDocument/2006/relationships/hyperlink" Id="rId55" Target="https://doi.org/10.1073/pnas.0806368105" TargetMode="External" /><Relationship Type="http://schemas.openxmlformats.org/officeDocument/2006/relationships/hyperlink" Id="rId53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49" Target="https://doi.org/10.1086/596510" TargetMode="External" /><Relationship Type="http://schemas.openxmlformats.org/officeDocument/2006/relationships/hyperlink" Id="rId35" Target="https://doi.org/10.1101/2021.02.26.433096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7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2023-04-03T17:16:21Z</dcterms:created>
  <dcterms:modified xsi:type="dcterms:W3CDTF">2023-04-03T17:16:21Z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2023</vt:lpwstr>
  </property>
  <property fmtid="{D5CDD505-2E9C-101B-9397-08002B2CF9AE}" pid="5" name="header-includes">
    <vt:lpwstr/>
  </property>
</Properties>
</file>