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compartmental</w:t>
      </w:r>
      <w:r>
        <w:t xml:space="preserve"> </w:t>
      </w:r>
      <w:r>
        <w:t xml:space="preserve">models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Jan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(birth, natural mortality, disease-induced</w:t>
      </w:r>
      <w:r>
        <w:t xml:space="preserve"> </w:t>
      </w:r>
      <w:r>
        <w:t xml:space="preserve">mortality, infection).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pStyle w:val="FirstParagraph"/>
      </w:pPr>
      <w:r>
        <w:t xml:space="preserve">Hethcote (1994)</w:t>
      </w:r>
    </w:p>
    <w:p>
      <w:pPr>
        <w:pStyle w:val="Heading1"/>
      </w:pPr>
      <w:bookmarkStart w:id="25" w:name="conclusions-from-basic-epidemic-models"/>
      <w:r>
        <w:t xml:space="preserve">Conclusions from basic epidemic models</w:t>
      </w:r>
      <w:bookmarkEnd w:id="25"/>
    </w:p>
    <w:p>
      <w:pPr>
        <w:pStyle w:val="Heading2"/>
      </w:pPr>
      <w:bookmarkStart w:id="26" w:name="variants-on-basic-epidemic-models"/>
      <w:r>
        <w:t xml:space="preserve">Variants on basic epidemic models</w:t>
      </w:r>
      <w:bookmarkEnd w:id="26"/>
    </w:p>
    <w:p>
      <w:pPr>
        <w:numPr>
          <w:ilvl w:val="0"/>
          <w:numId w:val="1002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2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</w:p>
    <w:p>
      <w:pPr>
        <w:numPr>
          <w:ilvl w:val="0"/>
          <w:numId w:val="1002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2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2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27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27"/>
    </w:p>
    <w:p>
      <w:pPr>
        <w:pStyle w:val="Heading2"/>
      </w:pPr>
      <w:bookmarkStart w:id="28" w:name="estimating-all-model-parameters"/>
      <w:r>
        <w:t xml:space="preserve">Estimating all model parameters</w:t>
      </w:r>
      <w:bookmarkEnd w:id="28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29" w:name="observing-epidemic-curves"/>
      <w:r>
        <w:t xml:space="preserve">Observing epidemic curves</w:t>
      </w:r>
      <w:bookmarkEnd w:id="29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0" w:name="exposure-surveys"/>
      <w:r>
        <w:t xml:space="preserve">Exposure surveys</w:t>
      </w:r>
      <w:bookmarkEnd w:id="30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1" w:name="more-on-long-term-dynamics"/>
      <w:r>
        <w:t xml:space="preserve">More on long-term dynamics</w:t>
      </w:r>
      <w:bookmarkEnd w:id="31"/>
    </w:p>
    <w:p>
      <w:pPr>
        <w:numPr>
          <w:ilvl w:val="0"/>
          <w:numId w:val="1003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image</w:t>
      </w:r>
    </w:p>
    <w:p>
      <w:pPr>
        <w:numPr>
          <w:ilvl w:val="0"/>
          <w:numId w:val="1003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3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3" w:name="stochastic-extinction-thresholds"/>
      <w:r>
        <w:t xml:space="preserve">Stochastic extinction thresholds</w:t>
      </w:r>
      <w:bookmarkEnd w:id="33"/>
    </w:p>
    <w:p>
      <w:pPr>
        <w:numPr>
          <w:ilvl w:val="0"/>
          <w:numId w:val="1004"/>
        </w:numPr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04"/>
        </w:numPr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04"/>
        </w:numPr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4" w:name="recurrent-epidemics"/>
      <w:r>
        <w:t xml:space="preserve">Recurrent epidemics</w:t>
      </w:r>
      <w:bookmarkEnd w:id="34"/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05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05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05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05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p>
      <w:pPr>
        <w:pStyle w:val="Heading2"/>
      </w:pPr>
      <w:bookmarkStart w:id="35" w:name="longer-term-epidemic-shifts"/>
      <w:r>
        <w:t xml:space="preserve">Longer-term epidemic shifts</w:t>
      </w:r>
      <w:bookmarkEnd w:id="35"/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06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06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p>
      <w:pPr>
        <w:pStyle w:val="Heading2"/>
      </w:pPr>
      <w:bookmarkStart w:id="36" w:name="dynamics-pictures"/>
      <w:r>
        <w:t xml:space="preserve">Dynamics pictures</w:t>
      </w:r>
      <w:bookmarkEnd w:id="36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_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38" w:name="references"/>
      <w:r>
        <w:t xml:space="preserve">References</w:t>
      </w:r>
      <w:bookmarkEnd w:id="38"/>
    </w:p>
    <w:bookmarkStart w:id="49" w:name="refs"/>
    <w:bookmarkStart w:id="40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39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40"/>
    <w:bookmarkStart w:id="42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41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42"/>
    <w:bookmarkStart w:id="44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43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44"/>
    <w:bookmarkStart w:id="46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45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46"/>
    <w:bookmarkStart w:id="48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47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48"/>
    <w:bookmarkEnd w:id="4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2022-01-11 16:53:52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hyperlink" Id="rId47" Target="http://www.jstor.org/stable/2874489" TargetMode="External" /><Relationship Type="http://schemas.openxmlformats.org/officeDocument/2006/relationships/hyperlink" Id="rId39" Target="https://doi.org/10.1073/pnas.2004904117" TargetMode="External" /><Relationship Type="http://schemas.openxmlformats.org/officeDocument/2006/relationships/hyperlink" Id="rId43" Target="https://doi.org/10.1098/rspb.2013.1345" TargetMode="External" /><Relationship Type="http://schemas.openxmlformats.org/officeDocument/2006/relationships/hyperlink" Id="rId41" Target="https://doi.org/10.1126/science.287.5453.667" TargetMode="External" /><Relationship Type="http://schemas.openxmlformats.org/officeDocument/2006/relationships/hyperlink" Id="rId45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www.jstor.org/stable/2874489" TargetMode="External" /><Relationship Type="http://schemas.openxmlformats.org/officeDocument/2006/relationships/hyperlink" Id="rId39" Target="https://doi.org/10.1073/pnas.2004904117" TargetMode="External" /><Relationship Type="http://schemas.openxmlformats.org/officeDocument/2006/relationships/hyperlink" Id="rId43" Target="https://doi.org/10.1098/rspb.2013.1345" TargetMode="External" /><Relationship Type="http://schemas.openxmlformats.org/officeDocument/2006/relationships/hyperlink" Id="rId41" Target="https://doi.org/10.1126/science.287.5453.667" TargetMode="External" /><Relationship Type="http://schemas.openxmlformats.org/officeDocument/2006/relationships/hyperlink" Id="rId45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compartmental models</dc:title>
  <dc:creator/>
  <cp:keywords/>
  <dcterms:created xsi:type="dcterms:W3CDTF">2022-01-11T21:53:52Z</dcterms:created>
  <dcterms:modified xsi:type="dcterms:W3CDTF">2022-01-11T21:53:52Z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11 Jan 2022</vt:lpwstr>
  </property>
</Properties>
</file>