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p>
      <w:pPr>
        <w:pStyle w:val="Heading2"/>
      </w:pPr>
      <w:bookmarkStart w:id="20" w:name="host-populations"/>
      <w:r>
        <w:t xml:space="preserve">Host populations</w:t>
      </w:r>
      <w:bookmarkEnd w:id="20"/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p>
      <w:pPr>
        <w:pStyle w:val="Heading2"/>
      </w:pPr>
      <w:bookmarkStart w:id="21" w:name="regulation"/>
      <w:r>
        <w:t xml:space="preserve">Regulation</w:t>
      </w:r>
      <w:bookmarkEnd w:id="21"/>
    </w:p>
    <w:p>
      <w:pPr>
        <w:pStyle w:val="FirstParagraph"/>
      </w:pPr>
      <w:r>
        <w:t xml:space="preserve">Do parasites control population size? How?</w:t>
      </w:r>
    </w:p>
    <w:p>
      <w:pPr>
        <w:pStyle w:val="BodyText"/>
      </w:pPr>
      <w:r>
        <w:t xml:space="preserve">High infection rate,</w:t>
      </w:r>
      <w:r>
        <w:t xml:space="preserve"> </w:t>
      </w:r>
      <w:r>
        <w:rPr>
          <w:i/>
        </w:rPr>
        <w:t xml:space="preserve">intermediate</w:t>
      </w:r>
      <w:r>
        <w:t xml:space="preserve"> </w:t>
      </w:r>
      <w:r>
        <w:t xml:space="preserve">virulence (disease-induced death rate) have the greatest impact on a population (because 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killing hosts</w:t>
      </w:r>
      <w:r>
        <w:t xml:space="preserve"> </w:t>
      </w:r>
      <w:r>
        <w:t xml:space="preserve">“</w:t>
      </w:r>
      <w:r>
        <w:t xml:space="preserve">too quickly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/>
        </w:rPr>
        <w:t xml:space="preserve">Heligmosomoides polygyrus</w:t>
      </w:r>
      <w:r>
        <w:t xml:space="preserve"> </w:t>
      </w:r>
      <w:r>
        <w:t xml:space="preserve">(Scott 1987)</w:t>
      </w:r>
      <w:r>
        <w:t xml:space="preserve">: what about in the field? Easiest to detect with direct life cycles (</w:t>
      </w:r>
      <w:r>
        <w:rPr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cactus. But … 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their hosts are valued (native cactus), Iberian lynx that</w:t>
      </w:r>
      <w:r>
        <w:t xml:space="preserve"> </w:t>
      </w:r>
      <w:r>
        <w:t xml:space="preserve">depend on rabbits in Spain</w:t>
      </w:r>
      <w:r>
        <w:t xml:space="preserve"> </w:t>
      </w:r>
      <w:r>
        <w:t xml:space="preserve">(Zimmermann, Moran, and Hoffmann 2000; Cooke 2002; Real et al. 2009)</w:t>
      </w:r>
      <w:r>
        <w:t xml:space="preserve">.</w:t>
      </w:r>
    </w:p>
    <w:p>
      <w:pPr>
        <w:pStyle w:val="Heading2"/>
      </w:pPr>
      <w:bookmarkStart w:id="22" w:name="extinction"/>
      <w:r>
        <w:t xml:space="preserve">Extinction</w:t>
      </w:r>
      <w:bookmarkEnd w:id="22"/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extinct. However, there are many exceptions</w:t>
      </w:r>
      <w:r>
        <w:t xml:space="preserve"> </w:t>
      </w:r>
      <w:r>
        <w:t xml:space="preserve">to the rule.</w:t>
      </w:r>
    </w:p>
    <w:p>
      <w:pPr>
        <w:pStyle w:val="Compact"/>
        <w:numPr>
          <w:numId w:val="1001"/>
          <w:ilvl w:val="0"/>
        </w:numPr>
      </w:pPr>
      <w:r>
        <w:t xml:space="preserve">small populations (e.g. golden toad/Bd, black-footed ferret/CDV, arctic fox/mange)</w:t>
      </w:r>
    </w:p>
    <w:p>
      <w:pPr>
        <w:pStyle w:val="Compact"/>
        <w:numPr>
          <w:numId w:val="1001"/>
          <w:ilvl w:val="0"/>
        </w:numPr>
      </w:pPr>
      <w:r>
        <w:t xml:space="preserve">reservoir hosts (e.g. Hawai’ian birds/malaria)</w:t>
      </w:r>
    </w:p>
    <w:p>
      <w:pPr>
        <w:pStyle w:val="Compact"/>
        <w:numPr>
          <w:numId w:val="1001"/>
          <w:ilvl w:val="0"/>
        </w:numPr>
      </w:pPr>
      <w:r>
        <w:t xml:space="preserve">frequency-dependent transmission (e.g.? koala/chlamydia)</w:t>
      </w:r>
    </w:p>
    <w:p>
      <w:pPr>
        <w:pStyle w:val="Heading2"/>
      </w:pPr>
      <w:bookmarkStart w:id="23" w:name="humans-historical-and-modern"/>
      <w:r>
        <w:t xml:space="preserve">Humans: historical and modern</w:t>
      </w:r>
      <w:bookmarkEnd w:id="23"/>
    </w:p>
    <w:p>
      <w:pPr>
        <w:pStyle w:val="FirstParagraph"/>
      </w:pPr>
      <w:r>
        <w:t xml:space="preserve">Plague of Athens (430-429 BC) killed 25% of the population of 155,000</w:t>
      </w:r>
      <w:r>
        <w:t xml:space="preserve"> </w:t>
      </w:r>
      <w:r>
        <w:t xml:space="preserve">(measles? typhoid? plague?)</w:t>
      </w:r>
      <w:r>
        <w:t xml:space="preserve"> </w:t>
      </w:r>
      <w:r>
        <w:t xml:space="preserve">(Littman 2009; Cunha 2004; Shapiro, Rambaut, and Gilbert 2006; Papagrigorakis et al. 2006)</w:t>
      </w:r>
      <w:r>
        <w:t xml:space="preserve">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  <w:r>
        <w:t xml:space="preserve"> </w:t>
      </w:r>
      <w:r>
        <w:t xml:space="preserve">(</w:t>
      </w:r>
      <w:r>
        <w:t xml:space="preserve">“</w:t>
      </w:r>
      <w:r>
        <w:t xml:space="preserve">Virgin soil</w:t>
      </w:r>
      <w:r>
        <w:t xml:space="preserve">”</w:t>
      </w:r>
      <w:r>
        <w:t xml:space="preserve"> </w:t>
      </w:r>
      <w:r>
        <w:t xml:space="preserve">epidemics</w:t>
      </w:r>
      <w:r>
        <w:t xml:space="preserve"> </w:t>
      </w:r>
      <w:r>
        <w:t xml:space="preserve">(Crosby 1976; Diamond 2005)</w:t>
      </w:r>
      <w:r>
        <w:t xml:space="preserve">)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r>
        <w:drawing>
          <wp:inline>
            <wp:extent cx="5334000" cy="441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aids_imp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(U.S. Census Bureau 2013)</w:t>
      </w:r>
    </w:p>
    <w:p>
      <w:pPr>
        <w:pStyle w:val="Heading1"/>
      </w:pPr>
      <w:bookmarkStart w:id="25" w:name="cycles"/>
      <w:r>
        <w:t xml:space="preserve">Cycles</w:t>
      </w:r>
      <w:bookmarkEnd w:id="25"/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p>
      <w:pPr>
        <w:pStyle w:val="Heading2"/>
      </w:pPr>
      <w:bookmarkStart w:id="26" w:name="seals-and-phocine-distemper-virus"/>
      <w:r>
        <w:t xml:space="preserve">Seals and phocine distemper virus</w:t>
      </w:r>
      <w:bookmarkEnd w:id="26"/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4201427" cy="2743200"/>
            <wp:effectExtent b="0" l="0" r="0" t="0"/>
            <wp:docPr descr="harbour seal pop dynamics" title="" id="1" name="Picture"/>
            <a:graphic>
              <a:graphicData uri="http://schemas.openxmlformats.org/drawingml/2006/picture">
                <pic:pic>
                  <pic:nvPicPr>
                    <pic:cNvPr descr="pix/lonergan_pd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harbour seal pop dynamics</w:t>
      </w:r>
    </w:p>
    <w:p>
      <w:pPr>
        <w:pStyle w:val="BodyText"/>
      </w:pPr>
      <w:r>
        <w:t xml:space="preserve">(Thompson, Lonergan, and Duck 2005)</w:t>
      </w:r>
      <w:r>
        <w:t xml:space="preserve">. There was another major epidemic in</w:t>
      </w:r>
      <w:r>
        <w:t xml:space="preserve"> </w:t>
      </w:r>
      <w:r>
        <w:t xml:space="preserve">2002.</w:t>
      </w:r>
      <w:r>
        <w:t xml:space="preserve"> </w:t>
      </w:r>
      <w:r>
        <w:t xml:space="preserve">Harwood and Hall (1990)</w:t>
      </w:r>
      <w:r>
        <w:t xml:space="preserve"> </w:t>
      </w:r>
      <w:r>
        <w:t xml:space="preserve">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p>
      <w:pPr>
        <w:pStyle w:val="Heading2"/>
      </w:pPr>
      <w:bookmarkStart w:id="28" w:name="forest-lepidoptera"/>
      <w:r>
        <w:t xml:space="preserve">Forest lepidoptera</w:t>
      </w:r>
      <w:bookmarkEnd w:id="28"/>
    </w:p>
    <w:p>
      <w:pPr>
        <w:pStyle w:val="FirstParagraph"/>
      </w:pPr>
      <w:r>
        <w:t xml:space="preserve">Another example</w:t>
      </w:r>
      <w:r>
        <w:t xml:space="preserve"> </w:t>
      </w:r>
      <w:r>
        <w:t xml:space="preserve">(Myers 1988)</w:t>
      </w:r>
      <w:r>
        <w:t xml:space="preserve"> </w:t>
      </w:r>
      <w:r>
        <w:t xml:space="preserve">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top-down control</w:t>
      </w:r>
      <w:r>
        <w:t xml:space="preserve"> </w:t>
      </w:r>
      <w:r>
        <w:t xml:space="preserve">(predators):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bottom-up control</w:t>
      </w:r>
      <w:r>
        <w:t xml:space="preserve">: changes in plant density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weather</w:t>
      </w:r>
      <w:r>
        <w:t xml:space="preserve"> </w:t>
      </w:r>
      <w:r>
        <w:t xml:space="preserve">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pStyle w:val="Compact"/>
        <w:numPr>
          <w:numId w:val="1002"/>
          <w:ilvl w:val="0"/>
        </w:numPr>
      </w:pPr>
      <w:r>
        <w:t xml:space="preserve">changes in</w:t>
      </w:r>
      <w:r>
        <w:t xml:space="preserve"> </w:t>
      </w:r>
      <w:r>
        <w:rPr>
          <w:b/>
        </w:rPr>
        <w:t xml:space="preserve">insect quality</w:t>
      </w:r>
      <w:r>
        <w:t xml:space="preserve">, possibly as a result of changes in plant</w:t>
      </w:r>
      <w:r>
        <w:t xml:space="preserve"> </w:t>
      </w:r>
      <w:r>
        <w:t xml:space="preserve">quality or other competitive effects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parasites</w:t>
      </w:r>
      <w:r>
        <w:t xml:space="preserve">: specifically, nuclear polyhedrosis viruses</w:t>
      </w:r>
      <w:r>
        <w:t xml:space="preserve"> </w:t>
      </w:r>
      <w:r>
        <w:rPr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 only time that an outbreak has been stopped by experimental manipulation is</w:t>
      </w:r>
      <w:r>
        <w:t xml:space="preserve"> </w:t>
      </w:r>
      <w:r>
        <w:t xml:space="preserve">by spraying with NPV (an outbreak of tussock moths in 1981).</w:t>
      </w:r>
    </w:p>
    <w:p>
      <w:pPr>
        <w:pStyle w:val="Heading2"/>
      </w:pPr>
      <w:bookmarkStart w:id="29" w:name="red-grouse-and-trichostrongylus-tenuis"/>
      <w:r>
        <w:t xml:space="preserve">Red grouse and</w:t>
      </w:r>
      <w:r>
        <w:t xml:space="preserve"> </w:t>
      </w:r>
      <w:r>
        <w:rPr>
          <w:i/>
        </w:rPr>
        <w:t xml:space="preserve">Trichostrongylus tenuis</w:t>
      </w:r>
      <w:bookmarkEnd w:id="29"/>
    </w:p>
    <w:p>
      <w:pPr>
        <w:pStyle w:val="FirstParagraph"/>
      </w:pPr>
      <w:r>
        <w:t xml:space="preserve">What about regular</w:t>
      </w:r>
      <w:r>
        <w:t xml:space="preserve"> </w:t>
      </w:r>
      <w:r>
        <w:rPr>
          <w:i/>
        </w:rPr>
        <w:t xml:space="preserve">cycling</w:t>
      </w:r>
      <w:r>
        <w:t xml:space="preserve"> </w:t>
      </w:r>
      <w:r>
        <w:t xml:space="preserve">in time?</w:t>
      </w:r>
      <w:r>
        <w:t xml:space="preserve"> </w:t>
      </w:r>
      <w:r>
        <w:t xml:space="preserve">(Hudson, Dobson, and Newborn 1998)</w:t>
      </w:r>
    </w:p>
    <w:p>
      <w:pPr>
        <w:pStyle w:val="Heading2"/>
      </w:pPr>
      <w:bookmarkStart w:id="30" w:name="basic-natural-history"/>
      <w:r>
        <w:t xml:space="preserve">Basic natural history</w:t>
      </w:r>
      <w:bookmarkEnd w:id="30"/>
    </w:p>
    <w:p>
      <w:pPr>
        <w:pStyle w:val="FirstParagraph"/>
      </w:pPr>
      <w:r>
        <w:t xml:space="preserve">Not much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pStyle w:val="Compact"/>
        <w:numPr>
          <w:numId w:val="1003"/>
          <w:ilvl w:val="0"/>
        </w:numPr>
      </w:pPr>
      <w:r>
        <w:t xml:space="preserve">Higher survivorship of grouse treated with anthelminthics</w:t>
      </w:r>
    </w:p>
    <w:p>
      <w:pPr>
        <w:pStyle w:val="Compact"/>
        <w:numPr>
          <w:numId w:val="1003"/>
          <w:ilvl w:val="0"/>
        </w:numPr>
      </w:pPr>
      <w:r>
        <w:t xml:space="preserve">Higher fecundity of grouse treated with anthelminthics</w:t>
      </w:r>
    </w:p>
    <w:p>
      <w:pPr>
        <w:pStyle w:val="Compact"/>
        <w:numPr>
          <w:numId w:val="1003"/>
          <w:ilvl w:val="0"/>
        </w:numPr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pStyle w:val="Compact"/>
        <w:numPr>
          <w:numId w:val="1003"/>
          <w:ilvl w:val="0"/>
        </w:numPr>
      </w:pPr>
      <w:r>
        <w:t xml:space="preserve">Treatment experiment: reduces amplitude of fluctuations</w:t>
      </w:r>
    </w:p>
    <w:p>
      <w:pPr>
        <w:pStyle w:val="Compact"/>
        <w:numPr>
          <w:numId w:val="1003"/>
          <w:ilvl w:val="0"/>
        </w:numPr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lot of evidence.</w:t>
      </w:r>
    </w:p>
    <w:p>
      <w:pPr>
        <w:pStyle w:val="CaptionedFigure"/>
      </w:pPr>
      <w:r>
        <w:drawing>
          <wp:inline>
            <wp:extent cx="3657600" cy="5816600"/>
            <wp:effectExtent b="0" l="0" r="0" t="0"/>
            <wp:docPr descr="grouse dynamics" title="" id="1" name="Picture"/>
            <a:graphic>
              <a:graphicData uri="http://schemas.openxmlformats.org/drawingml/2006/picture">
                <pic:pic>
                  <pic:nvPicPr>
                    <pic:cNvPr descr="pix/hudson_grou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grouse dynamics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62" w:name="refs"/>
    <w:bookmarkStart w:id="34" w:name="ref-cooke_rabbit_2002"/>
    <w:p>
      <w:pPr>
        <w:pStyle w:val="FirstParagraph"/>
      </w:pPr>
      <w:r>
        <w:t xml:space="preserve">Cooke, B. D. 2002. “Rabbit Haemorrhagic Disease: Field Epidemiology and the Management of Wild Rabbit Populations.”</w:t>
      </w:r>
      <w:r>
        <w:t xml:space="preserve"> </w:t>
      </w:r>
      <w:r>
        <w:rPr>
          <w:i/>
        </w:rPr>
        <w:t xml:space="preserve">Revue Scientifique et Technique (International Office of Epizootics)</w:t>
      </w:r>
      <w:r>
        <w:t xml:space="preserve"> </w:t>
      </w:r>
      <w:r>
        <w:t xml:space="preserve">21 (2): 347–58.</w:t>
      </w:r>
      <w:r>
        <w:t xml:space="preserve"> </w:t>
      </w:r>
      <w:hyperlink r:id="rId33">
        <w:r>
          <w:rPr>
            <w:rStyle w:val="Hyperlink"/>
          </w:rPr>
          <w:t xml:space="preserve">https://doi.org/10.20506/rst.21.2.1337</w:t>
        </w:r>
      </w:hyperlink>
      <w:r>
        <w:t xml:space="preserve">.</w:t>
      </w:r>
    </w:p>
    <w:bookmarkEnd w:id="34"/>
    <w:bookmarkStart w:id="36" w:name="ref-crosby_virgin_1976"/>
    <w:p>
      <w:pPr>
        <w:pStyle w:val="BodyText"/>
      </w:pPr>
      <w:r>
        <w:t xml:space="preserve">Crosby, Alfred W. 1976. “Virgin Soil Epidemics as a Factor in the Aboriginal Depopulation in America.”</w:t>
      </w:r>
      <w:r>
        <w:t xml:space="preserve"> </w:t>
      </w:r>
      <w:r>
        <w:rPr>
          <w:i/>
        </w:rPr>
        <w:t xml:space="preserve">The William and Mary Quarterly</w:t>
      </w:r>
      <w:r>
        <w:t xml:space="preserve"> </w:t>
      </w:r>
      <w:r>
        <w:t xml:space="preserve">33 (2): 289–99.</w:t>
      </w:r>
      <w:r>
        <w:t xml:space="preserve"> </w:t>
      </w:r>
      <w:hyperlink r:id="rId35">
        <w:r>
          <w:rPr>
            <w:rStyle w:val="Hyperlink"/>
          </w:rPr>
          <w:t xml:space="preserve">https://doi.org/10.2307/1922166</w:t>
        </w:r>
      </w:hyperlink>
      <w:r>
        <w:t xml:space="preserve">.</w:t>
      </w:r>
    </w:p>
    <w:bookmarkEnd w:id="36"/>
    <w:bookmarkStart w:id="38" w:name="ref-cunha_cause_2004"/>
    <w:p>
      <w:pPr>
        <w:pStyle w:val="BodyText"/>
      </w:pPr>
      <w:r>
        <w:t xml:space="preserve">Cunha, Burke A. 2004. “The Cause of the Plague of Athens: Plague, Typhoid, Typhus, Smallpox, or Measles?”</w:t>
      </w:r>
      <w:r>
        <w:t xml:space="preserve"> </w:t>
      </w:r>
      <w:r>
        <w:rPr>
          <w:i/>
        </w:rPr>
        <w:t xml:space="preserve">Infectious Disease Clinics of North America</w:t>
      </w:r>
      <w:r>
        <w:t xml:space="preserve"> </w:t>
      </w:r>
      <w:r>
        <w:t xml:space="preserve">18 (1): 29–43.</w:t>
      </w:r>
      <w:r>
        <w:t xml:space="preserve"> </w:t>
      </w:r>
      <w:hyperlink r:id="rId37">
        <w:r>
          <w:rPr>
            <w:rStyle w:val="Hyperlink"/>
          </w:rPr>
          <w:t xml:space="preserve">https://doi.org/10.1016/S0891-5520(03)00100-4</w:t>
        </w:r>
      </w:hyperlink>
      <w:r>
        <w:t xml:space="preserve">.</w:t>
      </w:r>
    </w:p>
    <w:bookmarkEnd w:id="38"/>
    <w:bookmarkStart w:id="39" w:name="ref-diamond_guns_2005"/>
    <w:p>
      <w:pPr>
        <w:pStyle w:val="BodyText"/>
      </w:pPr>
      <w:r>
        <w:t xml:space="preserve">Diamond, Jared. 2005.</w:t>
      </w:r>
      <w:r>
        <w:t xml:space="preserve"> </w:t>
      </w:r>
      <w:r>
        <w:rPr>
          <w:i/>
        </w:rPr>
        <w:t xml:space="preserve">Guns, Germs, and Steel: The Fates of Human Societies</w:t>
      </w:r>
      <w:r>
        <w:t xml:space="preserve">. Revised ed. edition. New York: W. W. Norton &amp; Company.</w:t>
      </w:r>
    </w:p>
    <w:bookmarkEnd w:id="39"/>
    <w:bookmarkStart w:id="41" w:name="ref-harwood_mass_1990"/>
    <w:p>
      <w:pPr>
        <w:pStyle w:val="BodyText"/>
      </w:pPr>
      <w:r>
        <w:t xml:space="preserve">Harwood, John, and Ailsa Hall. 1990. “Mass Mortality in Marine Mammals: Its Implications for Population Dynamics and Genetics.”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5 (8): 254–57.</w:t>
      </w:r>
      <w:r>
        <w:t xml:space="preserve"> </w:t>
      </w:r>
      <w:hyperlink r:id="rId40">
        <w:r>
          <w:rPr>
            <w:rStyle w:val="Hyperlink"/>
          </w:rPr>
          <w:t xml:space="preserve">https://doi.org/10.1016/0169-5347(90)90066-M</w:t>
        </w:r>
      </w:hyperlink>
      <w:r>
        <w:t xml:space="preserve">.</w:t>
      </w:r>
    </w:p>
    <w:bookmarkEnd w:id="41"/>
    <w:bookmarkStart w:id="43" w:name="ref-hudson_prevention_1998"/>
    <w:p>
      <w:pPr>
        <w:pStyle w:val="BodyText"/>
      </w:pPr>
      <w:r>
        <w:t xml:space="preserve">Hudson, P. J., Andy Dobson, and D. Newborn. 1998. “Prevention of Population Cycles by Parasite Removal.”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282 (5397): 2256–8.</w:t>
      </w:r>
      <w:r>
        <w:t xml:space="preserve"> </w:t>
      </w:r>
      <w:hyperlink r:id="rId42">
        <w:r>
          <w:rPr>
            <w:rStyle w:val="Hyperlink"/>
          </w:rPr>
          <w:t xml:space="preserve">https://doi.org/10.1126/science.282.5397.2256</w:t>
        </w:r>
      </w:hyperlink>
      <w:r>
        <w:t xml:space="preserve">.</w:t>
      </w:r>
    </w:p>
    <w:bookmarkEnd w:id="43"/>
    <w:bookmarkStart w:id="45" w:name="ref-littman_plague_2009"/>
    <w:p>
      <w:pPr>
        <w:pStyle w:val="BodyText"/>
      </w:pPr>
      <w:r>
        <w:t xml:space="preserve">Littman, Robert J. 2009. “The Plague of Athens: Epidemiology and Paleopathology.”</w:t>
      </w:r>
      <w:r>
        <w:t xml:space="preserve"> </w:t>
      </w:r>
      <w:r>
        <w:rPr>
          <w:i/>
        </w:rPr>
        <w:t xml:space="preserve">Mount Sinai Journal of Medicine: A Journal of Translational and Personalized Medicine</w:t>
      </w:r>
      <w:r>
        <w:t xml:space="preserve"> </w:t>
      </w:r>
      <w:r>
        <w:t xml:space="preserve">76 (5): 456–67.</w:t>
      </w:r>
      <w:r>
        <w:t xml:space="preserve"> </w:t>
      </w:r>
      <w:hyperlink r:id="rId44">
        <w:r>
          <w:rPr>
            <w:rStyle w:val="Hyperlink"/>
          </w:rPr>
          <w:t xml:space="preserve">https://doi.org/10.1002/msj.20137</w:t>
        </w:r>
      </w:hyperlink>
      <w:r>
        <w:t xml:space="preserve">.</w:t>
      </w:r>
    </w:p>
    <w:bookmarkEnd w:id="45"/>
    <w:bookmarkStart w:id="47" w:name="ref-myers_can_1988"/>
    <w:p>
      <w:pPr>
        <w:pStyle w:val="BodyText"/>
      </w:pPr>
      <w:r>
        <w:t xml:space="preserve">Myers, Judith H. 1988. “Can a General Hypothesis Explain Population Cycles of Forest Lepidoptera?” In</w:t>
      </w:r>
      <w:r>
        <w:t xml:space="preserve"> </w:t>
      </w:r>
      <w:r>
        <w:rPr>
          <w:i/>
        </w:rPr>
        <w:t xml:space="preserve">Advances in Ecological Research</w:t>
      </w:r>
      <w:r>
        <w:t xml:space="preserve">, edited by M. Begon, A. H. Fitter, E. D. Ford, and A. Macfadyen, 18:179–242. Academic Press.</w:t>
      </w:r>
      <w:r>
        <w:t xml:space="preserve"> </w:t>
      </w:r>
      <w:hyperlink r:id="rId46">
        <w:r>
          <w:rPr>
            <w:rStyle w:val="Hyperlink"/>
          </w:rPr>
          <w:t xml:space="preserve">https://doi.org/10.1016/S0065-2504(08)60181-6</w:t>
        </w:r>
      </w:hyperlink>
      <w:r>
        <w:t xml:space="preserve">.</w:t>
      </w:r>
    </w:p>
    <w:bookmarkEnd w:id="47"/>
    <w:bookmarkStart w:id="49" w:name="ref-papagrigorakis_dna_2006"/>
    <w:p>
      <w:pPr>
        <w:pStyle w:val="BodyText"/>
      </w:pPr>
      <w:r>
        <w:t xml:space="preserve">Papagrigorakis, Manolis J., Christos Yapijakis, Philippos N. Synodinos, and Effie Baziotopoulou-Valavani. 2006. “DNA Examination of Ancient Dental Pulp Incriminates Typhoid Fever as a Probable Cause of the Plague of Athens.”</w:t>
      </w:r>
      <w:r>
        <w:t xml:space="preserve"> </w:t>
      </w:r>
      <w:r>
        <w:rPr>
          <w:i/>
        </w:rPr>
        <w:t xml:space="preserve">International Journal of Infectious Diseases</w:t>
      </w:r>
      <w:r>
        <w:t xml:space="preserve"> </w:t>
      </w:r>
      <w:r>
        <w:t xml:space="preserve">10 (3): 206–14.</w:t>
      </w:r>
      <w:r>
        <w:t xml:space="preserve"> </w:t>
      </w:r>
      <w:hyperlink r:id="rId48">
        <w:r>
          <w:rPr>
            <w:rStyle w:val="Hyperlink"/>
          </w:rPr>
          <w:t xml:space="preserve">https://doi.org/10.1016/j.ijid.2005.09.001</w:t>
        </w:r>
      </w:hyperlink>
      <w:r>
        <w:t xml:space="preserve">.</w:t>
      </w:r>
    </w:p>
    <w:bookmarkEnd w:id="49"/>
    <w:bookmarkStart w:id="51" w:name="ref-real_conservation_2009"/>
    <w:p>
      <w:pPr>
        <w:pStyle w:val="BodyText"/>
      </w:pPr>
      <w:r>
        <w:t xml:space="preserve">Real, Raimundo, A. Márcia Barbosa, Alejandro Rodríguez, Francisco J. García, J. Mario Vargas, L. Javier Palomo, and Miguel Delibes. 2009. “Conservation Biogeography of Ecologically Interacting Species: The Case of the Iberian Lynx and the European Rabbit.”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15 (3): 390–400.</w:t>
      </w:r>
      <w:r>
        <w:t xml:space="preserve"> </w:t>
      </w:r>
      <w:hyperlink r:id="rId50">
        <w:r>
          <w:rPr>
            <w:rStyle w:val="Hyperlink"/>
          </w:rPr>
          <w:t xml:space="preserve">https://doi.org/10.1111/j.1472-4642.2008.00546.x</w:t>
        </w:r>
      </w:hyperlink>
      <w:r>
        <w:t xml:space="preserve">.</w:t>
      </w:r>
    </w:p>
    <w:bookmarkEnd w:id="51"/>
    <w:bookmarkStart w:id="53" w:name="ref-scott_regulation_1987"/>
    <w:p>
      <w:pPr>
        <w:pStyle w:val="BodyText"/>
      </w:pPr>
      <w:r>
        <w:t xml:space="preserve">Scott, Marilyn E. 1987. “Regulation of Mouse Colony Abundance by</w:t>
      </w:r>
      <w:r>
        <w:t xml:space="preserve"> </w:t>
      </w:r>
      <w:r>
        <w:rPr>
          <w:i/>
        </w:rPr>
        <w:t xml:space="preserve">Heligmosomoides Polygyrus</w:t>
      </w:r>
      <w:r>
        <w:t xml:space="preserve">.”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95 (1): 111–24.</w:t>
      </w:r>
      <w:r>
        <w:t xml:space="preserve"> </w:t>
      </w:r>
      <w:hyperlink r:id="rId52">
        <w:r>
          <w:rPr>
            <w:rStyle w:val="Hyperlink"/>
          </w:rPr>
          <w:t xml:space="preserve">https://doi.org/10.1017/S0031182000057590</w:t>
        </w:r>
      </w:hyperlink>
      <w:r>
        <w:t xml:space="preserve">.</w:t>
      </w:r>
    </w:p>
    <w:bookmarkEnd w:id="53"/>
    <w:bookmarkStart w:id="55" w:name="ref-shapiro_no_2006"/>
    <w:p>
      <w:pPr>
        <w:pStyle w:val="BodyText"/>
      </w:pPr>
      <w:r>
        <w:t xml:space="preserve">Shapiro, Beth, Andrew Rambaut, and M. Thomas P. Gilbert. 2006. “No Proof That Typhoid Caused the Plague of Athens (a Reply to Papagrigorakis et Al.).”</w:t>
      </w:r>
      <w:r>
        <w:t xml:space="preserve"> </w:t>
      </w:r>
      <w:r>
        <w:rPr>
          <w:i/>
        </w:rPr>
        <w:t xml:space="preserve">International Journal of Infectious Diseases</w:t>
      </w:r>
      <w:r>
        <w:t xml:space="preserve"> </w:t>
      </w:r>
      <w:r>
        <w:t xml:space="preserve">10 (4): 334–35.</w:t>
      </w:r>
      <w:r>
        <w:t xml:space="preserve"> </w:t>
      </w:r>
      <w:hyperlink r:id="rId54">
        <w:r>
          <w:rPr>
            <w:rStyle w:val="Hyperlink"/>
          </w:rPr>
          <w:t xml:space="preserve">https://doi.org/10.1016/j.ijid.2006.02.006</w:t>
        </w:r>
      </w:hyperlink>
      <w:r>
        <w:t xml:space="preserve">.</w:t>
      </w:r>
    </w:p>
    <w:bookmarkEnd w:id="55"/>
    <w:bookmarkStart w:id="57" w:name="ref-thompson_population_2005"/>
    <w:p>
      <w:pPr>
        <w:pStyle w:val="BodyText"/>
      </w:pPr>
      <w:r>
        <w:t xml:space="preserve">Thompson, David, Mike Lonergan, and Callan Duck. 2005. “Population Dynamics of Harbour Seals</w:t>
      </w:r>
      <w:r>
        <w:t xml:space="preserve"> </w:t>
      </w:r>
      <w:r>
        <w:rPr>
          <w:i/>
        </w:rPr>
        <w:t xml:space="preserve">Phoca Vitulina</w:t>
      </w:r>
      <w:r>
        <w:t xml:space="preserve"> </w:t>
      </w:r>
      <w:r>
        <w:t xml:space="preserve">in England: Monitoring Growth and Catastrophic Declines.”</w:t>
      </w:r>
      <w:r>
        <w:t xml:space="preserve"> </w:t>
      </w:r>
      <w:r>
        <w:rPr>
          <w:i/>
        </w:rPr>
        <w:t xml:space="preserve">Journal of Applied Ecology</w:t>
      </w:r>
      <w:r>
        <w:t xml:space="preserve"> </w:t>
      </w:r>
      <w:r>
        <w:t xml:space="preserve">42 (4): 638–48.</w:t>
      </w:r>
      <w:r>
        <w:t xml:space="preserve"> </w:t>
      </w:r>
      <w:hyperlink r:id="rId56">
        <w:r>
          <w:rPr>
            <w:rStyle w:val="Hyperlink"/>
          </w:rPr>
          <w:t xml:space="preserve">https://doi.org/10.1111/j.1365-2664.2005.01025.x</w:t>
        </w:r>
      </w:hyperlink>
      <w:r>
        <w:t xml:space="preserve">.</w:t>
      </w:r>
    </w:p>
    <w:bookmarkEnd w:id="57"/>
    <w:bookmarkStart w:id="59" w:name="ref-us_census_bureau_data_2013"/>
    <w:p>
      <w:pPr>
        <w:pStyle w:val="BodyText"/>
      </w:pPr>
      <w:r>
        <w:t xml:space="preserve">U.S. Census Bureau. 2013. “Data Visualization: HIV/AIDS Impact in Africa.”</w:t>
      </w:r>
      <w:r>
        <w:t xml:space="preserve"> </w:t>
      </w:r>
      <w:r>
        <w:rPr>
          <w:i/>
        </w:rPr>
        <w:t xml:space="preserve">Census.gov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https://www.census.gov/newsroom/archives/2013-pr/cb13-tps101.html</w:t>
        </w:r>
      </w:hyperlink>
      <w:r>
        <w:t xml:space="preserve">.</w:t>
      </w:r>
    </w:p>
    <w:bookmarkEnd w:id="59"/>
    <w:bookmarkStart w:id="61" w:name="ref-zimmermann_renowned_2000"/>
    <w:p>
      <w:pPr>
        <w:pStyle w:val="BodyText"/>
      </w:pPr>
      <w:r>
        <w:t xml:space="preserve">Zimmermann, H. G., V. C. Moran, and J. H. Hoffmann. 2000. “The Renowned Cactus Moth,</w:t>
      </w:r>
      <w:r>
        <w:t xml:space="preserve"> </w:t>
      </w:r>
      <w:r>
        <w:rPr>
          <w:i/>
        </w:rPr>
        <w:t xml:space="preserve">Cactoblastis Cactorum</w:t>
      </w:r>
      <w:r>
        <w:t xml:space="preserve">: Its Natural History and Threat to 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Floras in Mexico and the United States of America.”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6 (5): 259–69.</w:t>
      </w:r>
      <w:r>
        <w:t xml:space="preserve"> </w:t>
      </w:r>
      <w:hyperlink r:id="rId60">
        <w:r>
          <w:rPr>
            <w:rStyle w:val="Hyperlink"/>
          </w:rPr>
          <w:t xml:space="preserve">https://doi.org/10.1046/j.1472-4642.2000.00088.x</w:t>
        </w:r>
      </w:hyperlink>
      <w:r>
        <w:t xml:space="preserve">.</w:t>
      </w:r>
    </w:p>
    <w:bookmarkEnd w:id="61"/>
    <w:bookmarkEnd w:id="6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2023-01-26 13:20:54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44" Target="https://doi.org/10.1002/msj.20137" TargetMode="External" /><Relationship Type="http://schemas.openxmlformats.org/officeDocument/2006/relationships/hyperlink" Id="rId40" Target="https://doi.org/10.1016/0169-5347(90)90066-M" TargetMode="External" /><Relationship Type="http://schemas.openxmlformats.org/officeDocument/2006/relationships/hyperlink" Id="rId46" Target="https://doi.org/10.1016/S0065-2504(08)60181-6" TargetMode="External" /><Relationship Type="http://schemas.openxmlformats.org/officeDocument/2006/relationships/hyperlink" Id="rId37" Target="https://doi.org/10.1016/S0891-5520(03)00100-4" TargetMode="External" /><Relationship Type="http://schemas.openxmlformats.org/officeDocument/2006/relationships/hyperlink" Id="rId48" Target="https://doi.org/10.1016/j.ijid.2005.09.001" TargetMode="External" /><Relationship Type="http://schemas.openxmlformats.org/officeDocument/2006/relationships/hyperlink" Id="rId54" Target="https://doi.org/10.1016/j.ijid.2006.02.006" TargetMode="External" /><Relationship Type="http://schemas.openxmlformats.org/officeDocument/2006/relationships/hyperlink" Id="rId52" Target="https://doi.org/10.1017/S0031182000057590" TargetMode="External" /><Relationship Type="http://schemas.openxmlformats.org/officeDocument/2006/relationships/hyperlink" Id="rId60" Target="https://doi.org/10.1046/j.1472-4642.2000.00088.x" TargetMode="External" /><Relationship Type="http://schemas.openxmlformats.org/officeDocument/2006/relationships/hyperlink" Id="rId56" Target="https://doi.org/10.1111/j.1365-2664.2005.01025.x" TargetMode="External" /><Relationship Type="http://schemas.openxmlformats.org/officeDocument/2006/relationships/hyperlink" Id="rId50" Target="https://doi.org/10.1111/j.1472-4642.2008.00546.x" TargetMode="External" /><Relationship Type="http://schemas.openxmlformats.org/officeDocument/2006/relationships/hyperlink" Id="rId42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35" Target="https://doi.org/10.2307/1922166" TargetMode="External" /><Relationship Type="http://schemas.openxmlformats.org/officeDocument/2006/relationships/hyperlink" Id="rId58" Target="https://www.census.gov/newsroom/archives/2013-pr/cb13-tps1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doi.org/10.1002/msj.20137" TargetMode="External" /><Relationship Type="http://schemas.openxmlformats.org/officeDocument/2006/relationships/hyperlink" Id="rId40" Target="https://doi.org/10.1016/0169-5347(90)90066-M" TargetMode="External" /><Relationship Type="http://schemas.openxmlformats.org/officeDocument/2006/relationships/hyperlink" Id="rId46" Target="https://doi.org/10.1016/S0065-2504(08)60181-6" TargetMode="External" /><Relationship Type="http://schemas.openxmlformats.org/officeDocument/2006/relationships/hyperlink" Id="rId37" Target="https://doi.org/10.1016/S0891-5520(03)00100-4" TargetMode="External" /><Relationship Type="http://schemas.openxmlformats.org/officeDocument/2006/relationships/hyperlink" Id="rId48" Target="https://doi.org/10.1016/j.ijid.2005.09.001" TargetMode="External" /><Relationship Type="http://schemas.openxmlformats.org/officeDocument/2006/relationships/hyperlink" Id="rId54" Target="https://doi.org/10.1016/j.ijid.2006.02.006" TargetMode="External" /><Relationship Type="http://schemas.openxmlformats.org/officeDocument/2006/relationships/hyperlink" Id="rId52" Target="https://doi.org/10.1017/S0031182000057590" TargetMode="External" /><Relationship Type="http://schemas.openxmlformats.org/officeDocument/2006/relationships/hyperlink" Id="rId60" Target="https://doi.org/10.1046/j.1472-4642.2000.00088.x" TargetMode="External" /><Relationship Type="http://schemas.openxmlformats.org/officeDocument/2006/relationships/hyperlink" Id="rId56" Target="https://doi.org/10.1111/j.1365-2664.2005.01025.x" TargetMode="External" /><Relationship Type="http://schemas.openxmlformats.org/officeDocument/2006/relationships/hyperlink" Id="rId50" Target="https://doi.org/10.1111/j.1472-4642.2008.00546.x" TargetMode="External" /><Relationship Type="http://schemas.openxmlformats.org/officeDocument/2006/relationships/hyperlink" Id="rId42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35" Target="https://doi.org/10.2307/1922166" TargetMode="External" /><Relationship Type="http://schemas.openxmlformats.org/officeDocument/2006/relationships/hyperlink" Id="rId58" Target="https://www.census.gov/newsroom/archives/2013-pr/cb13-tps1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2023-01-26T18:20:54Z</dcterms:created>
  <dcterms:modified xsi:type="dcterms:W3CDTF">2023-01-26T18:20:54Z</dcterms:modified>
</cp:coreProperties>
</file>