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  <w:r>
        <w:t xml:space="preserve"> </w:t>
      </w:r>
      <w:r>
        <w:t xml:space="preserve">population</w:t>
      </w:r>
      <w:r>
        <w:t xml:space="preserve"> </w:t>
      </w:r>
      <w:r>
        <w:t xml:space="preserve">dynamics</w:t>
      </w:r>
    </w:p>
    <w:p>
      <w:pPr>
        <w:pStyle w:val="Heading2"/>
      </w:pPr>
      <w:bookmarkStart w:id="20" w:name="host-populations"/>
      <w:r>
        <w:t xml:space="preserve">Host populations</w:t>
      </w:r>
      <w:bookmarkEnd w:id="20"/>
    </w:p>
    <w:p>
      <w:pPr>
        <w:pStyle w:val="FirstParagraph"/>
      </w:pPr>
      <w:r>
        <w:t xml:space="preserve">So far we have been talking about the population dynamics of the</w:t>
      </w:r>
      <w:r>
        <w:t xml:space="preserve"> </w:t>
      </w:r>
      <w:r>
        <w:t xml:space="preserve">pathogens themselves; now we’ll discuss how parasites affect the</w:t>
      </w:r>
      <w:r>
        <w:t xml:space="preserve"> </w:t>
      </w:r>
      <w:r>
        <w:t xml:space="preserve">population dynamics of their hosts, whether wildlife (animal or plant)</w:t>
      </w:r>
      <w:r>
        <w:t xml:space="preserve"> </w:t>
      </w:r>
      <w:r>
        <w:t xml:space="preserve">or human.</w:t>
      </w:r>
    </w:p>
    <w:p>
      <w:pPr>
        <w:pStyle w:val="Heading2"/>
      </w:pPr>
      <w:bookmarkStart w:id="21" w:name="regulation"/>
      <w:r>
        <w:t xml:space="preserve">Regulation</w:t>
      </w:r>
      <w:bookmarkEnd w:id="21"/>
    </w:p>
    <w:p>
      <w:pPr>
        <w:pStyle w:val="FirstParagraph"/>
      </w:pPr>
      <w:r>
        <w:t xml:space="preserve">Do parasites control population size? How?</w:t>
      </w:r>
    </w:p>
    <w:p>
      <w:pPr>
        <w:pStyle w:val="BodyText"/>
      </w:pPr>
      <w:r>
        <w:t xml:space="preserve">High infection rate,</w:t>
      </w:r>
      <w:r>
        <w:t xml:space="preserve"> </w:t>
      </w:r>
      <w:r>
        <w:rPr>
          <w:i/>
        </w:rPr>
        <w:t xml:space="preserve">intermediate</w:t>
      </w:r>
      <w:r>
        <w:t xml:space="preserve"> </w:t>
      </w:r>
      <w:r>
        <w:t xml:space="preserve">virulence (disease-induced death rate) have the greatest impact on a population (because virulence lowers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by killing hosts</w:t>
      </w:r>
      <w:r>
        <w:t xml:space="preserve"> </w:t>
      </w:r>
      <w:r>
        <w:t xml:space="preserve">“</w:t>
      </w:r>
      <w:r>
        <w:t xml:space="preserve">too quickly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Can parasites</w:t>
      </w:r>
      <w:r>
        <w:t xml:space="preserve"> </w:t>
      </w:r>
      <w:r>
        <w:rPr>
          <w:i/>
        </w:rPr>
        <w:t xml:space="preserve">regulate</w:t>
      </w:r>
      <w:r>
        <w:t xml:space="preserve"> </w:t>
      </w:r>
      <w:r>
        <w:t xml:space="preserve">a population (i.e., create density-dependent</w:t>
      </w:r>
      <w:r>
        <w:t xml:space="preserve"> </w:t>
      </w:r>
      <w:r>
        <w:t xml:space="preserve">mortality)? Historically controversial because parasites thought to</w:t>
      </w:r>
      <w:r>
        <w:t xml:space="preserve"> </w:t>
      </w:r>
      <w:r>
        <w:t xml:space="preserve">evolve towards benign (commensal) association. Many lab studies show</w:t>
      </w:r>
      <w:r>
        <w:t xml:space="preserve"> </w:t>
      </w:r>
      <w:r>
        <w:t xml:space="preserve">dramatic results (e.g. 90% reduction of mouse population with nematode</w:t>
      </w:r>
      <w:r>
        <w:t xml:space="preserve"> </w:t>
      </w:r>
      <w:r>
        <w:rPr>
          <w:i/>
        </w:rPr>
        <w:t xml:space="preserve">Heligmosomoides polygyrus</w:t>
      </w:r>
      <w:r>
        <w:t xml:space="preserve"> </w:t>
      </w:r>
      <w:r>
        <w:t xml:space="preserve">(Scott 1987)</w:t>
      </w:r>
      <w:r>
        <w:t xml:space="preserve">: what about in the field? Easiest to detect with direct life cycles (</w:t>
      </w:r>
      <w:r>
        <w:rPr>
          <w:b/>
        </w:rPr>
        <w:t xml:space="preserve">monoxenic</w:t>
      </w:r>
      <w:r>
        <w:t xml:space="preserve">), mortality-producing.</w:t>
      </w:r>
    </w:p>
    <w:p>
      <w:pPr>
        <w:pStyle w:val="BodyText"/>
      </w:pPr>
      <w:r>
        <w:t xml:space="preserve">Biocontrol with pathogens (e.g. rabbit myxomatosis, calicivirus) does</w:t>
      </w:r>
      <w:r>
        <w:t xml:space="preserve"> </w:t>
      </w:r>
      <w:r>
        <w:t xml:space="preserve">work — although parasitoids (or toxins derived from microorganisms –</w:t>
      </w:r>
      <w:r>
        <w:t xml:space="preserve"> </w:t>
      </w:r>
      <w:r>
        <w:t xml:space="preserve">Bt) are also common. Another example:</w:t>
      </w:r>
      <w:r>
        <w:t xml:space="preserve"> </w:t>
      </w:r>
      <w:r>
        <w:rPr>
          <w:i/>
        </w:rPr>
        <w:t xml:space="preserve">Cactoblastis</w:t>
      </w:r>
      <w:r>
        <w:t xml:space="preserve"> </w:t>
      </w:r>
      <w:r>
        <w:t xml:space="preserve">moth, introduced to</w:t>
      </w:r>
      <w:r>
        <w:t xml:space="preserve"> </w:t>
      </w:r>
      <w:r>
        <w:t xml:space="preserve">Australia in 1925 to control non-native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cactus. But … both</w:t>
      </w:r>
      <w:r>
        <w:t xml:space="preserve"> </w:t>
      </w:r>
      <w:r>
        <w:t xml:space="preserve">myxomatosis and</w:t>
      </w:r>
      <w:r>
        <w:t xml:space="preserve"> </w:t>
      </w:r>
      <w:r>
        <w:rPr>
          <w:i/>
        </w:rPr>
        <w:t xml:space="preserve">Cactoblastis</w:t>
      </w:r>
      <w:r>
        <w:t xml:space="preserve"> </w:t>
      </w:r>
      <w:r>
        <w:t xml:space="preserve">are also causing problems in places where</w:t>
      </w:r>
      <w:r>
        <w:t xml:space="preserve"> </w:t>
      </w:r>
      <w:r>
        <w:t xml:space="preserve">their hosts are valued (native cactus), Iberian lynx that</w:t>
      </w:r>
      <w:r>
        <w:t xml:space="preserve"> </w:t>
      </w:r>
      <w:r>
        <w:t xml:space="preserve">depend on rabbits in Spain</w:t>
      </w:r>
      <w:r>
        <w:t xml:space="preserve"> </w:t>
      </w:r>
      <w:r>
        <w:t xml:space="preserve">(Zimmermann, Moran, and Hoffmann 2000; Cooke 2002; Real et al. 2009)</w:t>
      </w:r>
      <w:r>
        <w:t xml:space="preserve">.</w:t>
      </w:r>
    </w:p>
    <w:p>
      <w:pPr>
        <w:pStyle w:val="Heading2"/>
      </w:pPr>
      <w:bookmarkStart w:id="22" w:name="extinction"/>
      <w:r>
        <w:t xml:space="preserve">Extinction</w:t>
      </w:r>
      <w:bookmarkEnd w:id="22"/>
    </w:p>
    <w:p>
      <w:pPr>
        <w:pStyle w:val="FirstParagraph"/>
      </w:pPr>
      <w:r>
        <w:t xml:space="preserve">The simplest epidemic models suggest that parasites should go extinct</w:t>
      </w:r>
      <w:r>
        <w:t xml:space="preserve"> </w:t>
      </w:r>
      <w:r>
        <w:t xml:space="preserve">before their hosts do (density threshold), so parasites should not be</w:t>
      </w:r>
      <w:r>
        <w:t xml:space="preserve"> </w:t>
      </w:r>
      <w:r>
        <w:t xml:space="preserve">able to drive their hosts extinct. However, there are many exceptions</w:t>
      </w:r>
      <w:r>
        <w:t xml:space="preserve"> </w:t>
      </w:r>
      <w:r>
        <w:t xml:space="preserve">to the rule.</w:t>
      </w:r>
    </w:p>
    <w:p>
      <w:pPr>
        <w:numPr>
          <w:ilvl w:val="0"/>
          <w:numId w:val="1001"/>
        </w:numPr>
        <w:pStyle w:val="Compact"/>
      </w:pPr>
      <w:r>
        <w:t xml:space="preserve">small populations (e.g. golden toad/Bd, black-footed ferret/CDV, arctic fox/mange)</w:t>
      </w:r>
    </w:p>
    <w:p>
      <w:pPr>
        <w:numPr>
          <w:ilvl w:val="0"/>
          <w:numId w:val="1001"/>
        </w:numPr>
        <w:pStyle w:val="Compact"/>
      </w:pPr>
      <w:r>
        <w:t xml:space="preserve">reservoir hosts (e.g. Hawai’ian birds/malaria)</w:t>
      </w:r>
    </w:p>
    <w:p>
      <w:pPr>
        <w:numPr>
          <w:ilvl w:val="0"/>
          <w:numId w:val="1001"/>
        </w:numPr>
        <w:pStyle w:val="Compact"/>
      </w:pPr>
      <w:r>
        <w:t xml:space="preserve">frequency-dependent transmission (e.g.? koala/chlamydia)</w:t>
      </w:r>
    </w:p>
    <w:p>
      <w:pPr>
        <w:pStyle w:val="Heading2"/>
      </w:pPr>
      <w:bookmarkStart w:id="23" w:name="humans-historical-and-modern"/>
      <w:r>
        <w:t xml:space="preserve">Humans: historical and modern</w:t>
      </w:r>
      <w:bookmarkEnd w:id="23"/>
    </w:p>
    <w:p>
      <w:pPr>
        <w:pStyle w:val="FirstParagraph"/>
      </w:pPr>
      <w:r>
        <w:t xml:space="preserve">Plague of Athens (430-429 BC) killed 25% of the population of 155,000</w:t>
      </w:r>
      <w:r>
        <w:t xml:space="preserve"> </w:t>
      </w:r>
      <w:r>
        <w:t xml:space="preserve">(measles? typhoid? plague?)</w:t>
      </w:r>
      <w:r>
        <w:t xml:space="preserve"> </w:t>
      </w:r>
      <w:r>
        <w:t xml:space="preserve">(Littman 2009; Cunha 2004; Shapiro, Rambaut, and Gilbert 2006; Papagrigorakis et al. 2006)</w:t>
      </w:r>
      <w:r>
        <w:t xml:space="preserve">; also 25% in Rome in AD 165-180 (smallpox). Black Death</w:t>
      </w:r>
      <w:r>
        <w:t xml:space="preserve"> </w:t>
      </w:r>
      <w:r>
        <w:t xml:space="preserve">(1347) killed 25%-50% of the population of Europe (setting back</w:t>
      </w:r>
      <w:r>
        <w:t xml:space="preserve"> </w:t>
      </w:r>
      <w:r>
        <w:t xml:space="preserve">centuries of growth since 800). Population of Mexico dropped from 20</w:t>
      </w:r>
      <w:r>
        <w:t xml:space="preserve"> </w:t>
      </w:r>
      <w:r>
        <w:t xml:space="preserve">million to 3 million between 1518 and 1568, then to 1.6 million.</w:t>
      </w:r>
      <w:r>
        <w:t xml:space="preserve"> </w:t>
      </w:r>
      <w:r>
        <w:t xml:space="preserve">(</w:t>
      </w:r>
      <w:r>
        <w:t xml:space="preserve">“</w:t>
      </w:r>
      <w:r>
        <w:t xml:space="preserve">Virgin soil</w:t>
      </w:r>
      <w:r>
        <w:t xml:space="preserve">”</w:t>
      </w:r>
      <w:r>
        <w:t xml:space="preserve"> </w:t>
      </w:r>
      <w:r>
        <w:t xml:space="preserve">epidemics</w:t>
      </w:r>
      <w:r>
        <w:t xml:space="preserve"> </w:t>
      </w:r>
      <w:r>
        <w:t xml:space="preserve">(Crosby 1976; Diamond 2005)</w:t>
      </w:r>
      <w:r>
        <w:t xml:space="preserve">)</w:t>
      </w:r>
    </w:p>
    <w:p>
      <w:pPr>
        <w:pStyle w:val="BodyText"/>
      </w:pPr>
      <w:r>
        <w:t xml:space="preserve">Malthus comments on effects of</w:t>
      </w:r>
      <w:r>
        <w:t xml:space="preserve"> </w:t>
      </w:r>
      <w:r>
        <w:rPr>
          <w:i/>
        </w:rPr>
        <w:t xml:space="preserve">crowding</w:t>
      </w:r>
      <w:r>
        <w:t xml:space="preserve"> </w:t>
      </w:r>
      <w:r>
        <w:t xml:space="preserve">on disease.</w:t>
      </w:r>
    </w:p>
    <w:p>
      <w:pPr>
        <w:pStyle w:val="BodyText"/>
      </w:pPr>
      <w:r>
        <w:t xml:space="preserve">Demographic impact of HIV/AIDS is extremely significant: can convert</w:t>
      </w:r>
      <w:r>
        <w:t xml:space="preserve"> </w:t>
      </w:r>
      <w:r>
        <w:t xml:space="preserve">positive to negative growth rates in worst-affected countries.</w:t>
      </w:r>
    </w:p>
    <w:p>
      <w:pPr>
        <w:pStyle w:val="BodyText"/>
      </w:pPr>
      <w:r>
        <w:drawing>
          <wp:inline>
            <wp:extent cx="5334000" cy="44190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aids_impa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(U.S. Census Bureau 2013)</w:t>
      </w:r>
    </w:p>
    <w:p>
      <w:pPr>
        <w:pStyle w:val="Heading1"/>
      </w:pPr>
      <w:bookmarkStart w:id="25" w:name="cycles"/>
      <w:r>
        <w:t xml:space="preserve">Cycles</w:t>
      </w:r>
      <w:bookmarkEnd w:id="25"/>
    </w:p>
    <w:p>
      <w:pPr>
        <w:pStyle w:val="FirstParagraph"/>
      </w:pPr>
      <w:r>
        <w:t xml:space="preserve">Simple models of</w:t>
      </w:r>
      <w:r>
        <w:t xml:space="preserve"> </w:t>
      </w:r>
      <w:r>
        <w:t xml:space="preserve">“</w:t>
      </w:r>
      <w:r>
        <w:t xml:space="preserve">natural enemies</w:t>
      </w:r>
      <w:r>
        <w:t xml:space="preserve">”</w:t>
      </w:r>
      <w:r>
        <w:t xml:space="preserve"> </w:t>
      </w:r>
      <w:r>
        <w:t xml:space="preserve">strongly suggest that enemy-victim</w:t>
      </w:r>
      <w:r>
        <w:t xml:space="preserve"> </w:t>
      </w:r>
      <w:r>
        <w:t xml:space="preserve">interactions can lead to population cycles. These cycles are well</w:t>
      </w:r>
      <w:r>
        <w:t xml:space="preserve"> </w:t>
      </w:r>
      <w:r>
        <w:t xml:space="preserve">established for epidemics in human populations (e.g. measles, rubella,</w:t>
      </w:r>
      <w:r>
        <w:t xml:space="preserve"> </w:t>
      </w:r>
      <w:r>
        <w:t xml:space="preserve">chickenpox — the cycles are not in populations of humans, but in the</w:t>
      </w:r>
      <w:r>
        <w:t xml:space="preserve"> </w:t>
      </w:r>
      <w:r>
        <w:t xml:space="preserve">populations of parasites or</w:t>
      </w:r>
      <w:r>
        <w:t xml:space="preserve"> </w:t>
      </w:r>
      <w:r>
        <w:t xml:space="preserve">“</w:t>
      </w:r>
      <w:r>
        <w:t xml:space="preserve">infectives</w:t>
      </w:r>
      <w:r>
        <w:t xml:space="preserve">”</w:t>
      </w:r>
      <w:r>
        <w:t xml:space="preserve">) and for predator-prey systems</w:t>
      </w:r>
      <w:r>
        <w:t xml:space="preserve"> </w:t>
      </w:r>
      <w:r>
        <w:t xml:space="preserve">(lynx-hare). Do infectious diseases drive host population cycles?</w:t>
      </w:r>
    </w:p>
    <w:p>
      <w:pPr>
        <w:pStyle w:val="Heading2"/>
      </w:pPr>
      <w:bookmarkStart w:id="26" w:name="seals-and-phocine-distemper-virus"/>
      <w:r>
        <w:t xml:space="preserve">Seals and phocine distemper virus</w:t>
      </w:r>
      <w:bookmarkEnd w:id="26"/>
    </w:p>
    <w:p>
      <w:pPr>
        <w:pStyle w:val="FirstParagraph"/>
      </w:pPr>
      <w:r>
        <w:t xml:space="preserve">Harbor seals in northern Europe underwent a severe outbreak of a</w:t>
      </w:r>
      <w:r>
        <w:t xml:space="preserve"> </w:t>
      </w:r>
      <w:r>
        <w:t xml:space="preserve">previously unrecognized morbillivirus, now called phocine distemper</w:t>
      </w:r>
      <w:r>
        <w:t xml:space="preserve"> </w:t>
      </w:r>
      <w:r>
        <w:t xml:space="preserve">virus, in 1998.</w:t>
      </w:r>
    </w:p>
    <w:p>
      <w:pPr>
        <w:pStyle w:val="CaptionedFigure"/>
      </w:pPr>
      <w:r>
        <w:drawing>
          <wp:inline>
            <wp:extent cx="4201427" cy="2743200"/>
            <wp:effectExtent b="0" l="0" r="0" t="0"/>
            <wp:docPr descr="harbour seal pop dynamics" title="" id="1" name="Picture"/>
            <a:graphic>
              <a:graphicData uri="http://schemas.openxmlformats.org/drawingml/2006/picture">
                <pic:pic>
                  <pic:nvPicPr>
                    <pic:cNvPr descr="pix/lonergan_pd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2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harbour seal pop dynamics</w:t>
      </w:r>
    </w:p>
    <w:p>
      <w:pPr>
        <w:pStyle w:val="BodyText"/>
      </w:pPr>
      <w:r>
        <w:t xml:space="preserve">(Thompson, Lonergan, and Duck 2005)</w:t>
      </w:r>
      <w:r>
        <w:t xml:space="preserve">. There was another major epidemic in</w:t>
      </w:r>
      <w:r>
        <w:t xml:space="preserve"> </w:t>
      </w:r>
      <w:r>
        <w:t xml:space="preserve">2002.</w:t>
      </w:r>
      <w:r>
        <w:t xml:space="preserve"> </w:t>
      </w:r>
      <w:r>
        <w:t xml:space="preserve">Harwood and Hall (1990)</w:t>
      </w:r>
      <w:r>
        <w:t xml:space="preserve"> </w:t>
      </w:r>
      <w:r>
        <w:t xml:space="preserve">present evidence of sporadic outbreaks of</w:t>
      </w:r>
      <w:r>
        <w:t xml:space="preserve"> </w:t>
      </w:r>
      <w:r>
        <w:t xml:space="preserve">die-offs and pneumonias in seals (ca. 1758, 1813, 1836, 1869–70,</w:t>
      </w:r>
      <w:r>
        <w:t xml:space="preserve"> </w:t>
      </w:r>
      <w:r>
        <w:t xml:space="preserve">1930s). The epidemics are consistent with population die-offs and</w:t>
      </w:r>
      <w:r>
        <w:t xml:space="preserve"> </w:t>
      </w:r>
      <w:r>
        <w:t xml:space="preserve">recovery, although the detailed epidemiology and demography is still an</w:t>
      </w:r>
      <w:r>
        <w:t xml:space="preserve"> </w:t>
      </w:r>
      <w:r>
        <w:t xml:space="preserve">active area of research.</w:t>
      </w:r>
    </w:p>
    <w:p>
      <w:pPr>
        <w:pStyle w:val="Heading2"/>
      </w:pPr>
      <w:bookmarkStart w:id="28" w:name="forest-lepidoptera"/>
      <w:r>
        <w:t xml:space="preserve">Forest lepidoptera</w:t>
      </w:r>
      <w:bookmarkEnd w:id="28"/>
    </w:p>
    <w:p>
      <w:pPr>
        <w:pStyle w:val="FirstParagraph"/>
      </w:pPr>
      <w:r>
        <w:t xml:space="preserve">Another example</w:t>
      </w:r>
      <w:r>
        <w:t xml:space="preserve"> </w:t>
      </w:r>
      <w:r>
        <w:t xml:space="preserve">(Myers 1988)</w:t>
      </w:r>
      <w:r>
        <w:t xml:space="preserve"> </w:t>
      </w:r>
      <w:r>
        <w:t xml:space="preserve">cycles of forest lepidoptera. About 80 species (1-2%)</w:t>
      </w:r>
      <w:r>
        <w:t xml:space="preserve"> </w:t>
      </w:r>
      <w:r>
        <w:t xml:space="preserve">of forest lepidoptera (caterpillars) experience outbreak dynamics; of</w:t>
      </w:r>
      <w:r>
        <w:t xml:space="preserve"> </w:t>
      </w:r>
      <w:r>
        <w:t xml:space="preserve">these, 18 species display regular, cyclic fluctuations.</w:t>
      </w:r>
    </w:p>
    <w:p>
      <w:pPr>
        <w:pStyle w:val="BodyText"/>
      </w:pPr>
      <w:r>
        <w:t xml:space="preserve">The cycles are very clear (8–11 years, often highly synchronized across</w:t>
      </w:r>
      <w:r>
        <w:t xml:space="preserve"> </w:t>
      </w:r>
      <w:r>
        <w:t xml:space="preserve">broad geographic regions). Possible hypotheses for why this happens</w:t>
      </w:r>
      <w:r>
        <w:t xml:space="preserve"> </w:t>
      </w:r>
      <w:r>
        <w:t xml:space="preserve">include: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top-down control</w:t>
      </w:r>
      <w:r>
        <w:t xml:space="preserve"> </w:t>
      </w:r>
      <w:r>
        <w:t xml:space="preserve">(predators): changes in predator populations (e.g. birds)</w:t>
      </w:r>
      <w:r>
        <w:t xml:space="preserve"> </w:t>
      </w:r>
      <w:r>
        <w:t xml:space="preserve">(probably not: bird population densities don’t change fast enough to</w:t>
      </w:r>
      <w:r>
        <w:t xml:space="preserve"> </w:t>
      </w:r>
      <w:r>
        <w:t xml:space="preserve">control caterpillars. Parasitoids??)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bottom-up control</w:t>
      </w:r>
      <w:r>
        <w:t xml:space="preserve">: changes in plant density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plant quality</w:t>
      </w:r>
      <w:r>
        <w:t xml:space="preserve"> </w:t>
      </w:r>
      <w:r>
        <w:t xml:space="preserve">(plant density doesn’t work - very few trees die from caterpillars -</w:t>
      </w:r>
      <w:r>
        <w:t xml:space="preserve"> </w:t>
      </w:r>
      <w:r>
        <w:t xml:space="preserve">but plant quality might. However, experimenters have had extremely</w:t>
      </w:r>
      <w:r>
        <w:t xml:space="preserve"> </w:t>
      </w:r>
      <w:r>
        <w:t xml:space="preserve">mixed results manipulating food quality)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weather</w:t>
      </w:r>
      <w:r>
        <w:t xml:space="preserve"> </w:t>
      </w:r>
      <w:r>
        <w:t xml:space="preserve">(doesn’t work by itself; wide variation in local conditions)</w:t>
      </w:r>
      <w:r>
        <w:t xml:space="preserve"> </w:t>
      </w:r>
      <w:r>
        <w:t xml:space="preserve">or interactions of weather with other factors</w:t>
      </w:r>
    </w:p>
    <w:p>
      <w:pPr>
        <w:numPr>
          <w:ilvl w:val="0"/>
          <w:numId w:val="1002"/>
        </w:numPr>
        <w:pStyle w:val="Compact"/>
      </w:pPr>
      <w:r>
        <w:t xml:space="preserve">changes in</w:t>
      </w:r>
      <w:r>
        <w:t xml:space="preserve"> </w:t>
      </w:r>
      <w:r>
        <w:rPr>
          <w:b/>
        </w:rPr>
        <w:t xml:space="preserve">insect quality</w:t>
      </w:r>
      <w:r>
        <w:t xml:space="preserve">, possibly as a result of changes in plant</w:t>
      </w:r>
      <w:r>
        <w:t xml:space="preserve"> </w:t>
      </w:r>
      <w:r>
        <w:t xml:space="preserve">quality or other competitive effects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parasites</w:t>
      </w:r>
      <w:r>
        <w:t xml:space="preserve">: specifically, nuclear polyhedrosis viruses</w:t>
      </w:r>
      <w:r>
        <w:t xml:space="preserve"> </w:t>
      </w:r>
      <w:r>
        <w:rPr>
          <w:i/>
        </w:rPr>
        <w:t xml:space="preserve">Entomophaga maimaiga</w:t>
      </w:r>
      <w:r>
        <w:t xml:space="preserve"> </w:t>
      </w:r>
      <w:r>
        <w:t xml:space="preserve">(fungus)</w:t>
      </w:r>
    </w:p>
    <w:p>
      <w:pPr>
        <w:pStyle w:val="FirstParagraph"/>
      </w:pPr>
      <w:r>
        <w:t xml:space="preserve">The only time that an outbreak has been stopped by experimental manipulation is</w:t>
      </w:r>
      <w:r>
        <w:t xml:space="preserve"> </w:t>
      </w:r>
      <w:r>
        <w:t xml:space="preserve">by spraying with NPV (an outbreak of tussock moths in 1981).</w:t>
      </w:r>
    </w:p>
    <w:p>
      <w:pPr>
        <w:pStyle w:val="Heading2"/>
      </w:pPr>
      <w:bookmarkStart w:id="29" w:name="red-grouse-and-trichostrongylus-tenuis"/>
      <w:r>
        <w:t xml:space="preserve">Red grouse and</w:t>
      </w:r>
      <w:r>
        <w:t xml:space="preserve"> </w:t>
      </w:r>
      <w:r>
        <w:rPr>
          <w:i/>
        </w:rPr>
        <w:t xml:space="preserve">Trichostrongylus tenuis</w:t>
      </w:r>
      <w:bookmarkEnd w:id="29"/>
    </w:p>
    <w:p>
      <w:pPr>
        <w:pStyle w:val="FirstParagraph"/>
      </w:pPr>
      <w:r>
        <w:t xml:space="preserve">What about regular</w:t>
      </w:r>
      <w:r>
        <w:t xml:space="preserve"> </w:t>
      </w:r>
      <w:r>
        <w:rPr>
          <w:i/>
        </w:rPr>
        <w:t xml:space="preserve">cycling</w:t>
      </w:r>
      <w:r>
        <w:t xml:space="preserve"> </w:t>
      </w:r>
      <w:r>
        <w:t xml:space="preserve">in time?</w:t>
      </w:r>
      <w:r>
        <w:t xml:space="preserve"> </w:t>
      </w:r>
      <w:r>
        <w:t xml:space="preserve">(Hudson, Dobson, and Newborn 1998)</w:t>
      </w:r>
    </w:p>
    <w:p>
      <w:pPr>
        <w:pStyle w:val="Heading2"/>
      </w:pPr>
      <w:bookmarkStart w:id="30" w:name="basic-natural-history"/>
      <w:r>
        <w:t xml:space="preserve">Basic natural history</w:t>
      </w:r>
      <w:bookmarkEnd w:id="30"/>
    </w:p>
    <w:p>
      <w:pPr>
        <w:pStyle w:val="FirstParagraph"/>
      </w:pPr>
      <w:r>
        <w:t xml:space="preserve">Not much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about the demography and ecology of Scottish</w:t>
      </w:r>
      <w:r>
        <w:t xml:space="preserve"> </w:t>
      </w:r>
      <w:r>
        <w:t xml:space="preserve">red grouse (</w:t>
      </w:r>
      <w:r>
        <w:rPr>
          <w:i/>
        </w:rPr>
        <w:t xml:space="preserve">Lagopus lagopus scoticus</w:t>
      </w:r>
      <w:r>
        <w:t xml:space="preserve">) in the 20th century. Red grouse</w:t>
      </w:r>
      <w:r>
        <w:t xml:space="preserve"> </w:t>
      </w:r>
      <w:r>
        <w:t xml:space="preserve">live on heather moors in northern England and Scotland. They are</w:t>
      </w:r>
      <w:r>
        <w:t xml:space="preserve"> </w:t>
      </w:r>
      <w:r>
        <w:t xml:space="preserve">herbivores, eating only heather, with special intestinal adaptions</w:t>
      </w:r>
      <w:r>
        <w:t xml:space="preserve"> </w:t>
      </w:r>
      <w:r>
        <w:t xml:space="preserve">(</w:t>
      </w:r>
      <w:r>
        <w:rPr>
          <w:i/>
        </w:rPr>
        <w:t xml:space="preserve">caeca</w:t>
      </w:r>
      <w:r>
        <w:t xml:space="preserve">, which are fermenting chambers off the main intestines) for</w:t>
      </w:r>
      <w:r>
        <w:t xml:space="preserve"> </w:t>
      </w:r>
      <w:r>
        <w:t xml:space="preserve">subsisting on the relatively woody vegetation. The nematode</w:t>
      </w:r>
      <w:r>
        <w:t xml:space="preserve"> </w:t>
      </w:r>
      <w:r>
        <w:rPr>
          <w:i/>
        </w:rPr>
        <w:t xml:space="preserve">Trichostrongylus tenuis</w:t>
      </w:r>
      <w:r>
        <w:t xml:space="preserve"> </w:t>
      </w:r>
      <w:r>
        <w:t xml:space="preserve">lives in these caeca in (typically) large</w:t>
      </w:r>
      <w:r>
        <w:t xml:space="preserve"> </w:t>
      </w:r>
      <w:r>
        <w:t xml:space="preserve">numbers.</w:t>
      </w:r>
      <w:r>
        <w:t xml:space="preserve"> </w:t>
      </w:r>
      <w:r>
        <w:rPr>
          <w:i/>
        </w:rPr>
        <w:t xml:space="preserve">T. tenuis</w:t>
      </w:r>
      <w:r>
        <w:t xml:space="preserve"> </w:t>
      </w:r>
      <w:r>
        <w:t xml:space="preserve">is monoxenic, with free-living stages (pooped out</w:t>
      </w:r>
      <w:r>
        <w:t xml:space="preserve"> </w:t>
      </w:r>
      <w:r>
        <w:t xml:space="preserve">by the grouse) that crawl up to the top of the heather to be eaten by</w:t>
      </w:r>
      <w:r>
        <w:t xml:space="preserve"> </w:t>
      </w:r>
      <w:r>
        <w:t xml:space="preserve">grouse. Grouse live at relatively high densities, protected from</w:t>
      </w:r>
      <w:r>
        <w:t xml:space="preserve"> </w:t>
      </w:r>
      <w:r>
        <w:t xml:space="preserve">predators (foxes, raptors) by gamekeepers. They are shot every year by</w:t>
      </w:r>
      <w:r>
        <w:t xml:space="preserve"> </w:t>
      </w:r>
      <w:r>
        <w:t xml:space="preserve">rich people with shotguns.</w:t>
      </w:r>
    </w:p>
    <w:p>
      <w:pPr>
        <w:pStyle w:val="BodyText"/>
      </w:pPr>
      <w:r>
        <w:rPr>
          <w:i/>
        </w:rPr>
        <w:t xml:space="preserve">Bag records</w:t>
      </w:r>
      <w:r>
        <w:t xml:space="preserve">, numbers of grouse shot on each moor in each year, have</w:t>
      </w:r>
      <w:r>
        <w:t xml:space="preserve"> </w:t>
      </w:r>
      <w:r>
        <w:t xml:space="preserve">been recorded in some cases since 1880. They show clear patterns, with</w:t>
      </w:r>
      <w:r>
        <w:t xml:space="preserve"> </w:t>
      </w:r>
      <w:r>
        <w:t xml:space="preserve">4-6 year cycles in the north of England and 7-10 year cycles in</w:t>
      </w:r>
      <w:r>
        <w:t xml:space="preserve"> </w:t>
      </w:r>
      <w:r>
        <w:t xml:space="preserve">Scotland. The bag records are reasonable, although not perfect,</w:t>
      </w:r>
      <w:r>
        <w:t xml:space="preserve"> </w:t>
      </w:r>
      <w:r>
        <w:t xml:space="preserve">measurements of population density: hunting effort is relatively</w:t>
      </w:r>
      <w:r>
        <w:t xml:space="preserve"> </w:t>
      </w:r>
      <w:r>
        <w:t xml:space="preserve">constant between years, although it does drop if grouse numbers are too</w:t>
      </w:r>
      <w:r>
        <w:t xml:space="preserve"> </w:t>
      </w:r>
      <w:r>
        <w:t xml:space="preserve">low and it historically dropped between First and Second World Wars,</w:t>
      </w:r>
      <w:r>
        <w:t xml:space="preserve"> </w:t>
      </w:r>
      <w:r>
        <w:t xml:space="preserve">because either the aristocracy or the gamekeepers went off to war.</w:t>
      </w:r>
    </w:p>
    <w:p>
      <w:pPr>
        <w:pStyle w:val="BodyText"/>
      </w:pPr>
      <w:r>
        <w:t xml:space="preserve">There are multiple hypotheses for the cyclic changes in population</w:t>
      </w:r>
      <w:r>
        <w:t xml:space="preserve"> </w:t>
      </w:r>
      <w:r>
        <w:t xml:space="preserve">density; the two main ones are changes in behavior (aggression etc.) and</w:t>
      </w:r>
      <w:r>
        <w:t xml:space="preserve"> </w:t>
      </w:r>
      <w:r>
        <w:t xml:space="preserve">host-parasite cycles.</w:t>
      </w:r>
    </w:p>
    <w:p>
      <w:pPr>
        <w:pStyle w:val="BodyText"/>
      </w:pPr>
      <w:r>
        <w:t xml:space="preserve">Evidence for host-parasite cycles:</w:t>
      </w:r>
    </w:p>
    <w:p>
      <w:pPr>
        <w:numPr>
          <w:ilvl w:val="0"/>
          <w:numId w:val="1003"/>
        </w:numPr>
        <w:pStyle w:val="Compact"/>
      </w:pPr>
      <w:r>
        <w:t xml:space="preserve">Higher survivorship of grouse treated with anthelminthics</w:t>
      </w:r>
    </w:p>
    <w:p>
      <w:pPr>
        <w:numPr>
          <w:ilvl w:val="0"/>
          <w:numId w:val="1003"/>
        </w:numPr>
        <w:pStyle w:val="Compact"/>
      </w:pPr>
      <w:r>
        <w:t xml:space="preserve">Higher fecundity of grouse treated with anthelminthics</w:t>
      </w:r>
    </w:p>
    <w:p>
      <w:pPr>
        <w:numPr>
          <w:ilvl w:val="0"/>
          <w:numId w:val="1003"/>
        </w:numPr>
        <w:pStyle w:val="Compact"/>
      </w:pPr>
      <w:r>
        <w:t xml:space="preserve">Parasite densities (mean worm burdens) oscillate out of phase with</w:t>
      </w:r>
      <w:r>
        <w:t xml:space="preserve"> </w:t>
      </w:r>
      <w:r>
        <w:t xml:space="preserve">population densities</w:t>
      </w:r>
    </w:p>
    <w:p>
      <w:pPr>
        <w:numPr>
          <w:ilvl w:val="0"/>
          <w:numId w:val="1003"/>
        </w:numPr>
        <w:pStyle w:val="Compact"/>
      </w:pPr>
      <w:r>
        <w:t xml:space="preserve">Treatment experiment: reduces amplitude of fluctuations</w:t>
      </w:r>
    </w:p>
    <w:p>
      <w:pPr>
        <w:numPr>
          <w:ilvl w:val="0"/>
          <w:numId w:val="1003"/>
        </w:numPr>
        <w:pStyle w:val="Compact"/>
      </w:pPr>
      <w:r>
        <w:t xml:space="preserve">General consistency of model predictions with data, including</w:t>
      </w:r>
      <w:r>
        <w:t xml:space="preserve"> </w:t>
      </w:r>
      <w:r>
        <w:t xml:space="preserve">variation of cycles from south (northern England) to north</w:t>
      </w:r>
      <w:r>
        <w:t xml:space="preserve"> </w:t>
      </w:r>
      <w:r>
        <w:t xml:space="preserve">(Scotland); seems to be related to</w:t>
      </w:r>
      <w:r>
        <w:t xml:space="preserve"> </w:t>
      </w:r>
      <w:r>
        <w:rPr>
          <w:i/>
        </w:rPr>
        <w:t xml:space="preserve">arrested development</w:t>
      </w:r>
      <w:r>
        <w:t xml:space="preserve"> </w:t>
      </w:r>
      <w:r>
        <w:t xml:space="preserve">of</w:t>
      </w:r>
      <w:r>
        <w:t xml:space="preserve"> </w:t>
      </w:r>
      <w:r>
        <w:t xml:space="preserve">nematode larvae in cold weather, which slows things down</w:t>
      </w:r>
    </w:p>
    <w:p>
      <w:pPr>
        <w:pStyle w:val="FirstParagraph"/>
      </w:pPr>
      <w:r>
        <w:t xml:space="preserve">This is not the last word, but there’s a lot of evidence.</w:t>
      </w:r>
    </w:p>
    <w:p>
      <w:pPr>
        <w:pStyle w:val="CaptionedFigure"/>
      </w:pPr>
      <w:r>
        <w:drawing>
          <wp:inline>
            <wp:extent cx="3657600" cy="5816600"/>
            <wp:effectExtent b="0" l="0" r="0" t="0"/>
            <wp:docPr descr="grouse dynamics" title="" id="1" name="Picture"/>
            <a:graphic>
              <a:graphicData uri="http://schemas.openxmlformats.org/drawingml/2006/picture">
                <pic:pic>
                  <pic:nvPicPr>
                    <pic:cNvPr descr="pix/hudson_grou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1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grouse dynamics</w:t>
      </w:r>
    </w:p>
    <w:p>
      <w:pPr>
        <w:pStyle w:val="Heading2"/>
      </w:pPr>
      <w:bookmarkStart w:id="32" w:name="references"/>
      <w:r>
        <w:t xml:space="preserve">References</w:t>
      </w:r>
      <w:bookmarkEnd w:id="32"/>
    </w:p>
    <w:bookmarkStart w:id="62" w:name="refs"/>
    <w:bookmarkStart w:id="34" w:name="ref-cooke_rabbit_2002"/>
    <w:p>
      <w:pPr>
        <w:pStyle w:val="Bibliography"/>
      </w:pPr>
      <w:r>
        <w:t xml:space="preserve">Cooke, B. D. 2002. “Rabbit Haemorrhagic Disease: Field Epidemiology and the Management of Wild Rabbit Populations.”</w:t>
      </w:r>
      <w:r>
        <w:t xml:space="preserve"> </w:t>
      </w:r>
      <w:r>
        <w:rPr>
          <w:i/>
        </w:rPr>
        <w:t xml:space="preserve">Revue Scientifique et Technique (International Office of Epizootics)</w:t>
      </w:r>
      <w:r>
        <w:t xml:space="preserve"> </w:t>
      </w:r>
      <w:r>
        <w:t xml:space="preserve">21 (2): 347–58.</w:t>
      </w:r>
      <w:r>
        <w:t xml:space="preserve"> </w:t>
      </w:r>
      <w:hyperlink r:id="rId33">
        <w:r>
          <w:rPr>
            <w:rStyle w:val="Hyperlink"/>
          </w:rPr>
          <w:t xml:space="preserve">https://doi.org/10.20506/rst.21.2.1337</w:t>
        </w:r>
      </w:hyperlink>
      <w:r>
        <w:t xml:space="preserve">.</w:t>
      </w:r>
    </w:p>
    <w:bookmarkEnd w:id="34"/>
    <w:bookmarkStart w:id="36" w:name="ref-crosby_virgin_1976"/>
    <w:p>
      <w:pPr>
        <w:pStyle w:val="Bibliography"/>
      </w:pPr>
      <w:r>
        <w:t xml:space="preserve">Crosby, Alfred W. 1976. “Virgin Soil Epidemics as a Factor in the Aboriginal Depopulation in America.”</w:t>
      </w:r>
      <w:r>
        <w:t xml:space="preserve"> </w:t>
      </w:r>
      <w:r>
        <w:rPr>
          <w:i/>
        </w:rPr>
        <w:t xml:space="preserve">The William and Mary Quarterly</w:t>
      </w:r>
      <w:r>
        <w:t xml:space="preserve"> </w:t>
      </w:r>
      <w:r>
        <w:t xml:space="preserve">33 (2): 289–99.</w:t>
      </w:r>
      <w:r>
        <w:t xml:space="preserve"> </w:t>
      </w:r>
      <w:hyperlink r:id="rId35">
        <w:r>
          <w:rPr>
            <w:rStyle w:val="Hyperlink"/>
          </w:rPr>
          <w:t xml:space="preserve">https://doi.org/10.2307/1922166</w:t>
        </w:r>
      </w:hyperlink>
      <w:r>
        <w:t xml:space="preserve">.</w:t>
      </w:r>
    </w:p>
    <w:bookmarkEnd w:id="36"/>
    <w:bookmarkStart w:id="38" w:name="ref-cunha_cause_2004"/>
    <w:p>
      <w:pPr>
        <w:pStyle w:val="Bibliography"/>
      </w:pPr>
      <w:r>
        <w:t xml:space="preserve">Cunha, Burke A. 2004. “The Cause of the Plague of Athens: Plague, Typhoid, Typhus, Smallpox, or Measles?”</w:t>
      </w:r>
      <w:r>
        <w:t xml:space="preserve"> </w:t>
      </w:r>
      <w:r>
        <w:rPr>
          <w:i/>
        </w:rPr>
        <w:t xml:space="preserve">Infectious Disease Clinics of North America</w:t>
      </w:r>
      <w:r>
        <w:t xml:space="preserve"> </w:t>
      </w:r>
      <w:r>
        <w:t xml:space="preserve">18 (1): 29–43.</w:t>
      </w:r>
      <w:r>
        <w:t xml:space="preserve"> </w:t>
      </w:r>
      <w:hyperlink r:id="rId37">
        <w:r>
          <w:rPr>
            <w:rStyle w:val="Hyperlink"/>
          </w:rPr>
          <w:t xml:space="preserve">https://doi.org/10.1016/S0891-5520(03)00100-4</w:t>
        </w:r>
      </w:hyperlink>
      <w:r>
        <w:t xml:space="preserve">.</w:t>
      </w:r>
    </w:p>
    <w:bookmarkEnd w:id="38"/>
    <w:bookmarkStart w:id="39" w:name="ref-diamond_guns_2005"/>
    <w:p>
      <w:pPr>
        <w:pStyle w:val="Bibliography"/>
      </w:pPr>
      <w:r>
        <w:t xml:space="preserve">Diamond, Jared. 2005.</w:t>
      </w:r>
      <w:r>
        <w:t xml:space="preserve"> </w:t>
      </w:r>
      <w:r>
        <w:rPr>
          <w:i/>
        </w:rPr>
        <w:t xml:space="preserve">Guns, Germs, and Steel: The Fates of Human Societies</w:t>
      </w:r>
      <w:r>
        <w:t xml:space="preserve">. Revised ed. edition. New York: W. W. Norton &amp; Company.</w:t>
      </w:r>
    </w:p>
    <w:bookmarkEnd w:id="39"/>
    <w:bookmarkStart w:id="41" w:name="ref-harwood_mass_1990"/>
    <w:p>
      <w:pPr>
        <w:pStyle w:val="Bibliography"/>
      </w:pPr>
      <w:r>
        <w:t xml:space="preserve">Harwood, John, and Ailsa Hall. 1990. “Mass Mortality in Marine Mammals: Its Implications for Population Dynamics and Genetics.”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 </w:t>
      </w:r>
      <w:r>
        <w:t xml:space="preserve">5 (8): 254–57.</w:t>
      </w:r>
      <w:r>
        <w:t xml:space="preserve"> </w:t>
      </w:r>
      <w:hyperlink r:id="rId40">
        <w:r>
          <w:rPr>
            <w:rStyle w:val="Hyperlink"/>
          </w:rPr>
          <w:t xml:space="preserve">https://doi.org/10.1016/0169-5347(90)90066-M</w:t>
        </w:r>
      </w:hyperlink>
      <w:r>
        <w:t xml:space="preserve">.</w:t>
      </w:r>
    </w:p>
    <w:bookmarkEnd w:id="41"/>
    <w:bookmarkStart w:id="43" w:name="ref-hudson_prevention_1998"/>
    <w:p>
      <w:pPr>
        <w:pStyle w:val="Bibliography"/>
      </w:pPr>
      <w:r>
        <w:t xml:space="preserve">Hudson, P. J., Andy Dobson, and D. Newborn. 1998. “Prevention of Population Cycles by Parasite Removal.”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282 (5397): 2256–8.</w:t>
      </w:r>
      <w:r>
        <w:t xml:space="preserve"> </w:t>
      </w:r>
      <w:hyperlink r:id="rId42">
        <w:r>
          <w:rPr>
            <w:rStyle w:val="Hyperlink"/>
          </w:rPr>
          <w:t xml:space="preserve">https://doi.org/10.1126/science.282.5397.2256</w:t>
        </w:r>
      </w:hyperlink>
      <w:r>
        <w:t xml:space="preserve">.</w:t>
      </w:r>
    </w:p>
    <w:bookmarkEnd w:id="43"/>
    <w:bookmarkStart w:id="45" w:name="ref-littman_plague_2009"/>
    <w:p>
      <w:pPr>
        <w:pStyle w:val="Bibliography"/>
      </w:pPr>
      <w:r>
        <w:t xml:space="preserve">Littman, Robert J. 2009. “The Plague of Athens: Epidemiology and Paleopathology.”</w:t>
      </w:r>
      <w:r>
        <w:t xml:space="preserve"> </w:t>
      </w:r>
      <w:r>
        <w:rPr>
          <w:i/>
        </w:rPr>
        <w:t xml:space="preserve">Mount Sinai Journal of Medicine: A Journal of Translational and Personalized Medicine</w:t>
      </w:r>
      <w:r>
        <w:t xml:space="preserve"> </w:t>
      </w:r>
      <w:r>
        <w:t xml:space="preserve">76 (5): 456–67.</w:t>
      </w:r>
      <w:r>
        <w:t xml:space="preserve"> </w:t>
      </w:r>
      <w:hyperlink r:id="rId44">
        <w:r>
          <w:rPr>
            <w:rStyle w:val="Hyperlink"/>
          </w:rPr>
          <w:t xml:space="preserve">https://doi.org/10.1002/msj.20137</w:t>
        </w:r>
      </w:hyperlink>
      <w:r>
        <w:t xml:space="preserve">.</w:t>
      </w:r>
    </w:p>
    <w:bookmarkEnd w:id="45"/>
    <w:bookmarkStart w:id="47" w:name="ref-myers_can_1988"/>
    <w:p>
      <w:pPr>
        <w:pStyle w:val="Bibliography"/>
      </w:pPr>
      <w:r>
        <w:t xml:space="preserve">Myers, Judith H. 1988. “Can a General Hypothesis Explain Population Cycles of Forest Lepidoptera?” In</w:t>
      </w:r>
      <w:r>
        <w:t xml:space="preserve"> </w:t>
      </w:r>
      <w:r>
        <w:rPr>
          <w:i/>
        </w:rPr>
        <w:t xml:space="preserve">Advances in Ecological Research</w:t>
      </w:r>
      <w:r>
        <w:t xml:space="preserve">, edited by M. Begon, A. H. Fitter, E. D. Ford, and A. Macfadyen, 18:179–242. Academic Press.</w:t>
      </w:r>
      <w:r>
        <w:t xml:space="preserve"> </w:t>
      </w:r>
      <w:hyperlink r:id="rId46">
        <w:r>
          <w:rPr>
            <w:rStyle w:val="Hyperlink"/>
          </w:rPr>
          <w:t xml:space="preserve">https://doi.org/10.1016/S0065-2504(08)60181-6</w:t>
        </w:r>
      </w:hyperlink>
      <w:r>
        <w:t xml:space="preserve">.</w:t>
      </w:r>
    </w:p>
    <w:bookmarkEnd w:id="47"/>
    <w:bookmarkStart w:id="49" w:name="ref-papagrigorakis_dna_2006"/>
    <w:p>
      <w:pPr>
        <w:pStyle w:val="Bibliography"/>
      </w:pPr>
      <w:r>
        <w:t xml:space="preserve">Papagrigorakis, Manolis J., Christos Yapijakis, Philippos N. Synodinos, and Effie Baziotopoulou-Valavani. 2006. “DNA Examination of Ancient Dental Pulp Incriminates Typhoid Fever as a Probable Cause of the Plague of Athens.”</w:t>
      </w:r>
      <w:r>
        <w:t xml:space="preserve"> </w:t>
      </w:r>
      <w:r>
        <w:rPr>
          <w:i/>
        </w:rPr>
        <w:t xml:space="preserve">International Journal of Infectious Diseases</w:t>
      </w:r>
      <w:r>
        <w:t xml:space="preserve"> </w:t>
      </w:r>
      <w:r>
        <w:t xml:space="preserve">10 (3): 206–14.</w:t>
      </w:r>
      <w:r>
        <w:t xml:space="preserve"> </w:t>
      </w:r>
      <w:hyperlink r:id="rId48">
        <w:r>
          <w:rPr>
            <w:rStyle w:val="Hyperlink"/>
          </w:rPr>
          <w:t xml:space="preserve">https://doi.org/10.1016/j.ijid.2005.09.001</w:t>
        </w:r>
      </w:hyperlink>
      <w:r>
        <w:t xml:space="preserve">.</w:t>
      </w:r>
    </w:p>
    <w:bookmarkEnd w:id="49"/>
    <w:bookmarkStart w:id="51" w:name="ref-real_conservation_2009"/>
    <w:p>
      <w:pPr>
        <w:pStyle w:val="Bibliography"/>
      </w:pPr>
      <w:r>
        <w:t xml:space="preserve">Real, Raimundo, A. Márcia Barbosa, Alejandro Rodríguez, Francisco J. García, J. Mario Vargas, L. Javier Palomo, and Miguel Delibes. 2009. “Conservation Biogeography of Ecologically Interacting Species: The Case of the Iberian Lynx and the European Rabbit.”</w:t>
      </w:r>
      <w:r>
        <w:t xml:space="preserve"> </w:t>
      </w:r>
      <w:r>
        <w:rPr>
          <w:i/>
        </w:rPr>
        <w:t xml:space="preserve">Diversity and Distributions</w:t>
      </w:r>
      <w:r>
        <w:t xml:space="preserve"> </w:t>
      </w:r>
      <w:r>
        <w:t xml:space="preserve">15 (3): 390–400.</w:t>
      </w:r>
      <w:r>
        <w:t xml:space="preserve"> </w:t>
      </w:r>
      <w:hyperlink r:id="rId50">
        <w:r>
          <w:rPr>
            <w:rStyle w:val="Hyperlink"/>
          </w:rPr>
          <w:t xml:space="preserve">https://doi.org/10.1111/j.1472-4642.2008.00546.x</w:t>
        </w:r>
      </w:hyperlink>
      <w:r>
        <w:t xml:space="preserve">.</w:t>
      </w:r>
    </w:p>
    <w:bookmarkEnd w:id="51"/>
    <w:bookmarkStart w:id="53" w:name="ref-scott_regulation_1987"/>
    <w:p>
      <w:pPr>
        <w:pStyle w:val="Bibliography"/>
      </w:pPr>
      <w:r>
        <w:t xml:space="preserve">Scott, Marilyn E. 1987. “Regulation of Mouse Colony Abundance by</w:t>
      </w:r>
      <w:r>
        <w:t xml:space="preserve"> </w:t>
      </w:r>
      <w:r>
        <w:rPr>
          <w:i/>
        </w:rPr>
        <w:t xml:space="preserve">Heligmosomoides Polygyrus</w:t>
      </w:r>
      <w:r>
        <w:t xml:space="preserve">.”</w:t>
      </w:r>
      <w:r>
        <w:t xml:space="preserve"> </w:t>
      </w:r>
      <w:r>
        <w:rPr>
          <w:i/>
        </w:rPr>
        <w:t xml:space="preserve">Parasitology</w:t>
      </w:r>
      <w:r>
        <w:t xml:space="preserve"> </w:t>
      </w:r>
      <w:r>
        <w:t xml:space="preserve">95 (1): 111–24.</w:t>
      </w:r>
      <w:r>
        <w:t xml:space="preserve"> </w:t>
      </w:r>
      <w:hyperlink r:id="rId52">
        <w:r>
          <w:rPr>
            <w:rStyle w:val="Hyperlink"/>
          </w:rPr>
          <w:t xml:space="preserve">https://doi.org/10.1017/S0031182000057590</w:t>
        </w:r>
      </w:hyperlink>
      <w:r>
        <w:t xml:space="preserve">.</w:t>
      </w:r>
    </w:p>
    <w:bookmarkEnd w:id="53"/>
    <w:bookmarkStart w:id="55" w:name="ref-shapiro_no_2006"/>
    <w:p>
      <w:pPr>
        <w:pStyle w:val="Bibliography"/>
      </w:pPr>
      <w:r>
        <w:t xml:space="preserve">Shapiro, Beth, Andrew Rambaut, and M. Thomas P. Gilbert. 2006. “No Proof That Typhoid Caused the Plague of Athens (a Reply to Papagrigorakis et Al.).”</w:t>
      </w:r>
      <w:r>
        <w:t xml:space="preserve"> </w:t>
      </w:r>
      <w:r>
        <w:rPr>
          <w:i/>
        </w:rPr>
        <w:t xml:space="preserve">International Journal of Infectious Diseases</w:t>
      </w:r>
      <w:r>
        <w:t xml:space="preserve"> </w:t>
      </w:r>
      <w:r>
        <w:t xml:space="preserve">10 (4): 334–35.</w:t>
      </w:r>
      <w:r>
        <w:t xml:space="preserve"> </w:t>
      </w:r>
      <w:hyperlink r:id="rId54">
        <w:r>
          <w:rPr>
            <w:rStyle w:val="Hyperlink"/>
          </w:rPr>
          <w:t xml:space="preserve">https://doi.org/10.1016/j.ijid.2006.02.006</w:t>
        </w:r>
      </w:hyperlink>
      <w:r>
        <w:t xml:space="preserve">.</w:t>
      </w:r>
    </w:p>
    <w:bookmarkEnd w:id="55"/>
    <w:bookmarkStart w:id="57" w:name="ref-thompson_population_2005"/>
    <w:p>
      <w:pPr>
        <w:pStyle w:val="Bibliography"/>
      </w:pPr>
      <w:r>
        <w:t xml:space="preserve">Thompson, David, Mike Lonergan, and Callan Duck. 2005. “Population Dynamics of Harbour Seals</w:t>
      </w:r>
      <w:r>
        <w:t xml:space="preserve"> </w:t>
      </w:r>
      <w:r>
        <w:rPr>
          <w:i/>
        </w:rPr>
        <w:t xml:space="preserve">Phoca Vitulina</w:t>
      </w:r>
      <w:r>
        <w:t xml:space="preserve"> </w:t>
      </w:r>
      <w:r>
        <w:t xml:space="preserve">in England: Monitoring Growth and Catastrophic Declines.”</w:t>
      </w:r>
      <w:r>
        <w:t xml:space="preserve"> </w:t>
      </w:r>
      <w:r>
        <w:rPr>
          <w:i/>
        </w:rPr>
        <w:t xml:space="preserve">Journal of Applied Ecology</w:t>
      </w:r>
      <w:r>
        <w:t xml:space="preserve"> </w:t>
      </w:r>
      <w:r>
        <w:t xml:space="preserve">42 (4): 638–48.</w:t>
      </w:r>
      <w:r>
        <w:t xml:space="preserve"> </w:t>
      </w:r>
      <w:hyperlink r:id="rId56">
        <w:r>
          <w:rPr>
            <w:rStyle w:val="Hyperlink"/>
          </w:rPr>
          <w:t xml:space="preserve">https://doi.org/10.1111/j.1365-2664.2005.01025.x</w:t>
        </w:r>
      </w:hyperlink>
      <w:r>
        <w:t xml:space="preserve">.</w:t>
      </w:r>
    </w:p>
    <w:bookmarkEnd w:id="57"/>
    <w:bookmarkStart w:id="59" w:name="ref-us_census_bureau_data_2013"/>
    <w:p>
      <w:pPr>
        <w:pStyle w:val="Bibliography"/>
      </w:pPr>
      <w:r>
        <w:t xml:space="preserve">U.S. Census Bureau. 2013. “Data Visualization: HIV/AIDS Impact in Africa.”</w:t>
      </w:r>
      <w:r>
        <w:t xml:space="preserve"> </w:t>
      </w:r>
      <w:r>
        <w:rPr>
          <w:i/>
        </w:rPr>
        <w:t xml:space="preserve">Census.gov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https://www.census.gov/newsroom/archives/2013-pr/cb13-tps101.html</w:t>
        </w:r>
      </w:hyperlink>
      <w:r>
        <w:t xml:space="preserve">.</w:t>
      </w:r>
    </w:p>
    <w:bookmarkEnd w:id="59"/>
    <w:bookmarkStart w:id="61" w:name="ref-zimmermann_renowned_2000"/>
    <w:p>
      <w:pPr>
        <w:pStyle w:val="Bibliography"/>
      </w:pPr>
      <w:r>
        <w:t xml:space="preserve">Zimmermann, H. G., V. C. Moran, and J. H. Hoffmann. 2000. “The Renowned Cactus Moth,</w:t>
      </w:r>
      <w:r>
        <w:t xml:space="preserve"> </w:t>
      </w:r>
      <w:r>
        <w:rPr>
          <w:i/>
        </w:rPr>
        <w:t xml:space="preserve">Cactoblastis Cactorum</w:t>
      </w:r>
      <w:r>
        <w:t xml:space="preserve">: Its Natural History and Threat to Native</w:t>
      </w:r>
      <w:r>
        <w:t xml:space="preserve"> </w:t>
      </w:r>
      <w:r>
        <w:rPr>
          <w:i/>
        </w:rPr>
        <w:t xml:space="preserve">Opuntia</w:t>
      </w:r>
      <w:r>
        <w:t xml:space="preserve"> </w:t>
      </w:r>
      <w:r>
        <w:t xml:space="preserve">Floras in Mexico and the United States of America.”</w:t>
      </w:r>
      <w:r>
        <w:t xml:space="preserve"> </w:t>
      </w:r>
      <w:r>
        <w:rPr>
          <w:i/>
        </w:rPr>
        <w:t xml:space="preserve">Diversity and Distributions</w:t>
      </w:r>
      <w:r>
        <w:t xml:space="preserve"> </w:t>
      </w:r>
      <w:r>
        <w:t xml:space="preserve">6 (5): 259–69.</w:t>
      </w:r>
      <w:r>
        <w:t xml:space="preserve"> </w:t>
      </w:r>
      <w:hyperlink r:id="rId60">
        <w:r>
          <w:rPr>
            <w:rStyle w:val="Hyperlink"/>
          </w:rPr>
          <w:t xml:space="preserve">https://doi.org/10.1046/j.1472-4642.2000.00088.x</w:t>
        </w:r>
      </w:hyperlink>
      <w:r>
        <w:t xml:space="preserve">.</w:t>
      </w:r>
    </w:p>
    <w:bookmarkEnd w:id="61"/>
    <w:bookmarkEnd w:id="6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2023-04-02 19:37:33.879106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hyperlink" Id="rId44" Target="https://doi.org/10.1002/msj.20137" TargetMode="External" /><Relationship Type="http://schemas.openxmlformats.org/officeDocument/2006/relationships/hyperlink" Id="rId40" Target="https://doi.org/10.1016/0169-5347(90)90066-M" TargetMode="External" /><Relationship Type="http://schemas.openxmlformats.org/officeDocument/2006/relationships/hyperlink" Id="rId46" Target="https://doi.org/10.1016/S0065-2504(08)60181-6" TargetMode="External" /><Relationship Type="http://schemas.openxmlformats.org/officeDocument/2006/relationships/hyperlink" Id="rId37" Target="https://doi.org/10.1016/S0891-5520(03)00100-4" TargetMode="External" /><Relationship Type="http://schemas.openxmlformats.org/officeDocument/2006/relationships/hyperlink" Id="rId48" Target="https://doi.org/10.1016/j.ijid.2005.09.001" TargetMode="External" /><Relationship Type="http://schemas.openxmlformats.org/officeDocument/2006/relationships/hyperlink" Id="rId54" Target="https://doi.org/10.1016/j.ijid.2006.02.006" TargetMode="External" /><Relationship Type="http://schemas.openxmlformats.org/officeDocument/2006/relationships/hyperlink" Id="rId52" Target="https://doi.org/10.1017/S0031182000057590" TargetMode="External" /><Relationship Type="http://schemas.openxmlformats.org/officeDocument/2006/relationships/hyperlink" Id="rId60" Target="https://doi.org/10.1046/j.1472-4642.2000.00088.x" TargetMode="External" /><Relationship Type="http://schemas.openxmlformats.org/officeDocument/2006/relationships/hyperlink" Id="rId56" Target="https://doi.org/10.1111/j.1365-2664.2005.01025.x" TargetMode="External" /><Relationship Type="http://schemas.openxmlformats.org/officeDocument/2006/relationships/hyperlink" Id="rId50" Target="https://doi.org/10.1111/j.1472-4642.2008.00546.x" TargetMode="External" /><Relationship Type="http://schemas.openxmlformats.org/officeDocument/2006/relationships/hyperlink" Id="rId42" Target="https://doi.org/10.1126/science.282.5397.2256" TargetMode="External" /><Relationship Type="http://schemas.openxmlformats.org/officeDocument/2006/relationships/hyperlink" Id="rId33" Target="https://doi.org/10.20506/rst.21.2.1337" TargetMode="External" /><Relationship Type="http://schemas.openxmlformats.org/officeDocument/2006/relationships/hyperlink" Id="rId35" Target="https://doi.org/10.2307/1922166" TargetMode="External" /><Relationship Type="http://schemas.openxmlformats.org/officeDocument/2006/relationships/hyperlink" Id="rId58" Target="https://www.census.gov/newsroom/archives/2013-pr/cb13-tps10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doi.org/10.1002/msj.20137" TargetMode="External" /><Relationship Type="http://schemas.openxmlformats.org/officeDocument/2006/relationships/hyperlink" Id="rId40" Target="https://doi.org/10.1016/0169-5347(90)90066-M" TargetMode="External" /><Relationship Type="http://schemas.openxmlformats.org/officeDocument/2006/relationships/hyperlink" Id="rId46" Target="https://doi.org/10.1016/S0065-2504(08)60181-6" TargetMode="External" /><Relationship Type="http://schemas.openxmlformats.org/officeDocument/2006/relationships/hyperlink" Id="rId37" Target="https://doi.org/10.1016/S0891-5520(03)00100-4" TargetMode="External" /><Relationship Type="http://schemas.openxmlformats.org/officeDocument/2006/relationships/hyperlink" Id="rId48" Target="https://doi.org/10.1016/j.ijid.2005.09.001" TargetMode="External" /><Relationship Type="http://schemas.openxmlformats.org/officeDocument/2006/relationships/hyperlink" Id="rId54" Target="https://doi.org/10.1016/j.ijid.2006.02.006" TargetMode="External" /><Relationship Type="http://schemas.openxmlformats.org/officeDocument/2006/relationships/hyperlink" Id="rId52" Target="https://doi.org/10.1017/S0031182000057590" TargetMode="External" /><Relationship Type="http://schemas.openxmlformats.org/officeDocument/2006/relationships/hyperlink" Id="rId60" Target="https://doi.org/10.1046/j.1472-4642.2000.00088.x" TargetMode="External" /><Relationship Type="http://schemas.openxmlformats.org/officeDocument/2006/relationships/hyperlink" Id="rId56" Target="https://doi.org/10.1111/j.1365-2664.2005.01025.x" TargetMode="External" /><Relationship Type="http://schemas.openxmlformats.org/officeDocument/2006/relationships/hyperlink" Id="rId50" Target="https://doi.org/10.1111/j.1472-4642.2008.00546.x" TargetMode="External" /><Relationship Type="http://schemas.openxmlformats.org/officeDocument/2006/relationships/hyperlink" Id="rId42" Target="https://doi.org/10.1126/science.282.5397.2256" TargetMode="External" /><Relationship Type="http://schemas.openxmlformats.org/officeDocument/2006/relationships/hyperlink" Id="rId33" Target="https://doi.org/10.20506/rst.21.2.1337" TargetMode="External" /><Relationship Type="http://schemas.openxmlformats.org/officeDocument/2006/relationships/hyperlink" Id="rId35" Target="https://doi.org/10.2307/1922166" TargetMode="External" /><Relationship Type="http://schemas.openxmlformats.org/officeDocument/2006/relationships/hyperlink" Id="rId58" Target="https://www.census.gov/newsroom/archives/2013-pr/cb13-tps10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 population dynamics</dc:title>
  <dc:creator/>
  <cp:keywords/>
  <dcterms:created xsi:type="dcterms:W3CDTF">2023-04-02T23:37:34Z</dcterms:created>
  <dcterms:modified xsi:type="dcterms:W3CDTF">2023-04-02T23:37:34Z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