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bookmarkStart w:id="23" w:name="indirect-interactions"/>
    <w:p>
      <w:pPr>
        <w:pStyle w:val="Heading2"/>
      </w:pPr>
      <w:r>
        <w:t xml:space="preserve">Indirect interactions</w:t>
      </w:r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bookmarkEnd w:id="23"/>
    <w:bookmarkStart w:id="24" w:name="parasite-mediated-coexistence"/>
    <w:p>
      <w:pPr>
        <w:pStyle w:val="Heading2"/>
      </w:pPr>
      <w:r>
        <w:t xml:space="preserve">Parasite-mediated coexistence</w:t>
      </w:r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bookmarkEnd w:id="24"/>
    <w:bookmarkStart w:id="25" w:name="Xac14935e285eb362a17b447743c555e19da1c7d"/>
    <w:p>
      <w:pPr>
        <w:pStyle w:val="Heading2"/>
      </w:pPr>
      <w:r>
        <w:t xml:space="preserve">Parasite-mediated invasion</w:t>
      </w:r>
      <w:r>
        <w:t xml:space="preserve"> </w:t>
      </w:r>
      <w:r>
        <w:t xml:space="preserve">(Strauss, White, and Boots 2012)</w:t>
      </w:r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bookmarkEnd w:id="25"/>
    <w:bookmarkStart w:id="26" w:name="parasite-mediated-resistance-to-invasion"/>
    <w:p>
      <w:pPr>
        <w:pStyle w:val="Heading2"/>
      </w:pPr>
      <w:r>
        <w:t xml:space="preserve">Parasite-mediated resistance to invasion</w:t>
      </w:r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bookmarkEnd w:id="26"/>
    <w:bookmarkStart w:id="27" w:name="trophic-cascades-and-apparent-mutualism"/>
    <w:p>
      <w:pPr>
        <w:pStyle w:val="Heading2"/>
      </w:pPr>
      <w:r>
        <w:t xml:space="preserve">Trophic cascades and apparent mutualism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bookmarkEnd w:id="27"/>
    <w:bookmarkStart w:id="28" w:name="ecosystem-engineering"/>
    <w:p>
      <w:pPr>
        <w:pStyle w:val="Heading2"/>
      </w:pPr>
      <w:r>
        <w:t xml:space="preserve">ecosystem engineering</w:t>
      </w:r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bookmarkEnd w:id="28"/>
    <w:bookmarkStart w:id="30" w:name="large-scale-community-structure"/>
    <w:p>
      <w:pPr>
        <w:pStyle w:val="Heading2"/>
      </w:pPr>
      <w:r>
        <w:t xml:space="preserve">Large-scale community structure</w:t>
      </w:r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</w:t>
      </w:r>
    </w:p>
    <w:p>
      <w:pPr>
        <w:numPr>
          <w:ilvl w:val="1"/>
          <w:numId w:val="1010"/>
        </w:numPr>
        <w:pStyle w:val="Compact"/>
      </w:pPr>
      <w:r>
        <w:t xml:space="preserve">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1"/>
          <w:numId w:val="1010"/>
        </w:numPr>
        <w:pStyle w:val="Compact"/>
      </w:pPr>
      <w:r>
        <w:t xml:space="preserve">Holdo et al. (2009)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1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2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2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2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2"/>
        </w:numPr>
        <w:pStyle w:val="Compact"/>
      </w:pPr>
      <w:r>
        <w:t xml:space="preserve">other rabbit parasites declined</w:t>
      </w:r>
    </w:p>
    <w:bookmarkEnd w:id="30"/>
    <w:bookmarkStart w:id="33" w:name="community-effects-on-parasites"/>
    <w:p>
      <w:pPr>
        <w:pStyle w:val="Heading2"/>
      </w:pPr>
      <w:r>
        <w:t xml:space="preserve">Community effects on parasites</w:t>
      </w:r>
    </w:p>
    <w:p>
      <w:pPr>
        <w:numPr>
          <w:ilvl w:val="0"/>
          <w:numId w:val="1013"/>
        </w:numPr>
        <w:pStyle w:val="Compact"/>
      </w:pPr>
      <w:r>
        <w:t xml:space="preserve">Lafferty (2004)</w:t>
      </w:r>
    </w:p>
    <w:p>
      <w:pPr>
        <w:numPr>
          <w:ilvl w:val="0"/>
          <w:numId w:val="1013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4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59" w:name="references"/>
    <w:p>
      <w:pPr>
        <w:pStyle w:val="Heading2"/>
      </w:pPr>
      <w:r>
        <w:t xml:space="preserve">References</w:t>
      </w:r>
    </w:p>
    <w:bookmarkStart w:id="58" w:name="refs"/>
    <w:bookmarkStart w:id="35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4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5"/>
    <w:bookmarkStart w:id="37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6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7"/>
    <w:bookmarkStart w:id="39" w:name="ref-lafferty_ecosystem_2008"/>
    <w:p>
      <w:pPr>
        <w:pStyle w:val="Bibliography"/>
      </w:pPr>
      <w:r>
        <w:t xml:space="preserve">Lafferty, K. D. 2008. “Ecosystem Consequences of Fish Parasites.”</w:t>
      </w:r>
      <w:r>
        <w:t xml:space="preserve"> </w:t>
      </w:r>
      <w:r>
        <w:rPr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38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39"/>
    <w:bookmarkStart w:id="41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40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1"/>
    <w:bookmarkStart w:id="43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2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3"/>
    <w:bookmarkStart w:id="45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4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5"/>
    <w:bookmarkStart w:id="47" w:name="ref-pusenius_effects_2000"/>
    <w:p>
      <w:pPr>
        <w:pStyle w:val="Bibliography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6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47"/>
    <w:bookmarkStart w:id="49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48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49"/>
    <w:bookmarkStart w:id="51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50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1"/>
    <w:bookmarkStart w:id="53" w:name="ref-skorping_trophic_2001"/>
    <w:p>
      <w:pPr>
        <w:pStyle w:val="Bibliography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2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3"/>
    <w:bookmarkStart w:id="55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4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5"/>
    <w:bookmarkStart w:id="57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6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57"/>
    <w:bookmarkEnd w:id="5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10:39:21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4" Target="https://doi.org/10.1007/BF00054413" TargetMode="External" /><Relationship Type="http://schemas.openxmlformats.org/officeDocument/2006/relationships/hyperlink" Id="rId46" Target="https://doi.org/10.1034/j.1600-0706.2000.910111.x" TargetMode="External" /><Relationship Type="http://schemas.openxmlformats.org/officeDocument/2006/relationships/hyperlink" Id="rId52" Target="https://doi.org/10.1034/j.1600-0706.2001.t01-1-11193.x" TargetMode="External" /><Relationship Type="http://schemas.openxmlformats.org/officeDocument/2006/relationships/hyperlink" Id="rId42" Target="https://doi.org/10.1046/j.1461-0248.2003.00500.x" TargetMode="External" /><Relationship Type="http://schemas.openxmlformats.org/officeDocument/2006/relationships/hyperlink" Id="rId54" Target="https://doi.org/10.1111/1365-2435.12011" TargetMode="External" /><Relationship Type="http://schemas.openxmlformats.org/officeDocument/2006/relationships/hyperlink" Id="rId48" Target="https://doi.org/10.1111/ele.13919" TargetMode="External" /><Relationship Type="http://schemas.openxmlformats.org/officeDocument/2006/relationships/hyperlink" Id="rId38" Target="https://doi.org/10.1111/j.1095-8649.2008.02059.x" TargetMode="External" /><Relationship Type="http://schemas.openxmlformats.org/officeDocument/2006/relationships/hyperlink" Id="rId56" Target="https://doi.org/10.1111/j.1365-2907.1985.tb00396.x" TargetMode="External" /><Relationship Type="http://schemas.openxmlformats.org/officeDocument/2006/relationships/hyperlink" Id="rId36" Target="https://doi.org/10.1371/journal.pbio.1000210" TargetMode="External" /><Relationship Type="http://schemas.openxmlformats.org/officeDocument/2006/relationships/hyperlink" Id="rId40" Target="https://doi.org/10.1890/03-5088" TargetMode="External" /><Relationship Type="http://schemas.openxmlformats.org/officeDocument/2006/relationships/hyperlink" Id="rId50" Target="https://doi.org/10.2307/1942118" TargetMode="External" /><Relationship Type="http://schemas.openxmlformats.org/officeDocument/2006/relationships/hyperlink" Id="rId44" Target="https://doi.org/10.2307/19486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007/BF00054413" TargetMode="External" /><Relationship Type="http://schemas.openxmlformats.org/officeDocument/2006/relationships/hyperlink" Id="rId46" Target="https://doi.org/10.1034/j.1600-0706.2000.910111.x" TargetMode="External" /><Relationship Type="http://schemas.openxmlformats.org/officeDocument/2006/relationships/hyperlink" Id="rId52" Target="https://doi.org/10.1034/j.1600-0706.2001.t01-1-11193.x" TargetMode="External" /><Relationship Type="http://schemas.openxmlformats.org/officeDocument/2006/relationships/hyperlink" Id="rId42" Target="https://doi.org/10.1046/j.1461-0248.2003.00500.x" TargetMode="External" /><Relationship Type="http://schemas.openxmlformats.org/officeDocument/2006/relationships/hyperlink" Id="rId54" Target="https://doi.org/10.1111/1365-2435.12011" TargetMode="External" /><Relationship Type="http://schemas.openxmlformats.org/officeDocument/2006/relationships/hyperlink" Id="rId48" Target="https://doi.org/10.1111/ele.13919" TargetMode="External" /><Relationship Type="http://schemas.openxmlformats.org/officeDocument/2006/relationships/hyperlink" Id="rId38" Target="https://doi.org/10.1111/j.1095-8649.2008.02059.x" TargetMode="External" /><Relationship Type="http://schemas.openxmlformats.org/officeDocument/2006/relationships/hyperlink" Id="rId56" Target="https://doi.org/10.1111/j.1365-2907.1985.tb00396.x" TargetMode="External" /><Relationship Type="http://schemas.openxmlformats.org/officeDocument/2006/relationships/hyperlink" Id="rId36" Target="https://doi.org/10.1371/journal.pbio.1000210" TargetMode="External" /><Relationship Type="http://schemas.openxmlformats.org/officeDocument/2006/relationships/hyperlink" Id="rId40" Target="https://doi.org/10.1890/03-5088" TargetMode="External" /><Relationship Type="http://schemas.openxmlformats.org/officeDocument/2006/relationships/hyperlink" Id="rId50" Target="https://doi.org/10.2307/1942118" TargetMode="External" /><Relationship Type="http://schemas.openxmlformats.org/officeDocument/2006/relationships/hyperlink" Id="rId44" Target="https://doi.org/10.2307/19486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2022-02-07T15:39:21Z</dcterms:created>
  <dcterms:modified xsi:type="dcterms:W3CDTF">2022-02-07T15:39:21Z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