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bookmarkStart w:id="21" w:name="antagonistic-coevolution"/>
    <w:p>
      <w:pPr>
        <w:pStyle w:val="Heading2"/>
      </w:pPr>
      <w:r>
        <w:t xml:space="preserve">Antagonistic coevolution</w:t>
      </w:r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pStyle w:val="BodyText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numPr>
          <w:ilvl w:val="1"/>
          <w:numId w:val="1002"/>
        </w:numPr>
        <w:pStyle w:val="Compact"/>
      </w:pPr>
      <w:r>
        <w:t xml:space="preserve">new alleles arise frequently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numPr>
          <w:ilvl w:val="1"/>
          <w:numId w:val="1002"/>
        </w:numPr>
        <w:pStyle w:val="Compact"/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numPr>
          <w:ilvl w:val="1"/>
          <w:numId w:val="1002"/>
        </w:numPr>
        <w:pStyle w:val="Compact"/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(Gibson and Lively 2019)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trench warfare</w:t>
      </w:r>
      <w:r>
        <w:t xml:space="preserve"> </w:t>
      </w:r>
      <w:r>
        <w:t xml:space="preserve">(unidirectional)</w:t>
      </w:r>
    </w:p>
    <w:p>
      <w:pPr>
        <w:numPr>
          <w:ilvl w:val="1"/>
          <w:numId w:val="1004"/>
        </w:numPr>
        <w:pStyle w:val="Compact"/>
      </w:pPr>
      <w:r>
        <w:t xml:space="preserve">resistance builds up until benefits balanced by costs</w:t>
      </w:r>
    </w:p>
    <w:p>
      <w:pPr>
        <w:numPr>
          <w:ilvl w:val="1"/>
          <w:numId w:val="1004"/>
        </w:numPr>
        <w:pStyle w:val="Compact"/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numPr>
          <w:ilvl w:val="1"/>
          <w:numId w:val="1004"/>
        </w:numPr>
        <w:pStyle w:val="Compact"/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numPr>
          <w:ilvl w:val="1"/>
          <w:numId w:val="1004"/>
        </w:numPr>
        <w:pStyle w:val="Compact"/>
      </w:pPr>
      <w:r>
        <w:t xml:space="preserve">long-term frequency cycling</w:t>
      </w:r>
    </w:p>
    <w:bookmarkEnd w:id="21"/>
    <w:bookmarkStart w:id="22" w:name="antagonistic-coevolution-and-sex"/>
    <w:p>
      <w:pPr>
        <w:pStyle w:val="Heading2"/>
      </w:pPr>
      <w:r>
        <w:t xml:space="preserve">Antagonistic coevolution and sex</w:t>
      </w:r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</w:t>
      </w:r>
      <w:r>
        <w:t xml:space="preserve">-fertilize 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 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 Keightley &amp; Otto (2006) on mutation</w:t>
      </w:r>
      <w:r>
        <w:t xml:space="preserve"> </w:t>
      </w:r>
      <w:r>
        <w:t xml:space="preserve">purging.</w:t>
      </w:r>
    </w:p>
    <w:p>
      <w:pPr>
        <w:numPr>
          <w:ilvl w:val="0"/>
          <w:numId w:val="1005"/>
        </w:numPr>
        <w:pStyle w:val="Compact"/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years;</w:t>
      </w:r>
      <w:r>
        <w:t xml:space="preserve"> </w:t>
      </w:r>
      <w:r>
        <w:rPr>
          <w:b/>
        </w:rPr>
        <w:t xml:space="preserve">lottery model</w:t>
      </w:r>
    </w:p>
    <w:p>
      <w:pPr>
        <w:numPr>
          <w:ilvl w:val="0"/>
          <w:numId w:val="1005"/>
        </w:numPr>
        <w:pStyle w:val="Compact"/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numPr>
          <w:ilvl w:val="0"/>
          <w:numId w:val="1006"/>
        </w:numPr>
        <w:pStyle w:val="Compact"/>
      </w:pPr>
      <w:r>
        <w:t xml:space="preserve">heritable variation in host resistance to parasites</w:t>
      </w:r>
    </w:p>
    <w:p>
      <w:pPr>
        <w:numPr>
          <w:ilvl w:val="0"/>
          <w:numId w:val="1006"/>
        </w:numPr>
        <w:pStyle w:val="Compact"/>
      </w:pPr>
      <w:r>
        <w:t xml:space="preserve">heritable variation in parasite infectivity</w:t>
      </w:r>
    </w:p>
    <w:p>
      <w:pPr>
        <w:numPr>
          <w:ilvl w:val="0"/>
          <w:numId w:val="1006"/>
        </w:numPr>
        <w:pStyle w:val="Compact"/>
      </w:pPr>
      <w:r>
        <w:t xml:space="preserve">specificity</w:t>
      </w:r>
    </w:p>
    <w:bookmarkEnd w:id="22"/>
    <w:bookmarkStart w:id="23" w:name="snails-and-trematodes"/>
    <w:p>
      <w:pPr>
        <w:pStyle w:val="Heading2"/>
      </w:pPr>
      <w:r>
        <w:t xml:space="preserve">Snails and trematodes</w:t>
      </w:r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Lottery:</w:t>
      </w:r>
      <w:r>
        <w:t xml:space="preserve"> </w:t>
      </w:r>
      <w:r>
        <w:t xml:space="preserve">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bookmarkEnd w:id="23"/>
    <w:bookmarkStart w:id="24" w:name="X8f2d0af19124a514c98f099d90dd2cea8e7fd0e"/>
    <w:p>
      <w:pPr>
        <w:pStyle w:val="Heading1"/>
      </w:pPr>
      <w:r>
        <w:t xml:space="preserve">Lively et al’s experiments and observations</w:t>
      </w:r>
    </w:p>
    <w:p>
      <w:pPr>
        <w:numPr>
          <w:ilvl w:val="0"/>
          <w:numId w:val="1008"/>
        </w:numPr>
        <w:pStyle w:val="Compact"/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numPr>
          <w:ilvl w:val="0"/>
          <w:numId w:val="1008"/>
        </w:numPr>
        <w:pStyle w:val="Compact"/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numPr>
          <w:ilvl w:val="0"/>
          <w:numId w:val="1008"/>
        </w:numPr>
        <w:pStyle w:val="Compact"/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numPr>
          <w:ilvl w:val="0"/>
          <w:numId w:val="1008"/>
        </w:numPr>
        <w:pStyle w:val="Compact"/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numPr>
          <w:ilvl w:val="0"/>
          <w:numId w:val="1008"/>
        </w:numPr>
        <w:pStyle w:val="Compact"/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numPr>
          <w:ilvl w:val="0"/>
          <w:numId w:val="1008"/>
        </w:numPr>
        <w:pStyle w:val="Compact"/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numPr>
          <w:ilvl w:val="0"/>
          <w:numId w:val="1008"/>
        </w:numPr>
        <w:pStyle w:val="Compact"/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numPr>
          <w:ilvl w:val="0"/>
          <w:numId w:val="1008"/>
        </w:numPr>
        <w:pStyle w:val="Compact"/>
      </w:pPr>
      <w:r>
        <w:t xml:space="preserve">Krist et al 2000: snails in shallow water more susceptible</w:t>
      </w:r>
    </w:p>
    <w:p>
      <w:pPr>
        <w:numPr>
          <w:ilvl w:val="0"/>
          <w:numId w:val="1008"/>
        </w:numPr>
        <w:pStyle w:val="Compact"/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numPr>
          <w:ilvl w:val="0"/>
          <w:numId w:val="1008"/>
        </w:numPr>
        <w:pStyle w:val="Compact"/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numPr>
          <w:ilvl w:val="0"/>
          <w:numId w:val="1008"/>
        </w:numPr>
        <w:pStyle w:val="Compact"/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bookmarkEnd w:id="24"/>
    <w:bookmarkStart w:id="31" w:name="potential-problems-for-the-red-queen"/>
    <w:p>
      <w:pPr>
        <w:pStyle w:val="Heading1"/>
      </w:pPr>
      <w:r>
        <w:t xml:space="preserve">Potential problems for the Red Queen</w:t>
      </w:r>
    </w:p>
    <w:p>
      <w:pPr>
        <w:numPr>
          <w:ilvl w:val="0"/>
          <w:numId w:val="1009"/>
        </w:numPr>
        <w:pStyle w:val="Compact"/>
      </w:pPr>
      <w:r>
        <w:t xml:space="preserve">RQ may not work without strong parasite effects on host fitness</w:t>
      </w:r>
    </w:p>
    <w:p>
      <w:pPr>
        <w:numPr>
          <w:ilvl w:val="0"/>
          <w:numId w:val="1009"/>
        </w:numPr>
        <w:pStyle w:val="Compact"/>
      </w:pPr>
      <w:r>
        <w:t xml:space="preserve">can sexuals compete against a diverse set of clones?</w:t>
      </w:r>
    </w:p>
    <w:p>
      <w:pPr>
        <w:numPr>
          <w:ilvl w:val="0"/>
          <w:numId w:val="1009"/>
        </w:numPr>
        <w:pStyle w:val="Compact"/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numPr>
          <w:ilvl w:val="0"/>
          <w:numId w:val="1009"/>
        </w:numPr>
        <w:pStyle w:val="Compact"/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bookmarkStart w:id="30" w:name="other-theories"/>
    <w:p>
      <w:pPr>
        <w:pStyle w:val="Heading2"/>
      </w:pPr>
      <w:r>
        <w:t xml:space="preserve">Other theories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</w:t>
      </w:r>
    </w:p>
    <w:bookmarkStart w:id="29" w:name="refs"/>
    <w:bookmarkStart w:id="26" w:name="ref-gibson_genetic_2019"/>
    <w:p>
      <w:pPr>
        <w:pStyle w:val="Bibliography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25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26"/>
    <w:bookmarkStart w:id="28" w:name="ref-stahl_dynamics_1999"/>
    <w:p>
      <w:pPr>
        <w:pStyle w:val="Bibliography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27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doi.org/10.1017/9781316479964.002" TargetMode="External" /><Relationship Type="http://schemas.openxmlformats.org/officeDocument/2006/relationships/hyperlink" Id="rId27" Target="https://doi.org/10.1038/232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7/9781316479964.002" TargetMode="External" /><Relationship Type="http://schemas.openxmlformats.org/officeDocument/2006/relationships/hyperlink" Id="rId27" Target="https://doi.org/10.1038/232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2022-02-07T15:39:27Z</dcterms:created>
  <dcterms:modified xsi:type="dcterms:W3CDTF">2022-02-07T15:39:27Z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