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p>
      <w:pPr>
        <w:pStyle w:val="Heading2"/>
      </w:pPr>
      <w:bookmarkStart w:id="20" w:name="antagonistic-coevolution"/>
      <w:r>
        <w:t xml:space="preserve">Antagonistic coevolution</w:t>
      </w:r>
      <w:bookmarkEnd w:id="20"/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pStyle w:val="Compact"/>
        <w:numPr>
          <w:numId w:val="1002"/>
          <w:ilvl w:val="1"/>
        </w:numPr>
      </w:pPr>
      <w:r>
        <w:t xml:space="preserve">new alleles arise frequently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pStyle w:val="Compact"/>
        <w:numPr>
          <w:numId w:val="1002"/>
          <w:ilvl w:val="1"/>
        </w:numPr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pStyle w:val="Compact"/>
        <w:numPr>
          <w:numId w:val="1002"/>
          <w:ilvl w:val="1"/>
        </w:numPr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</w:t>
      </w:r>
      <w:r>
        <w:t xml:space="preserve">Gibson and Lively (2019)</w:t>
      </w:r>
      <w:r>
        <w:t xml:space="preserve">; see also</w:t>
      </w:r>
      <w:r>
        <w:t xml:space="preserve"> </w:t>
      </w:r>
      <w:r>
        <w:t xml:space="preserve">Dybdahl and Storfer (2003)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matching alleles</w:t>
      </w:r>
      <w:r>
        <w:t xml:space="preserve">: e.g. host has a</w:t>
      </w:r>
      <w:r>
        <w:t xml:space="preserve"> </w:t>
      </w:r>
      <w:r>
        <w:rPr>
          <w:b/>
        </w:rPr>
        <w:t xml:space="preserve">self-nonself recognition system</w:t>
      </w:r>
      <w:r>
        <w:t xml:space="preserve"> </w:t>
      </w:r>
      <w:r>
        <w:t xml:space="preserve">(typical in inverts); parasite succeeds if it matches (i.e. looks like host). Favors local adaptation, cycling/variation, dilution effects.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inverse matching alleles</w:t>
      </w:r>
      <w:r>
        <w:t xml:space="preserve">: host matches many parasite signals (e.g. vertebrate antibody/antigen matching); parasite succeeds if it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match any of the host antibodies. Doesn’t favour rare host genotypes, anti-dilution effects.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gene-for-gene</w:t>
      </w:r>
      <w:r>
        <w:t xml:space="preserve">: like inverse matching, but there is a</w:t>
      </w:r>
      <w:r>
        <w:t xml:space="preserve"> </w:t>
      </w:r>
      <w:r>
        <w:t xml:space="preserve">“</w:t>
      </w:r>
      <w:r>
        <w:t xml:space="preserve">universal infector</w:t>
      </w:r>
      <w:r>
        <w:t xml:space="preserve">”</w:t>
      </w:r>
      <w:r>
        <w:t xml:space="preserve"> </w:t>
      </w:r>
      <w:r>
        <w:t xml:space="preserve">that doesn’t match anything (i.e. infects everything) (Plants: R genes, Avr genes).</w:t>
      </w:r>
      <w:r>
        <w:t xml:space="preserve"> </w:t>
      </w:r>
      <w:hyperlink r:id="rId22">
        <w:r>
          <w:rPr>
            <w:rStyle w:val="Hyperlink"/>
          </w:rPr>
          <w:t xml:space="preserve">Wikipedia</w:t>
        </w:r>
      </w:hyperlink>
      <w:r>
        <w:t xml:space="preserve">:</w:t>
      </w:r>
    </w:p>
    <w:p>
      <w:pPr>
        <w:pStyle w:val="BlockText"/>
      </w:pPr>
      <w:r>
        <w:t xml:space="preserve">Because there would be no evolutionary advantage to a pathogen keeping a protein that only serves to have it recognised by the plant, it is believed that the products of Avr genes play an important role in virulence in genetically susceptible hosts.</w:t>
      </w:r>
    </w:p>
    <w:p>
      <w:pPr>
        <w:pStyle w:val="FirstParagraph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trench warfare</w:t>
      </w:r>
      <w:r>
        <w:t xml:space="preserve">/arms race (unidirectional)</w:t>
      </w:r>
    </w:p>
    <w:p>
      <w:pPr>
        <w:pStyle w:val="Compact"/>
        <w:numPr>
          <w:numId w:val="1005"/>
          <w:ilvl w:val="1"/>
        </w:numPr>
      </w:pPr>
      <w:r>
        <w:t xml:space="preserve">resistance builds up until benefits balanced by costs</w:t>
      </w:r>
    </w:p>
    <w:p>
      <w:pPr>
        <w:pStyle w:val="Compact"/>
        <w:numPr>
          <w:numId w:val="1005"/>
          <w:ilvl w:val="1"/>
        </w:numPr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pStyle w:val="Compact"/>
        <w:numPr>
          <w:numId w:val="1005"/>
          <w:ilvl w:val="1"/>
        </w:numPr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pStyle w:val="Compact"/>
        <w:numPr>
          <w:numId w:val="1005"/>
          <w:ilvl w:val="1"/>
        </w:numPr>
      </w:pPr>
      <w:r>
        <w:t xml:space="preserve">long-term frequency cycling</w:t>
      </w:r>
    </w:p>
    <w:p>
      <w:pPr>
        <w:pStyle w:val="Heading2"/>
      </w:pPr>
      <w:bookmarkStart w:id="23" w:name="antagonistic-coevolution-and-sex"/>
      <w:r>
        <w:t xml:space="preserve">Antagonistic coevolution and sex</w:t>
      </w:r>
      <w:bookmarkEnd w:id="23"/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self-fertilize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</w:t>
      </w:r>
      <w:r>
        <w:t xml:space="preserve"> 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  <w:r>
        <w:t xml:space="preserve"> </w:t>
      </w:r>
      <w:r>
        <w:t xml:space="preserve">(not necessarily parasite-related)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(Kondrashov 1993)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</w:t>
      </w:r>
      <w:r>
        <w:t xml:space="preserve"> </w:t>
      </w:r>
      <w:r>
        <w:t xml:space="preserve">Keightley and Otto (2006)</w:t>
      </w:r>
      <w:r>
        <w:t xml:space="preserve"> </w:t>
      </w:r>
      <w:r>
        <w:t xml:space="preserve">on mutation</w:t>
      </w:r>
      <w:r>
        <w:t xml:space="preserve"> </w:t>
      </w:r>
      <w:r>
        <w:t xml:space="preserve">purging.</w:t>
      </w:r>
    </w:p>
    <w:p>
      <w:pPr>
        <w:pStyle w:val="Compact"/>
        <w:numPr>
          <w:numId w:val="1006"/>
          <w:ilvl w:val="0"/>
        </w:numPr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</w:t>
      </w:r>
    </w:p>
    <w:p>
      <w:pPr>
        <w:pStyle w:val="Compact"/>
        <w:numPr>
          <w:numId w:val="1006"/>
          <w:ilvl w:val="0"/>
        </w:numPr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pStyle w:val="Compact"/>
        <w:numPr>
          <w:numId w:val="1007"/>
          <w:ilvl w:val="0"/>
        </w:numPr>
      </w:pPr>
      <w:r>
        <w:t xml:space="preserve">heritable variation in host resistance to parasites</w:t>
      </w:r>
    </w:p>
    <w:p>
      <w:pPr>
        <w:pStyle w:val="Compact"/>
        <w:numPr>
          <w:numId w:val="1007"/>
          <w:ilvl w:val="0"/>
        </w:numPr>
      </w:pPr>
      <w:r>
        <w:t xml:space="preserve">heritable variation in parasite infectivity</w:t>
      </w:r>
    </w:p>
    <w:p>
      <w:pPr>
        <w:pStyle w:val="Compact"/>
        <w:numPr>
          <w:numId w:val="1007"/>
          <w:ilvl w:val="0"/>
        </w:numPr>
      </w:pPr>
      <w:r>
        <w:t xml:space="preserve">specificity</w:t>
      </w:r>
    </w:p>
    <w:p>
      <w:pPr>
        <w:pStyle w:val="Heading2"/>
      </w:pPr>
      <w:bookmarkStart w:id="24" w:name="snails-and-trematodes"/>
      <w:r>
        <w:t xml:space="preserve">Snails and trematodes</w:t>
      </w:r>
      <w:bookmarkEnd w:id="24"/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Lottery:</w:t>
      </w:r>
      <w:r>
        <w:t xml:space="preserve"> </w:t>
      </w:r>
      <w:r>
        <w:t xml:space="preserve">(= tangled bank) 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p>
      <w:pPr>
        <w:pStyle w:val="Heading2"/>
      </w:pPr>
      <w:bookmarkStart w:id="25" w:name="lively-et-als-experiments-and-observations"/>
      <w:r>
        <w:t xml:space="preserve">Lively et al’s experiments and observations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pStyle w:val="Compact"/>
        <w:numPr>
          <w:numId w:val="1009"/>
          <w:ilvl w:val="0"/>
        </w:numPr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pStyle w:val="Compact"/>
        <w:numPr>
          <w:numId w:val="1009"/>
          <w:ilvl w:val="0"/>
        </w:numPr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pStyle w:val="Compact"/>
        <w:numPr>
          <w:numId w:val="1009"/>
          <w:ilvl w:val="0"/>
        </w:numPr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pStyle w:val="Compact"/>
        <w:numPr>
          <w:numId w:val="1009"/>
          <w:ilvl w:val="0"/>
        </w:numPr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pStyle w:val="Compact"/>
        <w:numPr>
          <w:numId w:val="1009"/>
          <w:ilvl w:val="0"/>
        </w:numPr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pStyle w:val="Compact"/>
        <w:numPr>
          <w:numId w:val="1009"/>
          <w:ilvl w:val="0"/>
        </w:numPr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pStyle w:val="Compact"/>
        <w:numPr>
          <w:numId w:val="1009"/>
          <w:ilvl w:val="0"/>
        </w:numPr>
      </w:pPr>
      <w:r>
        <w:t xml:space="preserve">Krist et al 2000: snails in shallow water more susceptible</w:t>
      </w:r>
    </w:p>
    <w:p>
      <w:pPr>
        <w:pStyle w:val="Compact"/>
        <w:numPr>
          <w:numId w:val="1009"/>
          <w:ilvl w:val="0"/>
        </w:numPr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pStyle w:val="Compact"/>
        <w:numPr>
          <w:numId w:val="1009"/>
          <w:ilvl w:val="0"/>
        </w:numPr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pStyle w:val="Compact"/>
        <w:numPr>
          <w:numId w:val="1009"/>
          <w:ilvl w:val="0"/>
        </w:numPr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p>
      <w:pPr>
        <w:pStyle w:val="Heading2"/>
      </w:pPr>
      <w:bookmarkStart w:id="26" w:name="potential-problems-for-the-red-queen"/>
      <w:r>
        <w:t xml:space="preserve">Potential problems for the Red Queen</w:t>
      </w:r>
      <w:bookmarkEnd w:id="26"/>
    </w:p>
    <w:p>
      <w:pPr>
        <w:pStyle w:val="Compact"/>
        <w:numPr>
          <w:numId w:val="1010"/>
          <w:ilvl w:val="0"/>
        </w:numPr>
      </w:pPr>
      <w:r>
        <w:t xml:space="preserve">RQ may not work without strong parasite effects on host fitness</w:t>
      </w:r>
    </w:p>
    <w:p>
      <w:pPr>
        <w:pStyle w:val="Compact"/>
        <w:numPr>
          <w:numId w:val="1010"/>
          <w:ilvl w:val="0"/>
        </w:numPr>
      </w:pPr>
      <w:r>
        <w:t xml:space="preserve">can sexuals compete against a diverse set of clones?</w:t>
      </w:r>
    </w:p>
    <w:p>
      <w:pPr>
        <w:pStyle w:val="Compact"/>
        <w:numPr>
          <w:numId w:val="1010"/>
          <w:ilvl w:val="0"/>
        </w:numPr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pStyle w:val="Compact"/>
        <w:numPr>
          <w:numId w:val="1010"/>
          <w:ilvl w:val="0"/>
        </w:numPr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p>
      <w:pPr>
        <w:pStyle w:val="Compact"/>
        <w:numPr>
          <w:numId w:val="1010"/>
          <w:ilvl w:val="0"/>
        </w:numPr>
      </w:pPr>
      <w:r>
        <w:t xml:space="preserve">persistent asexual lineages (e.g. bdelloid rotifers, but see</w:t>
      </w:r>
      <w:r>
        <w:t xml:space="preserve"> </w:t>
      </w:r>
      <w:r>
        <w:t xml:space="preserve">Schwander (2016)</w:t>
      </w:r>
      <w:r>
        <w:t xml:space="preserve">)</w:t>
      </w:r>
    </w:p>
    <w:p>
      <w:pPr>
        <w:pStyle w:val="Heading2"/>
      </w:pPr>
      <w:bookmarkStart w:id="27" w:name="other-theories-meirmans_methodologies_2006"/>
      <w:r>
        <w:t xml:space="preserve">Other theories</w:t>
      </w:r>
      <w:r>
        <w:t xml:space="preserve"> </w:t>
      </w:r>
      <w:r>
        <w:t xml:space="preserve">(Meirmans and Neiman 2006)</w:t>
      </w:r>
      <w:bookmarkEnd w:id="27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 (Importance of</w:t>
      </w:r>
      <w:r>
        <w:t xml:space="preserve"> </w:t>
      </w:r>
      <w:r>
        <w:rPr>
          <w:b/>
        </w:rPr>
        <w:t xml:space="preserve">epistasis</w:t>
      </w:r>
      <w:r>
        <w:t xml:space="preserve">:</w:t>
      </w:r>
      <w:r>
        <w:t xml:space="preserve"> </w:t>
      </w:r>
      <w:r>
        <w:t xml:space="preserve">(Metzger et al. 2016)</w:t>
      </w:r>
      <w:r>
        <w:t xml:space="preserve">)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5" w:name="refs"/>
    <w:bookmarkStart w:id="30" w:name="ref-dybdahl_parasite_2003"/>
    <w:p>
      <w:pPr>
        <w:pStyle w:val="FirstParagraph"/>
      </w:pPr>
      <w:r>
        <w:t xml:space="preserve">Dybdahl, Mark F., and Andrew Storfer. 2003. “Parasite Local Adaptation: Red Queen Versus Suicide King.”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18 (10): 523–30.</w:t>
      </w:r>
      <w:r>
        <w:t xml:space="preserve"> </w:t>
      </w:r>
      <w:hyperlink r:id="rId29">
        <w:r>
          <w:rPr>
            <w:rStyle w:val="Hyperlink"/>
          </w:rPr>
          <w:t xml:space="preserve">https://doi.org/10.1016/S0169-5347(03)00223-4</w:t>
        </w:r>
      </w:hyperlink>
      <w:r>
        <w:t xml:space="preserve">.</w:t>
      </w:r>
    </w:p>
    <w:bookmarkEnd w:id="30"/>
    <w:bookmarkStart w:id="32" w:name="ref-gibson_genetic_2019"/>
    <w:p>
      <w:pPr>
        <w:pStyle w:val="BodyText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31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32"/>
    <w:bookmarkStart w:id="34" w:name="ref-keightley_interference_2006"/>
    <w:p>
      <w:pPr>
        <w:pStyle w:val="BodyText"/>
      </w:pPr>
      <w:r>
        <w:t xml:space="preserve">Keightley, Peter D., and Sarah P. Otto. 2006. “Interference Among Deleterious Mutations Favours Sex and Recombination in Finite Populations.”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443 (7107): 89–92.</w:t>
      </w:r>
      <w:r>
        <w:t xml:space="preserve"> </w:t>
      </w:r>
      <w:hyperlink r:id="rId33">
        <w:r>
          <w:rPr>
            <w:rStyle w:val="Hyperlink"/>
          </w:rPr>
          <w:t xml:space="preserve">https://doi.org/10.1038/nature05049</w:t>
        </w:r>
      </w:hyperlink>
      <w:r>
        <w:t xml:space="preserve">.</w:t>
      </w:r>
    </w:p>
    <w:bookmarkEnd w:id="34"/>
    <w:bookmarkStart w:id="36" w:name="ref-kondrashov_classification_1993"/>
    <w:p>
      <w:pPr>
        <w:pStyle w:val="BodyText"/>
      </w:pPr>
      <w:r>
        <w:t xml:space="preserve">Kondrashov, A. S. 1993. “Classification of Hypotheses on the Advantage of Amphimixis.”</w:t>
      </w:r>
      <w:r>
        <w:t xml:space="preserve"> </w:t>
      </w:r>
      <w:r>
        <w:rPr>
          <w:i/>
        </w:rPr>
        <w:t xml:space="preserve">Journal of Heredity</w:t>
      </w:r>
      <w:r>
        <w:t xml:space="preserve"> </w:t>
      </w:r>
      <w:r>
        <w:t xml:space="preserve">84 (5): 372–87.</w:t>
      </w:r>
      <w:r>
        <w:t xml:space="preserve"> </w:t>
      </w:r>
      <w:hyperlink r:id="rId35">
        <w:r>
          <w:rPr>
            <w:rStyle w:val="Hyperlink"/>
          </w:rPr>
          <w:t xml:space="preserve">https://doi.org/10.1093/oxfordjournals.jhered.a111358</w:t>
        </w:r>
      </w:hyperlink>
      <w:r>
        <w:t xml:space="preserve">.</w:t>
      </w:r>
    </w:p>
    <w:bookmarkEnd w:id="36"/>
    <w:bookmarkStart w:id="38" w:name="ref-meirmans_methodologies_2006"/>
    <w:p>
      <w:pPr>
        <w:pStyle w:val="BodyText"/>
      </w:pPr>
      <w:r>
        <w:t xml:space="preserve">Meirmans, Stephanie, and Maurine Neiman. 2006. “Methodologies for Testing a Pluralist Idea for the Maintenance of Sex.”</w:t>
      </w:r>
      <w:r>
        <w:t xml:space="preserve"> </w:t>
      </w:r>
      <w:r>
        <w:rPr>
          <w:i/>
        </w:rPr>
        <w:t xml:space="preserve">Biological Journal of the Linnean Society</w:t>
      </w:r>
      <w:r>
        <w:t xml:space="preserve"> </w:t>
      </w:r>
      <w:r>
        <w:t xml:space="preserve">89 (4): 605–13.</w:t>
      </w:r>
      <w:r>
        <w:t xml:space="preserve"> </w:t>
      </w:r>
      <w:hyperlink r:id="rId37">
        <w:r>
          <w:rPr>
            <w:rStyle w:val="Hyperlink"/>
          </w:rPr>
          <w:t xml:space="preserve">https://doi.org/10.1111/j.1095-8312.2006.00695.x</w:t>
        </w:r>
      </w:hyperlink>
      <w:r>
        <w:t xml:space="preserve">.</w:t>
      </w:r>
    </w:p>
    <w:bookmarkEnd w:id="38"/>
    <w:bookmarkStart w:id="40" w:name="ref-metzger_red_2016"/>
    <w:p>
      <w:pPr>
        <w:pStyle w:val="BodyText"/>
      </w:pPr>
      <w:r>
        <w:t xml:space="preserve">Metzger, César M. J. A., Pepijn Luijckx, Gilberto Bento, Mahendra Mariadassou, and Dieter Ebert. 2016. “The Red Queen Lives: Epistasis Between Linked Resistance Loci.”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70 (2): 480–87.</w:t>
      </w:r>
      <w:r>
        <w:t xml:space="preserve"> </w:t>
      </w:r>
      <w:hyperlink r:id="rId39">
        <w:r>
          <w:rPr>
            <w:rStyle w:val="Hyperlink"/>
          </w:rPr>
          <w:t xml:space="preserve">https://doi.org/10.1111/evo.12854</w:t>
        </w:r>
      </w:hyperlink>
      <w:r>
        <w:t xml:space="preserve">.</w:t>
      </w:r>
    </w:p>
    <w:bookmarkEnd w:id="40"/>
    <w:bookmarkStart w:id="42" w:name="ref-schwander_evolution_2016"/>
    <w:p>
      <w:pPr>
        <w:pStyle w:val="BodyText"/>
      </w:pPr>
      <w:r>
        <w:t xml:space="preserve">Schwander, Tanja. 2016. “Evolution: The End of an Ancient Asexual Scandal.”</w:t>
      </w:r>
      <w:r>
        <w:t xml:space="preserve"> </w:t>
      </w:r>
      <w:r>
        <w:rPr>
          <w:i/>
        </w:rPr>
        <w:t xml:space="preserve">Current Biology</w:t>
      </w:r>
      <w:r>
        <w:t xml:space="preserve"> </w:t>
      </w:r>
      <w:r>
        <w:t xml:space="preserve">26 (6): R233–R235.</w:t>
      </w:r>
      <w:r>
        <w:t xml:space="preserve"> </w:t>
      </w:r>
      <w:hyperlink r:id="rId41">
        <w:r>
          <w:rPr>
            <w:rStyle w:val="Hyperlink"/>
          </w:rPr>
          <w:t xml:space="preserve">https://doi.org/10.1016/j.cub.2016.01.034</w:t>
        </w:r>
      </w:hyperlink>
      <w:r>
        <w:t xml:space="preserve">.</w:t>
      </w:r>
    </w:p>
    <w:bookmarkEnd w:id="42"/>
    <w:bookmarkStart w:id="44" w:name="ref-stahl_dynamics_1999"/>
    <w:p>
      <w:pPr>
        <w:pStyle w:val="BodyText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43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44"/>
    <w:bookmarkEnd w:id="4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2023-02-08 13:04:08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i.org/10.1016/S0169-5347(03)00223-4" TargetMode="External" /><Relationship Type="http://schemas.openxmlformats.org/officeDocument/2006/relationships/hyperlink" Id="rId41" Target="https://doi.org/10.1016/j.cub.2016.01.034" TargetMode="External" /><Relationship Type="http://schemas.openxmlformats.org/officeDocument/2006/relationships/hyperlink" Id="rId31" Target="https://doi.org/10.1017/9781316479964.002" TargetMode="External" /><Relationship Type="http://schemas.openxmlformats.org/officeDocument/2006/relationships/hyperlink" Id="rId43" Target="https://doi.org/10.1038/23260" TargetMode="External" /><Relationship Type="http://schemas.openxmlformats.org/officeDocument/2006/relationships/hyperlink" Id="rId33" Target="https://doi.org/10.1038/nature05049" TargetMode="External" /><Relationship Type="http://schemas.openxmlformats.org/officeDocument/2006/relationships/hyperlink" Id="rId35" Target="https://doi.org/10.1093/oxfordjournals.jhered.a111358" TargetMode="External" /><Relationship Type="http://schemas.openxmlformats.org/officeDocument/2006/relationships/hyperlink" Id="rId39" Target="https://doi.org/10.1111/evo.12854" TargetMode="External" /><Relationship Type="http://schemas.openxmlformats.org/officeDocument/2006/relationships/hyperlink" Id="rId37" Target="https://doi.org/10.1111/j.1095-8312.2006.00695.x" TargetMode="External" /><Relationship Type="http://schemas.openxmlformats.org/officeDocument/2006/relationships/hyperlink" Id="rId22" Target="https://en.wikipedia.org/wiki/Gene-for-gene_relationsh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16/S0169-5347(03)00223-4" TargetMode="External" /><Relationship Type="http://schemas.openxmlformats.org/officeDocument/2006/relationships/hyperlink" Id="rId41" Target="https://doi.org/10.1016/j.cub.2016.01.034" TargetMode="External" /><Relationship Type="http://schemas.openxmlformats.org/officeDocument/2006/relationships/hyperlink" Id="rId31" Target="https://doi.org/10.1017/9781316479964.002" TargetMode="External" /><Relationship Type="http://schemas.openxmlformats.org/officeDocument/2006/relationships/hyperlink" Id="rId43" Target="https://doi.org/10.1038/23260" TargetMode="External" /><Relationship Type="http://schemas.openxmlformats.org/officeDocument/2006/relationships/hyperlink" Id="rId33" Target="https://doi.org/10.1038/nature05049" TargetMode="External" /><Relationship Type="http://schemas.openxmlformats.org/officeDocument/2006/relationships/hyperlink" Id="rId35" Target="https://doi.org/10.1093/oxfordjournals.jhered.a111358" TargetMode="External" /><Relationship Type="http://schemas.openxmlformats.org/officeDocument/2006/relationships/hyperlink" Id="rId39" Target="https://doi.org/10.1111/evo.12854" TargetMode="External" /><Relationship Type="http://schemas.openxmlformats.org/officeDocument/2006/relationships/hyperlink" Id="rId37" Target="https://doi.org/10.1111/j.1095-8312.2006.00695.x" TargetMode="External" /><Relationship Type="http://schemas.openxmlformats.org/officeDocument/2006/relationships/hyperlink" Id="rId22" Target="https://en.wikipedia.org/wiki/Gene-for-gene_relationsh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2023-02-08T18:04:09Z</dcterms:created>
  <dcterms:modified xsi:type="dcterms:W3CDTF">2023-02-08T18:04:09Z</dcterms:modified>
</cp:coreProperties>
</file>