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</w:p>
    <w:p>
      <w:pPr>
        <w:pStyle w:val="BodyText"/>
      </w:pP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revealing traits</w:t>
      </w:r>
      <w:r>
        <w:t xml:space="preserve">: indicate male condition/quality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conditional traits</w:t>
      </w:r>
      <w:r>
        <w:t xml:space="preserve">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 (may not work??)</w:t>
      </w:r>
    </w:p>
    <w:p>
      <w:pPr>
        <w:pStyle w:val="FirstParagraph"/>
      </w:pPr>
      <w:r>
        <w:t xml:space="preserve">Penn &amp; Számadó (2020)</w:t>
      </w:r>
      <w:r>
        <w:t xml:space="preserve">:</w:t>
      </w:r>
    </w:p>
    <w:p>
      <w:pPr>
        <w:pStyle w:val="BlockText"/>
      </w:pPr>
      <w:r>
        <w:t xml:space="preserve">Rather than being wasteful over-investments, honest signals evolve in this scenario because selection favours efficient and optimal investment into signal expression and minimizes signalling costs … This model is better understood within a Darwinian framework of adaptive signalling trade-offs, without the added burden and confusing logic of the Handicap Principle.</w:t>
      </w:r>
    </w:p>
    <w:p>
      <w:pPr>
        <w:pStyle w:val="FirstParagraph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</w:t>
      </w:r>
      <w:r>
        <w:t xml:space="preserve"> </w:t>
      </w:r>
      <w:r>
        <w:t xml:space="preserve">‘</w:t>
      </w:r>
      <w:r>
        <w:t xml:space="preserve">good-genes</w:t>
      </w:r>
      <w:r>
        <w:t xml:space="preserve">’</w:t>
      </w:r>
      <w:r>
        <w:t xml:space="preserve"> </w:t>
      </w:r>
      <w:r>
        <w:t xml:space="preserve">models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reverse causality</w:t>
      </w:r>
      <w:r>
        <w:t xml:space="preserve">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ecological correlates</w:t>
      </w:r>
      <w:r>
        <w:t xml:space="preserve">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phylogenetic inertia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dynamics</w:t>
      </w:r>
      <w:r>
        <w:t xml:space="preserve">: how do we know that parasite-driven sexual selection</w:t>
      </w:r>
      <w:r>
        <w:t xml:space="preserve"> </w:t>
      </w:r>
      <w:r>
        <w:t xml:space="preserve">isn’t so effective that it drives parasite loads to</w:t>
      </w:r>
      <w:r>
        <w:t xml:space="preserve"> </w:t>
      </w:r>
      <w:r>
        <w:rPr>
          <w:i/>
        </w:rPr>
        <w:t xml:space="preserve">lower</w:t>
      </w:r>
      <w:r>
        <w:t xml:space="preserve"> </w:t>
      </w:r>
      <w:r>
        <w:t xml:space="preserve">levels in showy species?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&amp; Hamilton,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Secondary sexual traits seem to be negatively correlated with immunosuppression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handicap.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 (</w:t>
      </w:r>
      <w:r>
        <w:rPr>
          <w:b/>
        </w:rPr>
        <w:t xml:space="preserve">note</w:t>
      </w:r>
      <w:r>
        <w:t xml:space="preserve"> </w:t>
      </w:r>
      <w:r>
        <w:t xml:space="preserve">switch from original H-Z!)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 (and other androgens) and immunosuppression,</w:t>
      </w:r>
      <w:r>
        <w:t xml:space="preserve"> </w:t>
      </w:r>
      <w:r>
        <w:t xml:space="preserve">but variable results in different experiments. Immunoredistribution rather than immunosuppression?</w:t>
      </w:r>
      <w:r>
        <w:t xml:space="preserve"> </w:t>
      </w:r>
      <w:r>
        <w:t xml:space="preserve">[</w:t>
      </w:r>
      <w:r>
        <w:t xml:space="preserve">Evans et al. (2000)</w:t>
      </w:r>
      <w:r>
        <w:t xml:space="preserve">;</w:t>
      </w:r>
      <w:r>
        <w:t xml:space="preserve">Roberts et al. (2004)</w:t>
      </w:r>
      <w:r>
        <w:t xml:space="preserve">;</w:t>
      </w:r>
    </w:p>
    <w:p>
      <w:pPr>
        <w:pStyle w:val="BodyText"/>
      </w:pPr>
      <w:r>
        <w:t xml:space="preserve">Other axes of signalling and immune function: carotenoid, melanin systems</w:t>
      </w:r>
      <w:r>
        <w:t xml:space="preserve"> </w:t>
      </w:r>
      <w:r>
        <w:t xml:space="preserve">(McGraw &amp; Ardia, 2003; Simons et al., 2012)</w:t>
      </w:r>
    </w:p>
    <w:p>
      <w:pPr>
        <w:pStyle w:val="BodyText"/>
      </w:pPr>
      <w:r>
        <w:rPr>
          <w:i/>
        </w:rPr>
        <w:t xml:space="preserve">Stress-linked immunocompetence handicap</w:t>
      </w:r>
      <w:r>
        <w:t xml:space="preserve"> </w:t>
      </w:r>
      <w:r>
        <w:t xml:space="preserve">(Buchanan, 2000)</w:t>
      </w:r>
      <w:r>
        <w:t xml:space="preserve"> </w:t>
      </w:r>
      <w:r>
        <w:t xml:space="preserve">“</w:t>
      </w:r>
      <w:r>
        <w:t xml:space="preserve">testosterone has a dual effect: it leads to immunosuppression through a mechanism involving corticosterone but, conversely, leads to increased immunocompetence probably via dominance influencing access to resources</w:t>
      </w:r>
      <w:r>
        <w:t xml:space="preserve">”</w:t>
      </w:r>
      <w:r>
        <w:t xml:space="preserve">.</w:t>
      </w:r>
      <w:r>
        <w:t xml:space="preserve"> </w:t>
      </w:r>
      <w:r>
        <w:rPr>
          <w:b/>
        </w:rPr>
        <w:t xml:space="preserve">possibly</w:t>
      </w:r>
      <w:r>
        <w:t xml:space="preserve"> </w:t>
      </w:r>
      <w:r>
        <w:t xml:space="preserve">explains the mess …</w:t>
      </w:r>
      <w:r>
        <w:t xml:space="preserve"> </w:t>
      </w:r>
      <w:r>
        <w:t xml:space="preserve">(Bortolotti et al., 2009)</w:t>
      </w:r>
    </w:p>
    <w:p>
      <w:pPr>
        <w:pStyle w:val="BodyText"/>
      </w:pPr>
      <w:r>
        <w:t xml:space="preserve">Where are we?</w:t>
      </w:r>
      <w:r>
        <w:t xml:space="preserve"> </w:t>
      </w:r>
      <w:r>
        <w:t xml:space="preserve">Balenger &amp; Zuk (2014)</w:t>
      </w:r>
    </w:p>
    <w:p>
      <w:pPr>
        <w:pStyle w:val="BodyText"/>
      </w:pPr>
      <w:r>
        <w:t xml:space="preserve">Humans: do females prefer male faces associated with lower cortisol/higher testosterone/better immunity</w:t>
      </w:r>
      <w:r>
        <w:t xml:space="preserve"> </w:t>
      </w:r>
      <w:r>
        <w:t xml:space="preserve">(Rantala et al., 2012)</w:t>
      </w:r>
      <w:r>
        <w:t xml:space="preserve">? across countries, do females prefer</w:t>
      </w:r>
      <w:r>
        <w:t xml:space="preserve"> </w:t>
      </w:r>
      <w:r>
        <w:t xml:space="preserve">‘</w:t>
      </w:r>
      <w:r>
        <w:t xml:space="preserve">masculine</w:t>
      </w:r>
      <w:r>
        <w:t xml:space="preserve">’</w:t>
      </w:r>
      <w:r>
        <w:t xml:space="preserve"> </w:t>
      </w:r>
      <w:r>
        <w:t xml:space="preserve">men more in countries with more parasite exposure</w:t>
      </w:r>
      <w:r>
        <w:t xml:space="preserve"> </w:t>
      </w:r>
      <w:r>
        <w:t xml:space="preserve">(DeBruine et al., 2012)</w:t>
      </w:r>
      <w:r>
        <w:t xml:space="preserve">?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61" w:name="refs"/>
    <w:bookmarkStart w:id="30" w:name="ref-balenger_testing_2014"/>
    <w:p>
      <w:pPr>
        <w:pStyle w:val="Bibliography"/>
      </w:pPr>
      <w:r>
        <w:t xml:space="preserve">Balenger, S. L., &amp; Zuk, M. (2014). Testing the Hamilton–Zuk Hypothesis: Past, Present, and Future.</w:t>
      </w:r>
      <w:r>
        <w:t xml:space="preserve"> </w:t>
      </w:r>
      <w:r>
        <w:rPr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(4), 601–613.</w:t>
      </w:r>
      <w:r>
        <w:t xml:space="preserve"> </w:t>
      </w:r>
      <w:hyperlink r:id="rId29">
        <w:r>
          <w:rPr>
            <w:rStyle w:val="Hyperlink"/>
          </w:rPr>
          <w:t xml:space="preserve">https://doi.org/10.1093/icb/icu059</w:t>
        </w:r>
      </w:hyperlink>
    </w:p>
    <w:bookmarkEnd w:id="30"/>
    <w:bookmarkStart w:id="32" w:name="ref-bortolotti_physiological_2009"/>
    <w:p>
      <w:pPr>
        <w:pStyle w:val="Bibliography"/>
      </w:pPr>
      <w:r>
        <w:t xml:space="preserve">Bortolotti, G. R., Mougeot, F., Martinez-Padilla, J., Webster, L. M. I., &amp; Piertney, S. B. (2009). Physiological Stress Mediates the Honesty of Social Signals.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(3), e4983.</w:t>
      </w:r>
      <w:r>
        <w:t xml:space="preserve"> </w:t>
      </w:r>
      <w:hyperlink r:id="rId31">
        <w:r>
          <w:rPr>
            <w:rStyle w:val="Hyperlink"/>
          </w:rPr>
          <w:t xml:space="preserve">https://doi.org/10.1371/journal.pone.0004983</w:t>
        </w:r>
      </w:hyperlink>
    </w:p>
    <w:bookmarkEnd w:id="32"/>
    <w:bookmarkStart w:id="34" w:name="ref-buchanan_stress_2000"/>
    <w:p>
      <w:pPr>
        <w:pStyle w:val="Bibliography"/>
      </w:pPr>
      <w:r>
        <w:t xml:space="preserve">Buchanan, K. L. (2000). Stress and the evolution of condition-dependent signals.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(4), 156–160.</w:t>
      </w:r>
      <w:r>
        <w:t xml:space="preserve"> </w:t>
      </w:r>
      <w:hyperlink r:id="rId33">
        <w:r>
          <w:rPr>
            <w:rStyle w:val="Hyperlink"/>
          </w:rPr>
          <w:t xml:space="preserve">https://doi.org/10.1016/S0169-5347(99)01812-1</w:t>
        </w:r>
      </w:hyperlink>
    </w:p>
    <w:bookmarkEnd w:id="34"/>
    <w:bookmarkStart w:id="36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(12), 329–334.</w:t>
      </w:r>
      <w:r>
        <w:t xml:space="preserve"> </w:t>
      </w:r>
      <w:hyperlink r:id="rId35">
        <w:r>
          <w:rPr>
            <w:rStyle w:val="Hyperlink"/>
          </w:rPr>
          <w:t xml:space="preserve">https://doi.org/10.1016/0169-4758(91)90211-6</w:t>
        </w:r>
      </w:hyperlink>
    </w:p>
    <w:bookmarkEnd w:id="36"/>
    <w:bookmarkStart w:id="38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7">
        <w:r>
          <w:rPr>
            <w:rStyle w:val="Hyperlink"/>
          </w:rPr>
          <w:t xml:space="preserve">https://archive.org/details/artofbeingparasi0000comb</w:t>
        </w:r>
      </w:hyperlink>
    </w:p>
    <w:bookmarkEnd w:id="38"/>
    <w:bookmarkStart w:id="40" w:name="ref-debruine_extending_2012"/>
    <w:p>
      <w:pPr>
        <w:pStyle w:val="Bibliography"/>
      </w:pPr>
      <w:r>
        <w:t xml:space="preserve">DeBruine, L. M., Little, A. C., &amp; Jones, B. C. (2012). Extending parasite-stress theory to variation in human mate preferences.</w:t>
      </w:r>
      <w:r>
        <w:t xml:space="preserve"> </w:t>
      </w:r>
      <w:r>
        <w:rPr>
          <w:i/>
        </w:rPr>
        <w:t xml:space="preserve">Behavioral and Brain Sciences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(2), 86–87.</w:t>
      </w:r>
      <w:r>
        <w:t xml:space="preserve"> </w:t>
      </w:r>
      <w:hyperlink r:id="rId39">
        <w:r>
          <w:rPr>
            <w:rStyle w:val="Hyperlink"/>
          </w:rPr>
          <w:t xml:space="preserve">https://doi.org/10.1017/S0140525X11000987</w:t>
        </w:r>
      </w:hyperlink>
    </w:p>
    <w:bookmarkEnd w:id="40"/>
    <w:bookmarkStart w:id="42" w:name="ref-evans_effects_2000"/>
    <w:p>
      <w:pPr>
        <w:pStyle w:val="Bibliography"/>
      </w:pPr>
      <w:r>
        <w:t xml:space="preserve">Evans, M. R., Goldsmith, A. R., &amp; Norris, S. R. A. (2000). The effects of testosterone on antibody production and plumage coloration in male house sparrows ( Passer domesticus ).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47</w:t>
      </w:r>
      <w:r>
        <w:t xml:space="preserve">(3), 156–163.</w:t>
      </w:r>
      <w:r>
        <w:t xml:space="preserve"> </w:t>
      </w:r>
      <w:hyperlink r:id="rId41">
        <w:r>
          <w:rPr>
            <w:rStyle w:val="Hyperlink"/>
          </w:rPr>
          <w:t xml:space="preserve">https://doi.org/10.1007/s002650050006</w:t>
        </w:r>
      </w:hyperlink>
    </w:p>
    <w:bookmarkEnd w:id="42"/>
    <w:bookmarkStart w:id="44" w:name="ref-folstad_parasites_1992"/>
    <w:p>
      <w:pPr>
        <w:pStyle w:val="Bibliography"/>
      </w:pPr>
      <w:r>
        <w:t xml:space="preserve">Folstad, I., &amp; Karter, A. J. (1992). Parasites, Bright Males, and the Immunocompetence Handicap.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139</w:t>
      </w:r>
      <w:r>
        <w:t xml:space="preserve">(3), 603–622.</w:t>
      </w:r>
      <w:r>
        <w:t xml:space="preserve"> </w:t>
      </w:r>
      <w:hyperlink r:id="rId43">
        <w:r>
          <w:rPr>
            <w:rStyle w:val="Hyperlink"/>
          </w:rPr>
          <w:t xml:space="preserve">https://doi.org/10.1086/285346</w:t>
        </w:r>
      </w:hyperlink>
    </w:p>
    <w:bookmarkEnd w:id="44"/>
    <w:bookmarkStart w:id="46" w:name="ref-martin_field_2007"/>
    <w:p>
      <w:pPr>
        <w:pStyle w:val="Bibliography"/>
      </w:pPr>
      <w:r>
        <w:t xml:space="preserve">Martin, C. H., &amp; Johnsen, S. (2007). A field test of the Hamilton–Zuk hypothesis in the Trinidadian guppy (</w:t>
      </w:r>
      <w:r>
        <w:rPr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1897–1909.</w:t>
      </w:r>
      <w:r>
        <w:t xml:space="preserve"> </w:t>
      </w:r>
      <w:hyperlink r:id="rId45">
        <w:r>
          <w:rPr>
            <w:rStyle w:val="Hyperlink"/>
          </w:rPr>
          <w:t xml:space="preserve">https://doi.org/10.1007/s00265-007-0430-2</w:t>
        </w:r>
      </w:hyperlink>
    </w:p>
    <w:bookmarkEnd w:id="46"/>
    <w:bookmarkStart w:id="48" w:name="ref-mcgraw_carotenoids_2003"/>
    <w:p>
      <w:pPr>
        <w:pStyle w:val="Bibliography"/>
      </w:pPr>
      <w:r>
        <w:t xml:space="preserve">McGraw, K. J., &amp; Ardia, D. R. (2003). Carotenoids, Immunocompetence, and the Information Content of Sexual Colors: An Experimental Test.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162</w:t>
      </w:r>
      <w:r>
        <w:t xml:space="preserve">(6), 704–712.</w:t>
      </w:r>
      <w:r>
        <w:t xml:space="preserve"> </w:t>
      </w:r>
      <w:hyperlink r:id="rId47">
        <w:r>
          <w:rPr>
            <w:rStyle w:val="Hyperlink"/>
          </w:rPr>
          <w:t xml:space="preserve">https://doi.org/10.1086/378904</w:t>
        </w:r>
      </w:hyperlink>
    </w:p>
    <w:bookmarkEnd w:id="48"/>
    <w:bookmarkStart w:id="50" w:name="ref-moller_effects_1990"/>
    <w:p>
      <w:pPr>
        <w:pStyle w:val="Bibliography"/>
      </w:pPr>
      <w:r>
        <w:t xml:space="preserve">Møller, A. P. (1990). 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771–784.</w:t>
      </w:r>
      <w:r>
        <w:t xml:space="preserve"> </w:t>
      </w:r>
      <w:hyperlink r:id="rId49">
        <w:r>
          <w:rPr>
            <w:rStyle w:val="Hyperlink"/>
          </w:rPr>
          <w:t xml:space="preserve">https://doi.org/10.1111/j.1558-5646.1990.tb03804.x</w:t>
        </w:r>
      </w:hyperlink>
    </w:p>
    <w:bookmarkEnd w:id="50"/>
    <w:bookmarkStart w:id="52" w:name="ref-pennHandicap2020b"/>
    <w:p>
      <w:pPr>
        <w:pStyle w:val="Bibliography"/>
      </w:pPr>
      <w:r>
        <w:t xml:space="preserve">Penn, D. J., &amp; Számadó, S. (2020). The Handicap Principle: How an erroneous hypothesis became a scientific principle.</w:t>
      </w:r>
      <w:r>
        <w:t xml:space="preserve"> </w:t>
      </w:r>
      <w:r>
        <w:rPr>
          <w:i/>
        </w:rPr>
        <w:t xml:space="preserve">Biological Reviews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(1), 267–290.</w:t>
      </w:r>
      <w:r>
        <w:t xml:space="preserve"> </w:t>
      </w:r>
      <w:hyperlink r:id="rId51">
        <w:r>
          <w:rPr>
            <w:rStyle w:val="Hyperlink"/>
          </w:rPr>
          <w:t xml:space="preserve">https://doi.org/10.1111/brv.12563</w:t>
        </w:r>
      </w:hyperlink>
    </w:p>
    <w:bookmarkEnd w:id="52"/>
    <w:bookmarkStart w:id="54" w:name="ref-poulin_hamilton_1997"/>
    <w:p>
      <w:pPr>
        <w:pStyle w:val="Bibliography"/>
      </w:pPr>
      <w:r>
        <w:t xml:space="preserve">Poulin, R., &amp; Hamilton, W. J. (1997). The Hamilton and Zuk Hypothesis Revisited: A Meta-Analytical Approach.</w:t>
      </w:r>
      <w:r>
        <w:t xml:space="preserve"> </w:t>
      </w:r>
      <w:r>
        <w:rPr>
          <w:i/>
        </w:rPr>
        <w:t xml:space="preserve">Behaviour</w:t>
      </w:r>
      <w:r>
        <w:t xml:space="preserve">,</w:t>
      </w:r>
      <w:r>
        <w:t xml:space="preserve"> </w:t>
      </w:r>
      <w:r>
        <w:rPr>
          <w:i/>
        </w:rPr>
        <w:t xml:space="preserve">134</w:t>
      </w:r>
      <w:r>
        <w:t xml:space="preserve">(3-4), 299–320.</w:t>
      </w:r>
      <w:r>
        <w:t xml:space="preserve"> </w:t>
      </w:r>
      <w:hyperlink r:id="rId53">
        <w:r>
          <w:rPr>
            <w:rStyle w:val="Hyperlink"/>
          </w:rPr>
          <w:t xml:space="preserve">https://doi.org/10.1163/156853997X00485</w:t>
        </w:r>
      </w:hyperlink>
    </w:p>
    <w:bookmarkEnd w:id="54"/>
    <w:bookmarkStart w:id="56" w:name="ref-rantala_evidence_2012"/>
    <w:p>
      <w:pPr>
        <w:pStyle w:val="Bibliography"/>
      </w:pPr>
      <w:r>
        <w:t xml:space="preserve">Rantala, M. J., Moore, F. R., Skrinda, I., Krama, T., Kivleniece, I., Kecko, S., &amp; Krams, I. (2012). Evidence for the stress-linked immunocompetence handicap hypothesis in humans.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(1), 694.</w:t>
      </w:r>
      <w:r>
        <w:t xml:space="preserve"> </w:t>
      </w:r>
      <w:hyperlink r:id="rId55">
        <w:r>
          <w:rPr>
            <w:rStyle w:val="Hyperlink"/>
          </w:rPr>
          <w:t xml:space="preserve">https://doi.org/10.1038/ncomms1696</w:t>
        </w:r>
      </w:hyperlink>
    </w:p>
    <w:bookmarkEnd w:id="56"/>
    <w:bookmarkStart w:id="58" w:name="ref-roberts_testing_2004"/>
    <w:p>
      <w:pPr>
        <w:pStyle w:val="Bibliography"/>
      </w:pPr>
      <w:r>
        <w:t xml:space="preserve">Roberts, M. L., Buchanan, K. L., &amp; Evans, M. R. (2004). Testing the immunocompetence handicap hypothesis: A review of the evidence.</w:t>
      </w:r>
      <w:r>
        <w:t xml:space="preserve"> </w:t>
      </w:r>
      <w:r>
        <w:rPr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(2), 227–239.</w:t>
      </w:r>
      <w:r>
        <w:t xml:space="preserve"> </w:t>
      </w:r>
      <w:hyperlink r:id="rId57">
        <w:r>
          <w:rPr>
            <w:rStyle w:val="Hyperlink"/>
          </w:rPr>
          <w:t xml:space="preserve">https://doi.org/10.1016/j.anbehav.2004.05.001</w:t>
        </w:r>
      </w:hyperlink>
    </w:p>
    <w:bookmarkEnd w:id="58"/>
    <w:bookmarkStart w:id="60" w:name="ref-simons_what_2012"/>
    <w:p>
      <w:pPr>
        <w:pStyle w:val="Bibliography"/>
      </w:pPr>
      <w:r>
        <w:t xml:space="preserve">Simons, M. J. P., Cohen, A. A., &amp; Verhulst, S. (2012). What Does Carotenoid-Dependent Coloration Tell? Plasma Carotenoid Level Signals Immunocompetence and Oxidative Stress State in Birds–A Meta-Analysis.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(8), e43088.</w:t>
      </w:r>
      <w:r>
        <w:t xml:space="preserve"> </w:t>
      </w:r>
      <w:hyperlink r:id="rId59">
        <w:r>
          <w:rPr>
            <w:rStyle w:val="Hyperlink"/>
          </w:rPr>
          <w:t xml:space="preserve">https://doi.org/10.1371/journal.pone.0043088</w:t>
        </w:r>
      </w:hyperlink>
    </w:p>
    <w:bookmarkEnd w:id="60"/>
    <w:bookmarkEnd w:id="6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2023-04-03 13:16:17.336014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rchive.org/details/artofbeingparasi0000comb" TargetMode="External" /><Relationship Type="http://schemas.openxmlformats.org/officeDocument/2006/relationships/hyperlink" Id="rId45" Target="https://doi.org/10.1007/s00265-007-0430-2" TargetMode="External" /><Relationship Type="http://schemas.openxmlformats.org/officeDocument/2006/relationships/hyperlink" Id="rId41" Target="https://doi.org/10.1007/s002650050006" TargetMode="External" /><Relationship Type="http://schemas.openxmlformats.org/officeDocument/2006/relationships/hyperlink" Id="rId35" Target="https://doi.org/10.1016/0169-4758(91)90211-6" TargetMode="External" /><Relationship Type="http://schemas.openxmlformats.org/officeDocument/2006/relationships/hyperlink" Id="rId33" Target="https://doi.org/10.1016/S0169-5347(99)01812-1" TargetMode="External" /><Relationship Type="http://schemas.openxmlformats.org/officeDocument/2006/relationships/hyperlink" Id="rId57" Target="https://doi.org/10.1016/j.anbehav.2004.05.001" TargetMode="External" /><Relationship Type="http://schemas.openxmlformats.org/officeDocument/2006/relationships/hyperlink" Id="rId39" Target="https://doi.org/10.1017/S0140525X11000987" TargetMode="External" /><Relationship Type="http://schemas.openxmlformats.org/officeDocument/2006/relationships/hyperlink" Id="rId55" Target="https://doi.org/10.1038/ncomms1696" TargetMode="External" /><Relationship Type="http://schemas.openxmlformats.org/officeDocument/2006/relationships/hyperlink" Id="rId43" Target="https://doi.org/10.1086/285346" TargetMode="External" /><Relationship Type="http://schemas.openxmlformats.org/officeDocument/2006/relationships/hyperlink" Id="rId47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51" Target="https://doi.org/10.1111/brv.12563" TargetMode="External" /><Relationship Type="http://schemas.openxmlformats.org/officeDocument/2006/relationships/hyperlink" Id="rId49" Target="https://doi.org/10.1111/j.1558-5646.1990.tb03804.x" TargetMode="External" /><Relationship Type="http://schemas.openxmlformats.org/officeDocument/2006/relationships/hyperlink" Id="rId53" Target="https://doi.org/10.1163/156853997X00485" TargetMode="External" /><Relationship Type="http://schemas.openxmlformats.org/officeDocument/2006/relationships/hyperlink" Id="rId31" Target="https://doi.org/10.1371/journal.pone.0004983" TargetMode="External" /><Relationship Type="http://schemas.openxmlformats.org/officeDocument/2006/relationships/hyperlink" Id="rId59" Target="https://doi.org/10.1371/journal.pone.004308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archive.org/details/artofbeingparasi0000comb" TargetMode="External" /><Relationship Type="http://schemas.openxmlformats.org/officeDocument/2006/relationships/hyperlink" Id="rId45" Target="https://doi.org/10.1007/s00265-007-0430-2" TargetMode="External" /><Relationship Type="http://schemas.openxmlformats.org/officeDocument/2006/relationships/hyperlink" Id="rId41" Target="https://doi.org/10.1007/s002650050006" TargetMode="External" /><Relationship Type="http://schemas.openxmlformats.org/officeDocument/2006/relationships/hyperlink" Id="rId35" Target="https://doi.org/10.1016/0169-4758(91)90211-6" TargetMode="External" /><Relationship Type="http://schemas.openxmlformats.org/officeDocument/2006/relationships/hyperlink" Id="rId33" Target="https://doi.org/10.1016/S0169-5347(99)01812-1" TargetMode="External" /><Relationship Type="http://schemas.openxmlformats.org/officeDocument/2006/relationships/hyperlink" Id="rId57" Target="https://doi.org/10.1016/j.anbehav.2004.05.001" TargetMode="External" /><Relationship Type="http://schemas.openxmlformats.org/officeDocument/2006/relationships/hyperlink" Id="rId39" Target="https://doi.org/10.1017/S0140525X11000987" TargetMode="External" /><Relationship Type="http://schemas.openxmlformats.org/officeDocument/2006/relationships/hyperlink" Id="rId55" Target="https://doi.org/10.1038/ncomms1696" TargetMode="External" /><Relationship Type="http://schemas.openxmlformats.org/officeDocument/2006/relationships/hyperlink" Id="rId43" Target="https://doi.org/10.1086/285346" TargetMode="External" /><Relationship Type="http://schemas.openxmlformats.org/officeDocument/2006/relationships/hyperlink" Id="rId47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51" Target="https://doi.org/10.1111/brv.12563" TargetMode="External" /><Relationship Type="http://schemas.openxmlformats.org/officeDocument/2006/relationships/hyperlink" Id="rId49" Target="https://doi.org/10.1111/j.1558-5646.1990.tb03804.x" TargetMode="External" /><Relationship Type="http://schemas.openxmlformats.org/officeDocument/2006/relationships/hyperlink" Id="rId53" Target="https://doi.org/10.1163/156853997X00485" TargetMode="External" /><Relationship Type="http://schemas.openxmlformats.org/officeDocument/2006/relationships/hyperlink" Id="rId31" Target="https://doi.org/10.1371/journal.pone.0004983" TargetMode="External" /><Relationship Type="http://schemas.openxmlformats.org/officeDocument/2006/relationships/hyperlink" Id="rId59" Target="https://doi.org/10.1371/journal.pone.0043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2023-04-03T17:16:17Z</dcterms:created>
  <dcterms:modified xsi:type="dcterms:W3CDTF">2023-04-03T17:16:17Z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 April 2023</vt:lpwstr>
  </property>
  <property fmtid="{D5CDD505-2E9C-101B-9397-08002B2CF9AE}" pid="5" name="header-includes">
    <vt:lpwstr/>
  </property>
</Properties>
</file>