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  <w:r>
        <w:t xml:space="preserve"> </w:t>
      </w: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p>
      <w:pPr>
        <w:pStyle w:val="Heading2"/>
      </w:pPr>
      <w:bookmarkStart w:id="20" w:name="fisherian-runaway-model"/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p>
      <w:pPr>
        <w:pStyle w:val="Heading2"/>
      </w:pPr>
      <w:bookmarkStart w:id="21" w:name="zahavi-handicap-principle"/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t xml:space="preserve">revealing traits: indicate male condition/quality</w:t>
      </w:r>
    </w:p>
    <w:p>
      <w:pPr>
        <w:numPr>
          <w:ilvl w:val="0"/>
          <w:numId w:val="1003"/>
        </w:numPr>
        <w:pStyle w:val="Compact"/>
      </w:pPr>
      <w:r>
        <w:t xml:space="preserve">conditional traits: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</w:t>
      </w:r>
    </w:p>
    <w:p>
      <w:pPr>
        <w:pStyle w:val="FirstParagraph"/>
      </w:pPr>
      <w:r>
        <w:t xml:space="preserve">The handicap principle seems paradoxical,</w:t>
      </w:r>
      <w:r>
        <w:t xml:space="preserve"> </w:t>
      </w:r>
      <w:r>
        <w:t xml:space="preserve">but models and observation have suggested that</w:t>
      </w:r>
      <w:r>
        <w:t xml:space="preserve"> </w:t>
      </w:r>
      <w:r>
        <w:t xml:space="preserve">it actually works (in part because traits are only</w:t>
      </w:r>
      <w:r>
        <w:t xml:space="preserve"> </w:t>
      </w:r>
      <w:r>
        <w:t xml:space="preserve">expressed in males)</w:t>
      </w:r>
    </w:p>
    <w:p>
      <w:pPr>
        <w:pStyle w:val="BodyText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p>
      <w:pPr>
        <w:pStyle w:val="Heading2"/>
      </w:pPr>
      <w:bookmarkStart w:id="22" w:name="hamilton-zuk-hypothesis"/>
      <w:r>
        <w:t xml:space="preserve">Hamilton-Zuk hypothesis</w:t>
      </w:r>
      <w:bookmarkEnd w:id="22"/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 the handicap principle</w:t>
      </w:r>
      <w:r>
        <w:t xml:space="preserve"> </w:t>
      </w:r>
      <w:r>
        <w:rPr>
          <w:b/>
        </w:rPr>
        <w:t xml:space="preserve">requirements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(not* required by Fisher),</w:t>
      </w:r>
      <w:r>
        <w:t xml:space="preserve"> </w:t>
      </w:r>
      <w:r>
        <w:t xml:space="preserve">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trait: not quite</w:t>
      </w:r>
      <w:r>
        <w:t xml:space="preserve"> </w:t>
      </w:r>
      <w:r>
        <w:t xml:space="preserve">as important, since H-Z works with a</w:t>
      </w:r>
      <w:r>
        <w:t xml:space="preserve"> </w:t>
      </w:r>
      <w:r>
        <w:t xml:space="preserve"> </w:t>
      </w:r>
      <w:r>
        <w:t xml:space="preserve">trait</w:t>
      </w:r>
      <w:r>
        <w:t xml:space="preserve"> </w:t>
      </w:r>
      <w:r>
        <w:t xml:space="preserve">\end{itemize}</w:t>
      </w:r>
      <w:r>
        <w:t xml:space="preserve"> </w:t>
      </w:r>
      <w:r>
        <w:t xml:space="preserve">\end{itemize}</w:t>
      </w:r>
    </w:p>
    <w:p>
      <w:pPr>
        <w:pStyle w:val="Heading2"/>
      </w:pPr>
      <w:bookmarkStart w:id="23" w:name="evidence-for-h-z-between-species"/>
      <w:r>
        <w:t xml:space="preserve">Evidence for H-Z: between-species</w:t>
      </w:r>
      <w:bookmarkEnd w:id="23"/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t xml:space="preserve">reverse causality: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t xml:space="preserve">ecological correlates: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t xml:space="preserve">phylogenetic controls</w:t>
      </w:r>
    </w:p>
    <w:p>
      <w:pPr>
        <w:numPr>
          <w:ilvl w:val="0"/>
          <w:numId w:val="1005"/>
        </w:numPr>
        <w:pStyle w:val="Compact"/>
      </w:pPr>
      <w:r>
        <w:t xml:space="preserve">dynamics: how do we know that parasite-driven sexual selection</w:t>
      </w:r>
      <w:r>
        <w:t xml:space="preserve"> </w:t>
      </w:r>
      <w:r>
        <w:t xml:space="preserve">couldn’t be so effective that it would drive parasite loads to</w:t>
      </w:r>
      <w:r>
        <w:t xml:space="preserve"> </w:t>
      </w:r>
      <w:r>
        <w:t xml:space="preserve"> </w:t>
      </w:r>
      <w:r>
        <w:t xml:space="preserve">levels in showy species?</w:t>
      </w:r>
      <w:r>
        <w:t xml:space="preserve"> </w:t>
      </w:r>
      <w:r>
        <w:t xml:space="preserve">\end{itemize}</w:t>
      </w:r>
    </w:p>
    <w:p>
      <w:pPr>
        <w:pStyle w:val="Heading2"/>
      </w:pPr>
      <w:bookmarkStart w:id="24" w:name="evidence-for-h-z-within-species"/>
      <w:r>
        <w:t xml:space="preserve">Evidence for H-Z: within species</w:t>
      </w:r>
      <w:bookmarkEnd w:id="24"/>
    </w:p>
    <w:p>
      <w:pPr>
        <w:pStyle w:val="FirstParagraph"/>
      </w:pPr>
      <w:r>
        <w:rPr>
          <w:b/>
        </w:rPr>
        <w:t xml:space="preserve">Guppies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t xml:space="preserve">** Barn swallows**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tend to have fewer mites (field</w:t>
      </w:r>
      <w:r>
        <w:t xml:space="preserve"> </w:t>
      </w:r>
      <w:r>
        <w:t xml:space="preserve">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</w:t>
      </w:r>
      <w:r>
        <w:t xml:space="preserve"> </w:t>
      </w:r>
      <w:r>
        <w:t xml:space="preserve">which leads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heritable variation in resistance</w:t>
      </w:r>
      <w:r>
        <w:t xml:space="preserve">:</w:t>
      </w:r>
      <w:r>
        <w:t xml:space="preserve"> </w:t>
      </w:r>
      <w:r>
        <w:t xml:space="preserve">cross-fostering offspring of long-tailed males in the nests of</w:t>
      </w:r>
      <w:r>
        <w:t xml:space="preserve"> </w:t>
      </w:r>
      <w:r>
        <w:t xml:space="preserve">short-tailed males (and vice versa) shows that offspring of</w:t>
      </w:r>
      <w:r>
        <w:t xml:space="preserve"> </w:t>
      </w:r>
      <w:r>
        <w:t xml:space="preserve">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(direct benefits)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</w:t>
      </w:r>
      <w:r>
        <w:t xml:space="preserve"> </w:t>
      </w:r>
      <w:r>
        <w:t xml:space="preserve">mites from fathers</w:t>
      </w:r>
    </w:p>
    <w:p>
      <w:pPr>
        <w:pStyle w:val="Heading2"/>
      </w:pPr>
      <w:bookmarkStart w:id="25" w:name="meta-analysis"/>
      <w:r>
        <w:t xml:space="preserve">Meta-analysis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</w:t>
      </w:r>
      <w:r>
        <w:t xml:space="preserve"> </w:t>
      </w:r>
      <w:r>
        <w:t xml:space="preserve">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</w:t>
      </w:r>
      <w:r>
        <w:t xml:space="preserve"> </w:t>
      </w:r>
      <w:r>
        <w:t xml:space="preserve">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p>
      <w:pPr>
        <w:pStyle w:val="Heading2"/>
      </w:pPr>
      <w:bookmarkStart w:id="26" w:name="alternatives"/>
      <w:r>
        <w:t xml:space="preserve">Alternatives</w:t>
      </w:r>
      <w:bookmarkEnd w:id="26"/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  <w:r>
        <w:t xml:space="preserve"> </w:t>
      </w:r>
      <w:r>
        <w:t xml:space="preserve">e.g.: sage grouse &amp; red ink</w:t>
      </w:r>
      <w:r>
        <w:t xml:space="preserve"> </w:t>
      </w:r>
      <w:r>
        <w:t xml:space="preserve">“</w:t>
      </w:r>
      <w:r>
        <w:t xml:space="preserve">haemotomas</w:t>
      </w:r>
      <w:r>
        <w:t xml:space="preserve">”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pStyle w:val="Heading2"/>
      </w:pPr>
      <w:bookmarkStart w:id="27" w:name="immunocompetence-handicap-hypothesis"/>
      <w:r>
        <w:t xml:space="preserve">Immunocompetence handicap hypothesis</w:t>
      </w:r>
      <w:bookmarkEnd w:id="27"/>
    </w:p>
    <w:p>
      <w:pPr>
        <w:pStyle w:val="FirstParagraph"/>
      </w:pPr>
      <w:r>
        <w:t xml:space="preserve">Why is testoterone immunosuppressive?</w:t>
      </w:r>
    </w:p>
    <w:p>
      <w:pPr>
        <w:pStyle w:val="BodyText"/>
      </w:pPr>
      <w:r>
        <w:t xml:space="preserve">Folstad and Karter (1992)</w:t>
      </w:r>
      <w:r>
        <w:t xml:space="preserve">: turning off your immune</w:t>
      </w:r>
      <w:r>
        <w:t xml:space="preserve"> </w:t>
      </w:r>
      <w:r>
        <w:t xml:space="preserve">system is the ultimate "handicap’’.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</w:t>
      </w:r>
      <w:r>
        <w:t xml:space="preserve"> </w:t>
      </w:r>
      <w:r>
        <w:t xml:space="preserve">(and other androgens) and immunosuppression,</w:t>
      </w:r>
      <w:r>
        <w:t xml:space="preserve"> </w:t>
      </w:r>
      <w:r>
        <w:t xml:space="preserve">but high variable results in different experiments.</w:t>
      </w:r>
      <w:r>
        <w:t xml:space="preserve"> </w:t>
      </w:r>
      <w:r>
        <w:t xml:space="preserve">Immunoredistribution rather than immunosuppression?</w:t>
      </w:r>
    </w:p>
    <w:p>
      <w:pPr>
        <w:pStyle w:val="BodyText"/>
      </w:pPr>
      <w:r>
        <w:t xml:space="preserve">Other axes of signalling and immune function:</w:t>
      </w:r>
      <w:r>
        <w:t xml:space="preserve"> </w:t>
      </w:r>
      <w:r>
        <w:t xml:space="preserve">carotenoid, melanin, androgen (testosterone) systems.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31" w:name="refs"/>
    <w:bookmarkStart w:id="30" w:name="ref-folstad_parasites_1992"/>
    <w:p>
      <w:pPr>
        <w:pStyle w:val="Bibliography"/>
      </w:pPr>
      <w:r>
        <w:t xml:space="preserve">Folstad, Ivar, and Andrew John Karter. 1992. “Parasites, Bright Males, and the Immunocompetence Handicap.”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139 (3): 603–22.</w:t>
      </w:r>
      <w:r>
        <w:t xml:space="preserve"> </w:t>
      </w:r>
      <w:hyperlink r:id="rId29">
        <w:r>
          <w:rPr>
            <w:rStyle w:val="Hyperlink"/>
          </w:rPr>
          <w:t xml:space="preserve">https://doi.org/10.1086/285346</w:t>
        </w:r>
      </w:hyperlink>
      <w:r>
        <w:t xml:space="preserve">.</w:t>
      </w:r>
    </w:p>
    <w:bookmarkEnd w:id="30"/>
    <w:bookmarkEnd w:id="3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2022-03-20 16:15:51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oi.org/10.1086/28534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86/2853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2022-03-20T20:15:51Z</dcterms:created>
  <dcterms:modified xsi:type="dcterms:W3CDTF">2022-03-20T20:15:51Z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21 March 2022</vt:lpwstr>
  </property>
  <property fmtid="{D5CDD505-2E9C-101B-9397-08002B2CF9AE}" pid="4" name="header-includes">
    <vt:lpwstr/>
  </property>
</Properties>
</file>