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Within-host</w:t>
      </w:r>
      <w:r>
        <w:t xml:space="preserve"> </w:t>
      </w:r>
      <w:r>
        <w:t xml:space="preserve">dynamics</w:t>
      </w:r>
    </w:p>
    <w:p>
      <w:pPr>
        <w:pStyle w:val="FirstParagraph"/>
      </w:pPr>
      <w:r>
        <w:t xml:space="preserve">Understanding within-host host-parasite interactions (focus on dynamics)</w:t>
      </w:r>
    </w:p>
    <w:p>
      <w:pPr>
        <w:pStyle w:val="BodyText"/>
      </w:pPr>
      <w:r>
        <w:t xml:space="preserve">Lots of molecular biology, genetics (</w:t>
      </w:r>
      <w:r>
        <w:rPr>
          <w:iCs/>
          <w:i/>
        </w:rPr>
        <w:t xml:space="preserve">recognition</w:t>
      </w:r>
      <w:r>
        <w:t xml:space="preserve"> </w:t>
      </w:r>
      <w:r>
        <w:t xml:space="preserve">mechanisms and</w:t>
      </w:r>
      <w:r>
        <w:t xml:space="preserve"> </w:t>
      </w:r>
      <w:r>
        <w:rPr>
          <w:iCs/>
          <w:i/>
        </w:rPr>
        <w:t xml:space="preserve">effector</w:t>
      </w:r>
      <w:r>
        <w:t xml:space="preserve"> </w:t>
      </w:r>
      <w:r>
        <w:t xml:space="preserve">mechanisms), won’t deal with that now.</w:t>
      </w:r>
    </w:p>
    <w:p>
      <w:pPr>
        <w:pStyle w:val="BodyText"/>
      </w:pPr>
      <w:r>
        <w:t xml:space="preserve">Interaction between different components of the immune system (modeled at different levels of detail/realism), parasite populations (maybe in multiple compartments?)</w:t>
      </w:r>
    </w:p>
    <w:p>
      <w:pPr>
        <w:pStyle w:val="BodyText"/>
      </w:pPr>
      <w:r>
        <w:t xml:space="preserve">Longitudinal data (relatively rare), distributional data.</w:t>
      </w:r>
    </w:p>
    <w:bookmarkStart w:id="29" w:name="hiv-dynamics-under-ineffective-treatment"/>
    <w:p>
      <w:pPr>
        <w:pStyle w:val="Heading2"/>
      </w:pPr>
      <w:r>
        <w:t xml:space="preserve">HIV dynamics under (ineffective) treatment</w:t>
      </w:r>
    </w:p>
    <w:p>
      <w:pPr>
        <w:pStyle w:val="FirstParagraph"/>
      </w:pPr>
      <w:r>
        <w:t xml:space="preserve">Bonhoeffer, Coffin, and Nowak (1997)</w:t>
      </w:r>
    </w:p>
    <w:p>
      <w:pPr>
        <w:numPr>
          <w:ilvl w:val="0"/>
          <w:numId w:val="1001"/>
        </w:numPr>
        <w:pStyle w:val="Compact"/>
      </w:pPr>
      <w:r>
        <w:t xml:space="preserve">Early HIV antivirals: relatively ineffective due to rapid mutation</w:t>
      </w:r>
    </w:p>
    <w:p>
      <w:pPr>
        <w:numPr>
          <w:ilvl w:val="0"/>
          <w:numId w:val="1001"/>
        </w:numPr>
        <w:pStyle w:val="Compact"/>
      </w:pPr>
      <w:r>
        <w:t xml:space="preserve">Large decline in virus loads (up to 300-fold decline in viral RNA in some patients)</w:t>
      </w:r>
    </w:p>
    <w:p>
      <w:pPr>
        <w:numPr>
          <w:ilvl w:val="0"/>
          <w:numId w:val="1001"/>
        </w:numPr>
        <w:pStyle w:val="Compact"/>
      </w:pPr>
      <w:r>
        <w:t xml:space="preserve">but no clearance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within-host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≈</m:t>
        </m:r>
        <m:r>
          <m:t>50</m:t>
        </m:r>
      </m:oMath>
    </w:p>
    <w:p>
      <w:pPr>
        <w:pStyle w:val="FirstParagraph"/>
      </w:pPr>
      <w:r>
        <w:drawing>
          <wp:inline>
            <wp:extent cx="5334000" cy="457076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ix/bonhoeffer_fi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0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587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ix/bonhoeffer_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virus load paradox</w:t>
      </w:r>
      <w:r>
        <w:t xml:space="preserve">”</w:t>
      </w:r>
      <w:r>
        <w:t xml:space="preserve">: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initially 50, we would have to reduce it to slightly above 1 but never</w:t>
      </w:r>
      <w:r>
        <w:t xml:space="preserve"> </w:t>
      </w:r>
      <w:r>
        <w:rPr>
          <w:bCs/>
          <w:b/>
        </w:rPr>
        <w:t xml:space="preserve">below</w:t>
      </w:r>
      <w:r>
        <w:t xml:space="preserve"> </w:t>
      </w:r>
      <w:r>
        <w:t xml:space="preserve">1 to see these results.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C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λ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C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C</m:t>
                </m:r>
                <m:r>
                  <m:t>V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β</m:t>
                </m:r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V</m:t>
                </m:r>
              </m:e>
            </m:mr>
          </m:m>
        </m:oMath>
      </m:oMathPara>
    </w:p>
    <w:p>
      <w:pPr>
        <w:numPr>
          <w:ilvl w:val="0"/>
          <w:numId w:val="1003"/>
        </w:numPr>
        <w:pStyle w:val="Compact"/>
      </w:pPr>
      <w:r>
        <w:t xml:space="preserve">add a drug-resistant type to the model</w:t>
      </w:r>
    </w:p>
    <w:p>
      <w:pPr>
        <w:numPr>
          <w:ilvl w:val="0"/>
          <w:numId w:val="1003"/>
        </w:numPr>
        <w:pStyle w:val="Compact"/>
      </w:pPr>
      <w:r>
        <w:t xml:space="preserve">add mutation (and back-mutation) to the model</w:t>
      </w:r>
    </w:p>
    <w:p>
      <w:pPr>
        <w:numPr>
          <w:ilvl w:val="0"/>
          <w:numId w:val="1003"/>
        </w:numPr>
        <w:pStyle w:val="Compact"/>
      </w:pPr>
      <w:r>
        <w:t xml:space="preserve">add immune responses (</w:t>
      </w:r>
      <m:oMath>
        <m:r>
          <m:t>d</m:t>
        </m:r>
        <m:r>
          <m:t>z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k</m:t>
        </m:r>
        <m:r>
          <m:t>V</m:t>
        </m:r>
        <m:r>
          <m:rPr>
            <m:sty m:val="p"/>
          </m:rPr>
          <m:t>−</m:t>
        </m:r>
        <m:r>
          <m:t>γ</m:t>
        </m:r>
        <m:r>
          <m:t>z</m:t>
        </m:r>
      </m:oMath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homeostasis of infectible cells (logistic growth)</w:t>
      </w:r>
    </w:p>
    <w:p>
      <w:pPr>
        <w:numPr>
          <w:ilvl w:val="0"/>
          <w:numId w:val="1003"/>
        </w:numPr>
        <w:pStyle w:val="Compact"/>
      </w:pPr>
      <w:r>
        <w:t xml:space="preserve">virus-induced killing of uninfected cells (e.g. gp120 shedding)</w:t>
      </w:r>
    </w:p>
    <w:p>
      <w:pPr>
        <w:numPr>
          <w:ilvl w:val="0"/>
          <w:numId w:val="1003"/>
        </w:numPr>
        <w:pStyle w:val="Compact"/>
      </w:pPr>
      <w:r>
        <w:t xml:space="preserve">differential effects of drug on different types</w:t>
      </w:r>
    </w:p>
    <w:p>
      <w:pPr>
        <w:numPr>
          <w:ilvl w:val="0"/>
          <w:numId w:val="1003"/>
        </w:numPr>
        <w:pStyle w:val="Compact"/>
      </w:pPr>
      <w:r>
        <w:t xml:space="preserve">distribution of infectibility</w:t>
      </w:r>
    </w:p>
    <w:p>
      <w:pPr>
        <w:pStyle w:val="FirstParagraph"/>
      </w:pPr>
      <w:r>
        <w:drawing>
          <wp:inline>
            <wp:extent cx="5334000" cy="186153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ix/bonhoeffer_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9" w:name="X016353cc8b0c145c5d081fb850868bfb6ed9b25"/>
    <w:p>
      <w:pPr>
        <w:pStyle w:val="Heading2"/>
      </w:pPr>
      <w:r>
        <w:t xml:space="preserve">Within-host (and within-cell) dynamics of salmonella</w:t>
      </w:r>
    </w:p>
    <w:p>
      <w:pPr>
        <w:numPr>
          <w:ilvl w:val="0"/>
          <w:numId w:val="1004"/>
        </w:numPr>
        <w:pStyle w:val="Compact"/>
      </w:pPr>
      <w:r>
        <w:t xml:space="preserve">intracellular bacterium</w:t>
      </w:r>
    </w:p>
    <w:p>
      <w:pPr>
        <w:pStyle w:val="FirstParagraph"/>
      </w:pPr>
      <w:r>
        <w:t xml:space="preserve">Brown et al. (2006)</w:t>
      </w:r>
    </w:p>
    <w:p>
      <w:pPr>
        <w:numPr>
          <w:ilvl w:val="0"/>
          <w:numId w:val="1005"/>
        </w:numPr>
        <w:pStyle w:val="Compact"/>
      </w:pPr>
      <w:r>
        <w:t xml:space="preserve">model:</w:t>
      </w:r>
    </w:p>
    <w:p>
      <w:pPr>
        <w:pStyle w:val="FirstParagraph"/>
      </w:pPr>
      <w:r>
        <w:drawing>
          <wp:inline>
            <wp:extent cx="1668000" cy="90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ix/brown_salmonella_fig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0" cy="9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assume that host cells are always available (infinite</w:t>
      </w:r>
      <w:r>
        <w:t xml:space="preserve"> </w:t>
      </w:r>
      <m:oMath>
        <m:r>
          <m:t>S</m:t>
        </m:r>
      </m:oMath>
      <w:r>
        <w:t xml:space="preserve">)</w:t>
      </w:r>
    </w:p>
    <w:p>
      <w:pPr>
        <w:pStyle w:val="FirstParagraph"/>
      </w:pPr>
      <w:r>
        <w:drawing>
          <wp:inline>
            <wp:extent cx="1200000" cy="9558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ix/brown_salmonella_fig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000" cy="95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distribution: two categories, or a range of</w:t>
      </w:r>
      <w:r>
        <w:t xml:space="preserve"> </w:t>
      </w:r>
      <w:r>
        <w:rPr>
          <w:bCs/>
          <w:b/>
        </w:rPr>
        <w:t xml:space="preserve">burst sizes</w:t>
      </w:r>
      <w:r>
        <w:t xml:space="preserve">?</w:t>
      </w:r>
    </w:p>
    <w:p>
      <w:pPr>
        <w:pStyle w:val="FirstParagraph"/>
      </w:pPr>
      <w:r>
        <w:drawing>
          <wp:inline>
            <wp:extent cx="1201200" cy="885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ix/brown_salmonella_fig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200" cy="88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“</w:t>
      </w:r>
      <w:r>
        <w:t xml:space="preserve">constitutive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stochastic</w:t>
      </w:r>
      <w:r>
        <w:t xml:space="preserve">”</w:t>
      </w:r>
      <w:r>
        <w:t xml:space="preserve"> </w:t>
      </w:r>
      <w:r>
        <w:t xml:space="preserve">models</w:t>
      </w:r>
    </w:p>
    <w:p>
      <w:pPr>
        <w:numPr>
          <w:ilvl w:val="0"/>
          <w:numId w:val="1008"/>
        </w:numPr>
        <w:pStyle w:val="Compact"/>
      </w:pPr>
      <w:r>
        <w:t xml:space="preserve">density-dependence in growth and/or burst probability?</w:t>
      </w:r>
    </w:p>
    <w:p>
      <w:pPr>
        <w:numPr>
          <w:ilvl w:val="0"/>
          <w:numId w:val="1008"/>
        </w:numPr>
        <w:pStyle w:val="Compact"/>
      </w:pPr>
      <w:r>
        <w:t xml:space="preserve">extracellular killing (bactericidal) vs slowing/preventing intracellular growth (bacteriostatic)</w:t>
      </w:r>
    </w:p>
    <w:p>
      <w:pPr>
        <w:pStyle w:val="BlockText"/>
      </w:pPr>
      <w:r>
        <w:t xml:space="preserve">our analysis predicts that the efficacy of common extracellular antibiotics can be enhanced by supplementation with antibiotics slowing intracellular bacterial division [bacteriostatic drugs]. This implies that both bacteriostatic and bactericidal drugs can potentiate the therapeutic efficacy of extracellular antibiotics.</w:t>
      </w:r>
    </w:p>
    <w:bookmarkEnd w:id="39"/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41" w:name="ref-bonhoeffer_human_1997"/>
    <w:p>
      <w:pPr>
        <w:pStyle w:val="Bibliography"/>
      </w:pPr>
      <w:r>
        <w:t xml:space="preserve">Bonhoeffer, S, J M Coffin, and M A Nowak. 1997.</w:t>
      </w:r>
      <w:r>
        <w:t xml:space="preserve"> </w:t>
      </w:r>
      <w:r>
        <w:t xml:space="preserve">“Human Immunodeficiency Virus Drug Therapy and Virus Load.”</w:t>
      </w:r>
      <w:r>
        <w:t xml:space="preserve"> </w:t>
      </w:r>
      <w:r>
        <w:rPr>
          <w:iCs/>
          <w:i/>
        </w:rPr>
        <w:t xml:space="preserve">Journal of Virology</w:t>
      </w:r>
      <w:r>
        <w:t xml:space="preserve"> </w:t>
      </w:r>
      <w:r>
        <w:t xml:space="preserve">71 (4): 3275–78.</w:t>
      </w:r>
      <w:r>
        <w:t xml:space="preserve"> </w:t>
      </w:r>
      <w:hyperlink r:id="rId40">
        <w:r>
          <w:rPr>
            <w:rStyle w:val="Hyperlink"/>
          </w:rPr>
          <w:t xml:space="preserve">http://www.ncbi.nlm.nih.gov/pmc/articles/PMC191463/</w:t>
        </w:r>
      </w:hyperlink>
      <w:r>
        <w:t xml:space="preserve">.</w:t>
      </w:r>
    </w:p>
    <w:bookmarkEnd w:id="41"/>
    <w:bookmarkStart w:id="43" w:name="ref-brown_intracellular_2006"/>
    <w:p>
      <w:pPr>
        <w:pStyle w:val="Bibliography"/>
      </w:pPr>
      <w:r>
        <w:t xml:space="preserve">Brown, Sam P, Stephen J Cornell, Mark Sheppard, Andrew J Grant, Duncan J Maskell, Bryan T Grenfell, and Pietro Mastroeni. 2006.</w:t>
      </w:r>
      <w:r>
        <w:t xml:space="preserve"> </w:t>
      </w:r>
      <w:r>
        <w:t xml:space="preserve">“Intracellular</w:t>
      </w:r>
      <w:r>
        <w:t xml:space="preserve"> </w:t>
      </w:r>
      <w:r>
        <w:t xml:space="preserve">Demography</w:t>
      </w:r>
      <w:r>
        <w:t xml:space="preserve"> </w:t>
      </w:r>
      <w:r>
        <w:t xml:space="preserve">and the</w:t>
      </w:r>
      <w:r>
        <w:t xml:space="preserve"> </w:t>
      </w:r>
      <w:r>
        <w:t xml:space="preserve">Dynamics</w:t>
      </w:r>
      <w:r>
        <w:t xml:space="preserve"> </w:t>
      </w:r>
      <w:r>
        <w:t xml:space="preserve">of</w:t>
      </w:r>
      <w:r>
        <w:t xml:space="preserve"> </w:t>
      </w:r>
      <w:r>
        <w:t xml:space="preserve">Salmonella</w:t>
      </w:r>
      <w:r>
        <w:t xml:space="preserve"> </w:t>
      </w:r>
      <w:r>
        <w:t xml:space="preserve">Enterica</w:t>
      </w:r>
      <w:r>
        <w:t xml:space="preserve"> </w:t>
      </w:r>
      <w:r>
        <w:t xml:space="preserve">Infections</w:t>
      </w:r>
      <w:r>
        <w:t xml:space="preserve">.”</w:t>
      </w:r>
      <w:r>
        <w:t xml:space="preserve"> </w:t>
      </w:r>
      <w:r>
        <w:rPr>
          <w:iCs/>
          <w:i/>
        </w:rPr>
        <w:t xml:space="preserve">PLoS Biol</w:t>
      </w:r>
      <w:r>
        <w:t xml:space="preserve"> </w:t>
      </w:r>
      <w:r>
        <w:t xml:space="preserve">4 (11): e349.</w:t>
      </w:r>
      <w:r>
        <w:t xml:space="preserve"> </w:t>
      </w:r>
      <w:hyperlink r:id="rId42">
        <w:r>
          <w:rPr>
            <w:rStyle w:val="Hyperlink"/>
          </w:rPr>
          <w:t xml:space="preserve">https://doi.org/10.1371/journal.pbio.0040349</w:t>
        </w:r>
      </w:hyperlink>
      <w:r>
        <w:t xml:space="preserve">.</w:t>
      </w:r>
    </w:p>
    <w:bookmarkEnd w:id="43"/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2023-10-03 13:13:17.375919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0" Target="http://www.ncbi.nlm.nih.gov/pmc/articles/PMC191463/" TargetMode="External" /><Relationship Type="http://schemas.openxmlformats.org/officeDocument/2006/relationships/hyperlink" Id="rId42" Target="https://doi.org/10.1371/journal.pbio.00403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ncbi.nlm.nih.gov/pmc/articles/PMC191463/" TargetMode="External" /><Relationship Type="http://schemas.openxmlformats.org/officeDocument/2006/relationships/hyperlink" Id="rId42" Target="https://doi.org/10.1371/journal.pbio.00403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Within-host dynamics</dc:title>
  <dc:creator/>
  <cp:keywords/>
  <dcterms:created xsi:type="dcterms:W3CDTF">2023-10-03T17:13:17Z</dcterms:created>
  <dcterms:modified xsi:type="dcterms:W3CDTF">2023-10-03T17:13:17Z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