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(focus on dynamics)</w:t>
      </w:r>
    </w:p>
    <w:p>
      <w:pPr>
        <w:pStyle w:val="BodyText"/>
      </w:pPr>
      <w:r>
        <w:t xml:space="preserve">Lots of molecular biology, genetics (</w:t>
      </w:r>
      <w:r>
        <w:rPr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(relatively rare), distributional data.</w:t>
      </w:r>
    </w:p>
    <w:p>
      <w:pPr>
        <w:pStyle w:val="Heading2"/>
      </w:pPr>
      <w:bookmarkStart w:id="20" w:name="hiv-dynamics-under-ineffective-treatment"/>
      <w:r>
        <w:t xml:space="preserve">HIV dynamics under (ineffective) treatment</w:t>
      </w:r>
      <w:bookmarkEnd w:id="20"/>
    </w:p>
    <w:p>
      <w:pPr>
        <w:pStyle w:val="FirstParagraph"/>
      </w:pPr>
      <w:r>
        <w:t xml:space="preserve">Bonhoeffer, Coffin, and Nowak (1997)</w:t>
      </w:r>
    </w:p>
    <w:p>
      <w:pPr>
        <w:numPr>
          <w:ilvl w:val="0"/>
          <w:numId w:val="1001"/>
        </w:numPr>
        <w:pStyle w:val="Compact"/>
      </w:pPr>
      <w:r>
        <w:t xml:space="preserve">Early HIV antivirals: relatively ineffective due to rapid mutation</w:t>
      </w:r>
    </w:p>
    <w:p>
      <w:pPr>
        <w:numPr>
          <w:ilvl w:val="0"/>
          <w:numId w:val="1001"/>
        </w:numPr>
        <w:pStyle w:val="Compact"/>
      </w:pPr>
      <w:r>
        <w:t xml:space="preserve">Large decline in virus loads (up to 300-fold decline in viral RNA in some patients)</w:t>
      </w:r>
    </w:p>
    <w:p>
      <w:pPr>
        <w:numPr>
          <w:ilvl w:val="0"/>
          <w:numId w:val="1001"/>
        </w:numPr>
        <w:pStyle w:val="Compact"/>
      </w:pPr>
      <w:r>
        <w:t xml:space="preserve">but no clearance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within-host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50</m:t>
        </m:r>
      </m:oMath>
    </w:p>
    <w:p>
      <w:pPr>
        <w:pStyle w:val="FirstParagraph"/>
      </w:pPr>
      <w:r>
        <w:drawing>
          <wp:inline>
            <wp:extent cx="5334000" cy="4570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8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λ</m:t>
                </m:r>
                <m:r>
                  <m:t>−</m:t>
                </m:r>
                <m:r>
                  <m:t>μ</m:t>
                </m:r>
                <m:r>
                  <m:t>C</m:t>
                </m:r>
                <m: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w:r>
        <w:t xml:space="preserve">add a drug-resistant type to the model</w:t>
      </w:r>
    </w:p>
    <w:p>
      <w:pPr>
        <w:numPr>
          <w:ilvl w:val="0"/>
          <w:numId w:val="1003"/>
        </w:numPr>
        <w:pStyle w:val="Compact"/>
      </w:pPr>
      <w:r>
        <w:t xml:space="preserve">add mutation (and back-mutation) to the model</w:t>
      </w:r>
    </w:p>
    <w:p>
      <w:pPr>
        <w:numPr>
          <w:ilvl w:val="0"/>
          <w:numId w:val="1003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t>/</m:t>
        </m:r>
        <m:r>
          <m:t>d</m:t>
        </m:r>
        <m:r>
          <m:t>t</m:t>
        </m:r>
        <m:r>
          <m:t>=</m:t>
        </m:r>
        <m:r>
          <m:t>k</m:t>
        </m:r>
        <m:r>
          <m:t>V</m:t>
        </m:r>
        <m: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3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3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3"/>
        </w:numPr>
        <w:pStyle w:val="Compact"/>
      </w:pPr>
      <w:r>
        <w:t xml:space="preserve">distribution of infectibility</w:t>
      </w:r>
    </w:p>
    <w:p>
      <w:pPr>
        <w:pStyle w:val="FirstParagraph"/>
      </w:pPr>
      <w:r>
        <w:drawing>
          <wp:inline>
            <wp:extent cx="5334000" cy="18615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016353cc8b0c145c5d081fb850868bfb6ed9b25"/>
      <w:r>
        <w:t xml:space="preserve">Within-host (and within-cell) dynamics of salmonella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intracellular bacterium</w:t>
      </w:r>
    </w:p>
    <w:p>
      <w:pPr>
        <w:pStyle w:val="FirstParagraph"/>
      </w:pPr>
      <w:r>
        <w:t xml:space="preserve">Brown et al. (2006)</w:t>
      </w:r>
    </w:p>
    <w:p>
      <w:pPr>
        <w:numPr>
          <w:ilvl w:val="0"/>
          <w:numId w:val="1005"/>
        </w:numPr>
        <w:pStyle w:val="Compact"/>
      </w:pPr>
      <w:r>
        <w:t xml:space="preserve">model:</w:t>
      </w:r>
    </w:p>
    <w:p>
      <w:pPr>
        <w:pStyle w:val="FirstParagraph"/>
      </w:pPr>
      <w:r>
        <w:drawing>
          <wp:inline>
            <wp:extent cx="1668000" cy="90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assume that host cells are always available (infinite</w:t>
      </w:r>
      <w:r>
        <w:t xml:space="preserve"> 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drawing>
          <wp:inline>
            <wp:extent cx="1200000" cy="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0" cy="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distribution: two categories, or a range of</w:t>
      </w:r>
      <w:r>
        <w:t xml:space="preserve"> </w:t>
      </w:r>
      <w:r>
        <w:rPr>
          <w:b/>
        </w:rPr>
        <w:t xml:space="preserve">burst sizes</w:t>
      </w:r>
      <w:r>
        <w:t xml:space="preserve"> </w:t>
      </w:r>
      <w:r>
        <w:t xml:space="preserve">?</w:t>
      </w:r>
      <w:r>
        <w:t xml:space="preserve"> </w:t>
      </w:r>
      <w:r>
        <w:drawing>
          <wp:inline>
            <wp:extent cx="1201200" cy="88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0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“</w:t>
      </w:r>
      <w:r>
        <w:t xml:space="preserve">constitutive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stochastic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07"/>
        </w:numPr>
      </w:pPr>
      <w:r>
        <w:t xml:space="preserve">density-dependence in growth and/or burst probability?</w:t>
      </w:r>
    </w:p>
    <w:p>
      <w:pPr>
        <w:numPr>
          <w:ilvl w:val="0"/>
          <w:numId w:val="1007"/>
        </w:numPr>
      </w:pPr>
      <w:r>
        <w:t xml:space="preserve">extracellular killing (bactericidal) vs slowing/preventing intracellular growth (bacteriostatic)</w:t>
      </w:r>
    </w:p>
    <w:p>
      <w:pPr>
        <w:pStyle w:val="BlockText"/>
      </w:pPr>
      <w:r>
        <w:t xml:space="preserve">our analysis predicts that the efficacy of common extracellular antibiotics can be enhanced by supplementation with antibiotics slowing intracellular bacterial division [bacteriostatic drugs]. This implies that both bacteriostatic and bactericidal drugs can potentiate the therapeutic efficacy of extracellular antibiotics.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33" w:name="refs"/>
    <w:bookmarkStart w:id="30" w:name="ref-bonhoeffer_human_1997"/>
    <w:p>
      <w:pPr>
        <w:pStyle w:val="Bibliography"/>
      </w:pPr>
      <w:r>
        <w:t xml:space="preserve">Bonhoeffer, S, J M Coffin, and M A Nowak. 1997. “Human Immunodeficiency Virus Drug Therapy and Virus Load.”</w:t>
      </w:r>
      <w:r>
        <w:t xml:space="preserve"> </w:t>
      </w:r>
      <w:r>
        <w:rPr>
          <w:i/>
        </w:rPr>
        <w:t xml:space="preserve">Journal of Virology</w:t>
      </w:r>
      <w:r>
        <w:t xml:space="preserve"> </w:t>
      </w:r>
      <w:r>
        <w:t xml:space="preserve">71 (4): 3275–8.</w:t>
      </w:r>
      <w:r>
        <w:t xml:space="preserve"> </w:t>
      </w:r>
      <w:hyperlink r:id="rId29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30"/>
    <w:bookmarkStart w:id="32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 “Intracellular Demography and the Dynamics of Salmonella Enterica Infections.”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31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32"/>
    <w:bookmarkEnd w:id="3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2023-04-02 19:38:16.506855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://www.ncbi.nlm.nih.gov/pmc/articles/PMC191463/" TargetMode="External" /><Relationship Type="http://schemas.openxmlformats.org/officeDocument/2006/relationships/hyperlink" Id="rId31" Target="https://doi.org/10.1371/journal.pbio.004034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ncbi.nlm.nih.gov/pmc/articles/PMC191463/" TargetMode="External" /><Relationship Type="http://schemas.openxmlformats.org/officeDocument/2006/relationships/hyperlink" Id="rId31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2023-04-02T23:38:16Z</dcterms:created>
  <dcterms:modified xsi:type="dcterms:W3CDTF">2023-04-02T23:38:16Z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