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jpg" ContentType="image/jpeg"/>
  <Override PartName="/word/media/rId77.png" ContentType="image/png"/>
  <Override PartName="/word/media/rId99.png" ContentType="image/png"/>
  <Override PartName="/word/media/rId65.png" ContentType="image/png"/>
  <Override PartName="/word/media/rId57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32.png" ContentType="image/png"/>
  <Override PartName="/word/media/rId73.png" ContentType="image/png"/>
  <Override PartName="/word/media/rId26.png" ContentType="image/png"/>
  <Override PartName="/word/media/rId104.png" ContentType="image/png"/>
  <Override PartName="/word/media/rId21.png" ContentType="image/png"/>
  <Override PartName="/word/media/rId69.png" ContentType="image/png"/>
  <Override PartName="/word/media/rId61.png" ContentType="image/png"/>
  <Override PartName="/word/media/rId49.jpg" ContentType="image/jpe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historical epidemiology of plague</w:t>
      </w:r>
    </w:p>
    <w:p>
      <w:pPr>
        <w:pStyle w:val="Date"/>
      </w:pPr>
      <w:r>
        <w:t xml:space="preserve">1 December 2025</w:t>
      </w:r>
    </w:p>
    <w:bookmarkStart w:id="20" w:name="plague-first-pandemic"/>
    <w:p>
      <w:pPr>
        <w:pStyle w:val="Heading2"/>
      </w:pPr>
      <w:r>
        <w:t xml:space="preserve">plague: first pandemic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Yersinia pestis</w:t>
      </w:r>
    </w:p>
    <w:p>
      <w:pPr>
        <w:pStyle w:val="Compact"/>
        <w:numPr>
          <w:ilvl w:val="0"/>
          <w:numId w:val="1001"/>
        </w:numPr>
      </w:pPr>
      <w:r>
        <w:t xml:space="preserve">causative agent of the</w:t>
      </w:r>
      <w:r>
        <w:t xml:space="preserve"> </w:t>
      </w:r>
      <w:r>
        <w:rPr>
          <w:i/>
          <w:iCs/>
        </w:rPr>
        <w:t xml:space="preserve">Black Death</w:t>
      </w:r>
    </w:p>
    <w:p>
      <w:pPr>
        <w:pStyle w:val="Compact"/>
        <w:numPr>
          <w:ilvl w:val="0"/>
          <w:numId w:val="1001"/>
        </w:numPr>
      </w:pPr>
      <w:r>
        <w:t xml:space="preserve">Plague of Justinian (541) - approx. 750 (ancient DNA)</w:t>
      </w:r>
    </w:p>
    <w:bookmarkEnd w:id="20"/>
    <w:bookmarkStart w:id="24" w:name="harbeckyersiniapestisdna2013"/>
    <w:p>
      <w:pPr>
        <w:pStyle w:val="Heading2"/>
      </w:pPr>
      <w:r>
        <w:t xml:space="preserve">Harbeck et al. (2013)</w:t>
      </w:r>
    </w:p>
    <w:p>
      <w:pPr>
        <w:pStyle w:val="FirstParagraph"/>
      </w:pPr>
      <w:r>
        <w:drawing>
          <wp:inline>
            <wp:extent cx="4267200" cy="370647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ix/plague_phyl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06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second-pandemic"/>
    <w:p>
      <w:pPr>
        <w:pStyle w:val="Heading2"/>
      </w:pPr>
      <w:r>
        <w:t xml:space="preserve">second pandemic</w:t>
      </w:r>
    </w:p>
    <w:p>
      <w:pPr>
        <w:pStyle w:val="Compact"/>
        <w:numPr>
          <w:ilvl w:val="0"/>
          <w:numId w:val="1002"/>
        </w:numPr>
      </w:pPr>
      <w:r>
        <w:t xml:space="preserve">Black Death! 1347 onward</w:t>
      </w:r>
    </w:p>
    <w:p>
      <w:pPr>
        <w:pStyle w:val="Compact"/>
        <w:numPr>
          <w:ilvl w:val="0"/>
          <w:numId w:val="1002"/>
        </w:numPr>
      </w:pPr>
      <w:r>
        <w:t xml:space="preserve">human pop 450M → 350-375M by 1400</w:t>
      </w:r>
    </w:p>
    <w:p>
      <w:pPr>
        <w:pStyle w:val="Compact"/>
        <w:numPr>
          <w:ilvl w:val="0"/>
          <w:numId w:val="1002"/>
        </w:numPr>
      </w:pPr>
      <w:r>
        <w:t xml:space="preserve">continues until late 18th c.</w:t>
      </w:r>
    </w:p>
    <w:p>
      <w:pPr>
        <w:pStyle w:val="Compact"/>
        <w:numPr>
          <w:ilvl w:val="0"/>
          <w:numId w:val="1002"/>
        </w:numPr>
      </w:pPr>
      <w:r>
        <w:t xml:space="preserve">Shakespeare, Isaac Newton, etc. etc.</w:t>
      </w:r>
    </w:p>
    <w:p>
      <w:pPr>
        <w:pStyle w:val="Compact"/>
        <w:numPr>
          <w:ilvl w:val="0"/>
          <w:numId w:val="1002"/>
        </w:numPr>
      </w:pPr>
      <w:r>
        <w:t xml:space="preserve">also validated from ancient DNA</w:t>
      </w:r>
    </w:p>
    <w:bookmarkEnd w:id="25"/>
    <w:bookmarkStart w:id="30" w:name="section"/>
    <w:p>
      <w:pPr>
        <w:pStyle w:val="Heading2"/>
      </w:pPr>
    </w:p>
    <w:p>
      <w:pPr>
        <w:pStyle w:val="FirstParagraph"/>
      </w:pPr>
      <w:r>
        <w:drawing>
          <wp:inline>
            <wp:extent cx="5334000" cy="362108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ix/m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29">
        <w:r>
          <w:rPr>
            <w:rStyle w:val="Hyperlink"/>
          </w:rPr>
          <w:t xml:space="preserve">Britannica</w:t>
        </w:r>
      </w:hyperlink>
    </w:p>
    <w:bookmarkEnd w:id="30"/>
    <w:bookmarkStart w:id="31" w:name="acceleration-earn_acceleration_2020"/>
    <w:p>
      <w:pPr>
        <w:pStyle w:val="Heading2"/>
      </w:pPr>
      <w:r>
        <w:t xml:space="preserve">acceleration</w:t>
      </w:r>
      <w:r>
        <w:t xml:space="preserve"> </w:t>
      </w:r>
      <w:r>
        <w:t xml:space="preserve">(Earn et al., 2020)</w:t>
      </w:r>
    </w:p>
    <w:p>
      <w:pPr>
        <w:pStyle w:val="Compact"/>
        <w:numPr>
          <w:ilvl w:val="0"/>
          <w:numId w:val="1003"/>
        </w:numPr>
      </w:pPr>
      <w:r>
        <w:t xml:space="preserve">get historical details on plague from wills, parish records, London Bills of Mortality …</w:t>
      </w:r>
    </w:p>
    <w:bookmarkEnd w:id="31"/>
    <w:bookmarkStart w:id="35" w:name="section-1"/>
    <w:p>
      <w:pPr>
        <w:pStyle w:val="Heading2"/>
      </w:pPr>
    </w:p>
    <w:p>
      <w:pPr>
        <w:pStyle w:val="FirstParagraph"/>
      </w:pPr>
      <w:r>
        <w:drawing>
          <wp:inline>
            <wp:extent cx="5194300" cy="67437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ix/earnplague_lbo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674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section-2"/>
    <w:p>
      <w:pPr>
        <w:pStyle w:val="Heading2"/>
      </w:pPr>
    </w:p>
    <w:p>
      <w:pPr>
        <w:pStyle w:val="FirstParagraph"/>
      </w:pPr>
      <w:r>
        <w:drawing>
          <wp:inline>
            <wp:extent cx="5334000" cy="24098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ix/earnplague_fig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section-3"/>
    <w:p>
      <w:pPr>
        <w:pStyle w:val="Heading2"/>
      </w:pPr>
    </w:p>
    <w:p>
      <w:pPr>
        <w:pStyle w:val="FirstParagraph"/>
      </w:pPr>
      <w:r>
        <w:drawing>
          <wp:inline>
            <wp:extent cx="5334000" cy="25859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ix/earnplague_fig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section-4"/>
    <w:p>
      <w:pPr>
        <w:pStyle w:val="Heading2"/>
      </w:pPr>
    </w:p>
    <w:p>
      <w:pPr>
        <w:pStyle w:val="FirstParagraph"/>
      </w:pPr>
      <w:r>
        <w:drawing>
          <wp:inline>
            <wp:extent cx="5334000" cy="285766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ix/earnplague_fig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acceleration-conclusions"/>
    <w:p>
      <w:pPr>
        <w:pStyle w:val="Heading2"/>
      </w:pPr>
      <w:r>
        <w:t xml:space="preserve">acceleration: conclusions</w:t>
      </w:r>
    </w:p>
    <w:p>
      <w:pPr>
        <w:pStyle w:val="Compact"/>
        <w:numPr>
          <w:ilvl w:val="0"/>
          <w:numId w:val="1004"/>
        </w:numPr>
      </w:pPr>
      <w:r>
        <w:t xml:space="preserve">wills seem to be an adequate (if noisy) proxy for parish records/plague-specific mortality records (London Bills)</w:t>
      </w:r>
    </w:p>
    <w:p>
      <w:pPr>
        <w:pStyle w:val="Compact"/>
        <w:numPr>
          <w:ilvl w:val="0"/>
          <w:numId w:val="1004"/>
        </w:numPr>
      </w:pPr>
      <w:r>
        <w:t xml:space="preserve">epidemic speed (</w:t>
      </w:r>
      <m:oMath>
        <m:r>
          <m:t>r</m:t>
        </m:r>
      </m:oMath>
      <w:r>
        <w:t xml:space="preserve">) increased from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10/year to 20/year (doubling time from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 weeks to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2 weeks)</w:t>
      </w:r>
    </w:p>
    <w:bookmarkEnd w:id="48"/>
    <w:bookmarkStart w:id="52" w:name="y.-pestis-transmission"/>
    <w:p>
      <w:pPr>
        <w:pStyle w:val="Heading2"/>
      </w:pPr>
      <w:r>
        <w:rPr>
          <w:i/>
          <w:iCs/>
        </w:rPr>
        <w:t xml:space="preserve">Y. pestis</w:t>
      </w:r>
      <w:r>
        <w:t xml:space="preserve"> </w:t>
      </w:r>
      <w:r>
        <w:t xml:space="preserve">transmission</w:t>
      </w:r>
    </w:p>
    <w:p>
      <w:pPr>
        <w:pStyle w:val="Compact"/>
        <w:numPr>
          <w:ilvl w:val="0"/>
          <w:numId w:val="1005"/>
        </w:numPr>
      </w:pPr>
      <w:r>
        <w:t xml:space="preserve">Classic story: rat-flea transmission, human spillover</w:t>
      </w:r>
    </w:p>
    <w:p>
      <w:pPr>
        <w:pStyle w:val="Compact"/>
        <w:numPr>
          <w:ilvl w:val="0"/>
          <w:numId w:val="1005"/>
        </w:numPr>
      </w:pPr>
      <w:r>
        <w:t xml:space="preserve">Possible</w:t>
      </w:r>
      <w:r>
        <w:t xml:space="preserve"> </w:t>
      </w:r>
      <w:r>
        <w:rPr>
          <w:i/>
          <w:iCs/>
        </w:rPr>
        <w:t xml:space="preserve">pneumonic</w:t>
      </w:r>
      <w:r>
        <w:t xml:space="preserve"> </w:t>
      </w:r>
      <w:r>
        <w:t xml:space="preserve">transmission</w:t>
      </w:r>
    </w:p>
    <w:p>
      <w:pPr>
        <w:pStyle w:val="FirstParagraph"/>
      </w:pPr>
      <w:r>
        <w:drawing>
          <wp:inline>
            <wp:extent cx="3379622" cy="20702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ix/ratfleacut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622" cy="207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human-ectoparasite-transmission"/>
    <w:p>
      <w:pPr>
        <w:pStyle w:val="Heading2"/>
      </w:pPr>
      <w:r>
        <w:t xml:space="preserve">Human-ectoparasite transmission</w:t>
      </w:r>
    </w:p>
    <w:p>
      <w:pPr>
        <w:pStyle w:val="FirstParagraph"/>
      </w:pPr>
      <w:r>
        <w:t xml:space="preserve">Human-to-human transmission via ectoparasites (e.g. lice)</w:t>
      </w:r>
    </w:p>
    <w:p>
      <w:pPr>
        <w:pStyle w:val="BodyText"/>
      </w:pPr>
      <w:r>
        <w:drawing>
          <wp:inline>
            <wp:extent cx="2667000" cy="274307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ix/Inkedlouse_LI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4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caaad7cecb1c6e41472d970393e59f5deaedb56"/>
    <w:p>
      <w:pPr>
        <w:pStyle w:val="Heading2"/>
      </w:pPr>
      <w:r>
        <w:t xml:space="preserve">data fits</w:t>
      </w:r>
      <w:r>
        <w:t xml:space="preserve"> </w:t>
      </w:r>
      <w:r>
        <w:t xml:space="preserve">(Dean et al., 2018; Dean, 2019)</w:t>
      </w:r>
    </w:p>
    <w:p>
      <w:pPr>
        <w:pStyle w:val="FirstParagraph"/>
      </w:pPr>
      <w:r>
        <w:drawing>
          <wp:inline>
            <wp:extent cx="3733800" cy="331597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ix/dean_plagu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combined-model"/>
    <w:p>
      <w:pPr>
        <w:pStyle w:val="Heading2"/>
      </w:pPr>
      <w:r>
        <w:t xml:space="preserve">combined model</w:t>
      </w:r>
    </w:p>
    <w:p>
      <w:pPr>
        <w:pStyle w:val="FirstParagraph"/>
      </w:pPr>
      <w:r>
        <w:drawing>
          <wp:inline>
            <wp:extent cx="4267200" cy="242392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pix/propos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2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box-diagram"/>
    <w:p>
      <w:pPr>
        <w:pStyle w:val="Heading2"/>
      </w:pPr>
      <w:r>
        <w:t xml:space="preserve">box diagram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ix/comb_mode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riors"/>
    <w:p>
      <w:pPr>
        <w:pStyle w:val="Heading2"/>
      </w:pPr>
      <w:r>
        <w:t xml:space="preserve">priors</w:t>
      </w:r>
    </w:p>
    <w:p>
      <w:pPr>
        <w:pStyle w:val="FirstParagraph"/>
      </w:pPr>
      <w:r>
        <w:drawing>
          <wp:inline>
            <wp:extent cx="4267200" cy="28448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pix/prior_dis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results-example"/>
    <w:p>
      <w:pPr>
        <w:pStyle w:val="Heading2"/>
      </w:pPr>
      <w:r>
        <w:t xml:space="preserve">results (example)</w:t>
      </w:r>
    </w:p>
    <w:p>
      <w:pPr>
        <w:pStyle w:val="FirstParagraph"/>
      </w:pPr>
      <w:r>
        <w:drawing>
          <wp:inline>
            <wp:extent cx="4267200" cy="2844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pix/g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results-all"/>
    <w:p>
      <w:pPr>
        <w:pStyle w:val="Heading2"/>
      </w:pPr>
      <w:r>
        <w:t xml:space="preserve">results (all)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pix/allter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virulence-evolution"/>
    <w:p>
      <w:pPr>
        <w:pStyle w:val="Heading2"/>
      </w:pPr>
      <w:r>
        <w:t xml:space="preserve">virulence evolution</w:t>
      </w:r>
    </w:p>
    <w:p>
      <w:pPr>
        <w:pStyle w:val="Compact"/>
        <w:numPr>
          <w:ilvl w:val="0"/>
          <w:numId w:val="1006"/>
        </w:numPr>
      </w:pPr>
      <w:r>
        <w:t xml:space="preserve">Sidhu et al. (2025)</w:t>
      </w:r>
    </w:p>
    <w:p>
      <w:pPr>
        <w:pStyle w:val="Compact"/>
        <w:numPr>
          <w:ilvl w:val="0"/>
          <w:numId w:val="1006"/>
        </w:numPr>
      </w:pPr>
      <w:r>
        <w:t xml:space="preserve">repeated evolution of PLA (plasminogen activator) depletion across pandemics</w:t>
      </w:r>
    </w:p>
    <w:bookmarkEnd w:id="81"/>
    <w:bookmarkStart w:id="85" w:name="pla-results-first-pandemic"/>
    <w:p>
      <w:pPr>
        <w:pStyle w:val="Heading2"/>
      </w:pPr>
      <w:r>
        <w:t xml:space="preserve">PLA results: first pandemic</w:t>
      </w:r>
    </w:p>
    <w:p>
      <w:pPr>
        <w:pStyle w:val="FirstParagraph"/>
      </w:pPr>
      <w:r>
        <w:drawing>
          <wp:inline>
            <wp:extent cx="1709729" cy="72358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pix/sidhu_pla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729" cy="72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second-pandemic-1"/>
    <w:p>
      <w:pPr>
        <w:pStyle w:val="Heading2"/>
      </w:pPr>
      <w:r>
        <w:t xml:space="preserve">second pandemic</w:t>
      </w:r>
    </w:p>
    <w:p>
      <w:pPr>
        <w:pStyle w:val="FirstParagraph"/>
      </w:pPr>
      <w:r>
        <w:drawing>
          <wp:inline>
            <wp:extent cx="1749419" cy="1213602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ix/sidhu_pla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19" cy="121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third-pandemic"/>
    <w:p>
      <w:pPr>
        <w:pStyle w:val="Heading2"/>
      </w:pPr>
      <w:r>
        <w:t xml:space="preserve">third pandemic</w:t>
      </w:r>
    </w:p>
    <w:p>
      <w:pPr>
        <w:pStyle w:val="FirstParagraph"/>
      </w:pPr>
      <w:r>
        <w:drawing>
          <wp:inline>
            <wp:extent cx="1735680" cy="998359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pix/sidhu_pla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680" cy="998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pla-phenotypes"/>
    <w:p>
      <w:pPr>
        <w:pStyle w:val="Heading2"/>
      </w:pPr>
      <w:r>
        <w:t xml:space="preserve">PLA phenotypes</w:t>
      </w:r>
    </w:p>
    <w:p>
      <w:pPr>
        <w:pStyle w:val="FirstParagraph"/>
      </w:pPr>
      <w:r>
        <w:drawing>
          <wp:inline>
            <wp:extent cx="5334000" cy="315097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pix/sidhu_surviv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evolutionary-mechanisms"/>
    <w:p>
      <w:pPr>
        <w:pStyle w:val="Heading2"/>
      </w:pPr>
      <w:r>
        <w:t xml:space="preserve">evolutionary mechanisms?</w:t>
      </w:r>
    </w:p>
    <w:p>
      <w:pPr>
        <w:pStyle w:val="Compact"/>
        <w:numPr>
          <w:ilvl w:val="0"/>
          <w:numId w:val="1007"/>
        </w:numPr>
      </w:pPr>
      <w:r>
        <w:t xml:space="preserve">tradeoff theory</w:t>
      </w:r>
      <w:r>
        <w:t xml:space="preserve"> </w:t>
      </w:r>
      <w:r>
        <w:rPr>
          <w:i/>
          <w:iCs/>
        </w:rPr>
        <w:t xml:space="preserve">doesn’t work</w:t>
      </w:r>
    </w:p>
    <w:p>
      <w:pPr>
        <w:pStyle w:val="Compact"/>
        <w:numPr>
          <w:ilvl w:val="0"/>
          <w:numId w:val="1007"/>
        </w:numPr>
      </w:pPr>
      <w:r>
        <w:t xml:space="preserve">most transmission is via fleas leaving dying rats</w:t>
      </w:r>
    </w:p>
    <w:p>
      <w:pPr>
        <w:pStyle w:val="Compact"/>
        <w:numPr>
          <w:ilvl w:val="0"/>
          <w:numId w:val="1007"/>
        </w:numPr>
      </w:pPr>
      <w:r>
        <w:t xml:space="preserve">‘infectious period’</w:t>
      </w:r>
      <w:r>
        <w:t xml:space="preserve"> </w:t>
      </w:r>
      <w:r>
        <w:t xml:space="preserve">is a burst at the end of the infection</w:t>
      </w:r>
    </w:p>
    <w:p>
      <w:pPr>
        <w:pStyle w:val="Compact"/>
        <w:numPr>
          <w:ilvl w:val="0"/>
          <w:numId w:val="1007"/>
        </w:numPr>
      </w:pPr>
      <w:r>
        <w:t xml:space="preserve">how can PLA-depleted strains evolve (repeatedly)?</w:t>
      </w:r>
    </w:p>
    <w:bookmarkEnd w:id="98"/>
    <w:bookmarkStart w:id="102" w:name="burnout-theory"/>
    <w:p>
      <w:pPr>
        <w:pStyle w:val="Heading2"/>
      </w:pPr>
      <w:r>
        <w:t xml:space="preserve">burnout theory</w:t>
      </w:r>
    </w:p>
    <w:p>
      <w:pPr>
        <w:pStyle w:val="FirstParagraph"/>
      </w:pPr>
      <w:r>
        <w:t xml:space="preserve">Parsons et al. (2024)</w:t>
      </w:r>
    </w:p>
    <w:p>
      <w:pPr>
        <w:pStyle w:val="BodyText"/>
      </w:pPr>
      <w:r>
        <w:drawing>
          <wp:inline>
            <wp:extent cx="2667000" cy="2488804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pix/burnou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8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3" w:name="metapopulation-model"/>
    <w:p>
      <w:pPr>
        <w:pStyle w:val="Heading2"/>
      </w:pPr>
      <w:r>
        <w:t xml:space="preserve">metapopulation model</w:t>
      </w:r>
    </w:p>
    <w:bookmarkEnd w:id="103"/>
    <w:bookmarkStart w:id="107" w:name="metapopulation-results"/>
    <w:p>
      <w:pPr>
        <w:pStyle w:val="Heading2"/>
      </w:pPr>
      <w:r>
        <w:t xml:space="preserve">metapopulation results</w:t>
      </w:r>
    </w:p>
    <w:p>
      <w:pPr>
        <w:pStyle w:val="FirstParagraph"/>
      </w:pPr>
      <w:r>
        <w:drawing>
          <wp:inline>
            <wp:extent cx="3733800" cy="375773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pix/metapop_ex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7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08" w:name="ref-deanEpidemiologyPlagueEurope2019"/>
    <w:p>
      <w:pPr>
        <w:pStyle w:val="Bibliography"/>
      </w:pPr>
      <w:r>
        <w:t xml:space="preserve">Dean, K. R. (2019).</w:t>
      </w:r>
      <w:r>
        <w:t xml:space="preserve"> </w:t>
      </w:r>
      <w:r>
        <w:rPr>
          <w:i/>
          <w:iCs/>
        </w:rPr>
        <w:t xml:space="preserve">The epidemiology of plague in</w:t>
      </w:r>
      <w:r>
        <w:rPr>
          <w:i/>
          <w:iCs/>
        </w:rPr>
        <w:t xml:space="preserve"> </w:t>
      </w:r>
      <w:r>
        <w:rPr>
          <w:i/>
          <w:iCs/>
        </w:rPr>
        <w:t xml:space="preserve">Europe</w:t>
      </w:r>
      <w:r>
        <w:rPr>
          <w:i/>
          <w:iCs/>
        </w:rPr>
        <w:t xml:space="preserve">: Inferring transmission dynamics from historical data</w:t>
      </w:r>
      <w:r>
        <w:t xml:space="preserve"> </w:t>
      </w:r>
      <w:r>
        <w:t xml:space="preserve">[Doctoral Thesis].</w:t>
      </w:r>
    </w:p>
    <w:bookmarkEnd w:id="108"/>
    <w:bookmarkStart w:id="110" w:name="ref-deanHuman2018"/>
    <w:p>
      <w:pPr>
        <w:pStyle w:val="Bibliography"/>
      </w:pPr>
      <w:r>
        <w:t xml:space="preserve">Dean, K. R., Krauer, F., Walløe, L., Lingjærde, O. C., Bramanti, B., Stenseth, N. C., &amp; Schmid, B. V. (2018). Human ectoparasites and the spread of plague in</w:t>
      </w:r>
      <w:r>
        <w:t xml:space="preserve"> </w:t>
      </w:r>
      <w:r>
        <w:t xml:space="preserve">Europe</w:t>
      </w:r>
      <w:r>
        <w:t xml:space="preserve"> </w:t>
      </w:r>
      <w:r>
        <w:t xml:space="preserve">during the</w:t>
      </w:r>
      <w:r>
        <w:t xml:space="preserve"> </w:t>
      </w:r>
      <w:r>
        <w:t xml:space="preserve">Second Pandemic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201715640.</w:t>
      </w:r>
      <w:r>
        <w:t xml:space="preserve"> </w:t>
      </w:r>
      <w:hyperlink r:id="rId109">
        <w:r>
          <w:rPr>
            <w:rStyle w:val="Hyperlink"/>
          </w:rPr>
          <w:t xml:space="preserve">https://doi.org/10.1073/pnas.1715640115</w:t>
        </w:r>
      </w:hyperlink>
    </w:p>
    <w:bookmarkEnd w:id="110"/>
    <w:bookmarkStart w:id="112" w:name="ref-earn_acceleration_2020"/>
    <w:p>
      <w:pPr>
        <w:pStyle w:val="Bibliography"/>
      </w:pPr>
      <w:r>
        <w:t xml:space="preserve">Earn, D. J. D., Ma, J., Poinar, H., Dushoff, J., &amp; Bolker, B. M. (2020). Acceleration of plague outbreaks in the second pandemic.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117</w:t>
      </w:r>
      <w:r>
        <w:t xml:space="preserve">(44), 27703–27711.</w:t>
      </w:r>
      <w:r>
        <w:t xml:space="preserve"> </w:t>
      </w:r>
      <w:hyperlink r:id="rId111">
        <w:r>
          <w:rPr>
            <w:rStyle w:val="Hyperlink"/>
          </w:rPr>
          <w:t xml:space="preserve">https://doi.org/10.1073/pnas.2004904117</w:t>
        </w:r>
      </w:hyperlink>
    </w:p>
    <w:bookmarkEnd w:id="112"/>
    <w:bookmarkStart w:id="114" w:name="ref-harbeckYersiniaPestisDNA2013"/>
    <w:p>
      <w:pPr>
        <w:pStyle w:val="Bibliography"/>
      </w:pPr>
      <w:r>
        <w:t xml:space="preserve">Harbeck, M., Seifert, L., Hänsch, S., Wagner, D. M., Birdsell, D., Parise, K. L., Wiechmann, I., Grupe, G., Thomas, A., Keim, P., Zöller, L., Bramanti, B., Riehm, J. M., &amp; Scholz, H. C. (2013). Yersinia pestis</w:t>
      </w:r>
      <w:r>
        <w:t xml:space="preserve"> </w:t>
      </w:r>
      <w:r>
        <w:t xml:space="preserve">DNA</w:t>
      </w:r>
      <w:r>
        <w:t xml:space="preserve"> </w:t>
      </w:r>
      <w:r>
        <w:t xml:space="preserve">from</w:t>
      </w:r>
      <w:r>
        <w:t xml:space="preserve"> </w:t>
      </w:r>
      <w:r>
        <w:t xml:space="preserve">Skeletal Remains</w:t>
      </w:r>
      <w:r>
        <w:t xml:space="preserve"> </w:t>
      </w:r>
      <w:r>
        <w:t xml:space="preserve">from the 6th</w:t>
      </w:r>
      <w:r>
        <w:t xml:space="preserve"> </w:t>
      </w:r>
      <w:r>
        <w:t xml:space="preserve">Century AD Reveals Insights</w:t>
      </w:r>
      <w:r>
        <w:t xml:space="preserve"> </w:t>
      </w:r>
      <w:r>
        <w:t xml:space="preserve">into</w:t>
      </w:r>
      <w:r>
        <w:t xml:space="preserve"> </w:t>
      </w:r>
      <w:r>
        <w:t xml:space="preserve">Justinianic Plague</w:t>
      </w:r>
      <w:r>
        <w:t xml:space="preserve">.</w:t>
      </w:r>
      <w:r>
        <w:t xml:space="preserve"> </w:t>
      </w:r>
      <w:r>
        <w:rPr>
          <w:i/>
          <w:iCs/>
        </w:rPr>
        <w:t xml:space="preserve">PLOS Pathogens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(5), e1003349.</w:t>
      </w:r>
      <w:r>
        <w:t xml:space="preserve"> </w:t>
      </w:r>
      <w:hyperlink r:id="rId113">
        <w:r>
          <w:rPr>
            <w:rStyle w:val="Hyperlink"/>
          </w:rPr>
          <w:t xml:space="preserve">https://doi.org/10.1371/journal.ppat.1003349</w:t>
        </w:r>
      </w:hyperlink>
    </w:p>
    <w:bookmarkEnd w:id="114"/>
    <w:bookmarkStart w:id="116" w:name="ref-parsonsprobability2024a"/>
    <w:p>
      <w:pPr>
        <w:pStyle w:val="Bibliography"/>
      </w:pPr>
      <w:r>
        <w:t xml:space="preserve">Parsons, T. L., Bolker, B. M., Dushoff, J., &amp; Earn, D. J. D. (2024). The probability of epidemic burnout in the stochastic</w:t>
      </w:r>
      <w:r>
        <w:t xml:space="preserve"> </w:t>
      </w:r>
      <w:r>
        <w:t xml:space="preserve">SIR</w:t>
      </w:r>
      <w:r>
        <w:t xml:space="preserve"> </w:t>
      </w:r>
      <w:r>
        <w:t xml:space="preserve">model with vital dynamics.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121</w:t>
      </w:r>
      <w:r>
        <w:t xml:space="preserve">(5), e2313708120.</w:t>
      </w:r>
      <w:r>
        <w:t xml:space="preserve"> </w:t>
      </w:r>
      <w:hyperlink r:id="rId115">
        <w:r>
          <w:rPr>
            <w:rStyle w:val="Hyperlink"/>
          </w:rPr>
          <w:t xml:space="preserve">https://doi.org/10.1073/pnas.2313708120</w:t>
        </w:r>
      </w:hyperlink>
    </w:p>
    <w:bookmarkEnd w:id="116"/>
    <w:bookmarkStart w:id="118" w:name="ref-sidhuAttenuation2025"/>
    <w:p>
      <w:pPr>
        <w:pStyle w:val="Bibliography"/>
      </w:pPr>
      <w:r>
        <w:t xml:space="preserve">Sidhu, R. K., Mas Fiol, G., Lê-Bury, P., Demeure, C. E., Bougit, E., Beau, R., Balière, C., Kwasiborski, A., Caro, V., Klunk, J., Salkeld, D. J., Carmichael, A., Varlık, N., Poinar, D., Earn, D. J. D., Bolker, B. M., Dushoff, J., Golding, G. B., Rascovan, N., … Poinar, H. N. (2025). Attenuation of virulence in</w:t>
      </w:r>
      <w:r>
        <w:t xml:space="preserve"> </w:t>
      </w:r>
      <w:r>
        <w:rPr>
          <w:i/>
          <w:iCs/>
        </w:rPr>
        <w:t xml:space="preserve">Yersinia pestis</w:t>
      </w:r>
      <w:r>
        <w:t xml:space="preserve"> </w:t>
      </w:r>
      <w:r>
        <w:t xml:space="preserve">across three plague pandemics.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388</w:t>
      </w:r>
      <w:r>
        <w:t xml:space="preserve">(6750), eadt3880.</w:t>
      </w:r>
      <w:r>
        <w:t xml:space="preserve"> </w:t>
      </w:r>
      <w:hyperlink r:id="rId117">
        <w:r>
          <w:rPr>
            <w:rStyle w:val="Hyperlink"/>
          </w:rPr>
          <w:t xml:space="preserve">https://doi.org/10.1126/science.adt3880</w:t>
        </w:r>
      </w:hyperlink>
    </w:p>
    <w:bookmarkEnd w:id="118"/>
    <w:bookmarkEnd w:id="1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2025-12-01 10:14:33.494363</w:t>
      </w:r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jpg" /><Relationship Type="http://schemas.openxmlformats.org/officeDocument/2006/relationships/image" Id="rId77" Target="media/rId77.png" /><Relationship Type="http://schemas.openxmlformats.org/officeDocument/2006/relationships/image" Id="rId99" Target="media/rId99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32" Target="media/rId32.png" /><Relationship Type="http://schemas.openxmlformats.org/officeDocument/2006/relationships/image" Id="rId73" Target="media/rId73.png" /><Relationship Type="http://schemas.openxmlformats.org/officeDocument/2006/relationships/image" Id="rId26" Target="media/rId26.png" /><Relationship Type="http://schemas.openxmlformats.org/officeDocument/2006/relationships/image" Id="rId104" Target="media/rId104.png" /><Relationship Type="http://schemas.openxmlformats.org/officeDocument/2006/relationships/image" Id="rId21" Target="media/rId21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49" Target="media/rId49.jp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hyperlink" Id="rId29" Target="https://cdn.britannica.com/98/6698-004-B92A927B.gif" TargetMode="External" /><Relationship Type="http://schemas.openxmlformats.org/officeDocument/2006/relationships/hyperlink" Id="rId109" Target="https://doi.org/10.1073/pnas.1715640115" TargetMode="External" /><Relationship Type="http://schemas.openxmlformats.org/officeDocument/2006/relationships/hyperlink" Id="rId111" Target="https://doi.org/10.1073/pnas.2004904117" TargetMode="External" /><Relationship Type="http://schemas.openxmlformats.org/officeDocument/2006/relationships/hyperlink" Id="rId115" Target="https://doi.org/10.1073/pnas.2313708120" TargetMode="External" /><Relationship Type="http://schemas.openxmlformats.org/officeDocument/2006/relationships/hyperlink" Id="rId117" Target="https://doi.org/10.1126/science.adt3880" TargetMode="External" /><Relationship Type="http://schemas.openxmlformats.org/officeDocument/2006/relationships/hyperlink" Id="rId113" Target="https://doi.org/10.1371/journal.ppat.100334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dn.britannica.com/98/6698-004-B92A927B.gif" TargetMode="External" /><Relationship Type="http://schemas.openxmlformats.org/officeDocument/2006/relationships/hyperlink" Id="rId109" Target="https://doi.org/10.1073/pnas.1715640115" TargetMode="External" /><Relationship Type="http://schemas.openxmlformats.org/officeDocument/2006/relationships/hyperlink" Id="rId111" Target="https://doi.org/10.1073/pnas.2004904117" TargetMode="External" /><Relationship Type="http://schemas.openxmlformats.org/officeDocument/2006/relationships/hyperlink" Id="rId115" Target="https://doi.org/10.1073/pnas.2313708120" TargetMode="External" /><Relationship Type="http://schemas.openxmlformats.org/officeDocument/2006/relationships/hyperlink" Id="rId117" Target="https://doi.org/10.1126/science.adt3880" TargetMode="External" /><Relationship Type="http://schemas.openxmlformats.org/officeDocument/2006/relationships/hyperlink" Id="rId113" Target="https://doi.org/10.1371/journal.ppat.100334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historical epidemiology of plague</dc:title>
  <dc:creator/>
  <cp:keywords/>
  <dcterms:created xsi:type="dcterms:W3CDTF">2025-12-01T15:14:33Z</dcterms:created>
  <dcterms:modified xsi:type="dcterms:W3CDTF">2025-12-01T15:14:33Z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csl">
    <vt:lpwstr>apa.csl</vt:lpwstr>
  </property>
  <property fmtid="{D5CDD505-2E9C-101B-9397-08002B2CF9AE}" pid="4" name="date">
    <vt:lpwstr>1 December 2025</vt:lpwstr>
  </property>
  <property fmtid="{D5CDD505-2E9C-101B-9397-08002B2CF9AE}" pid="5" name="header-includes">
    <vt:lpwstr/>
  </property>
</Properties>
</file>