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7767"/>
      </w:tblGrid>
      <w:tr w:rsidR="00AE0A29">
        <w:trPr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3"/>
              <w:jc w:val="left"/>
            </w:pPr>
            <w:r>
              <w:rPr>
                <w:noProof/>
              </w:rPr>
              <w:drawing>
                <wp:inline distT="0" distB="0" distL="0" distR="0">
                  <wp:extent cx="846000" cy="9544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00" cy="95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7" w:type="dxa"/>
            <w:vAlign w:val="center"/>
          </w:tcPr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Федеральное государственное бюджетное образовательное учреждение высшего образования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«Московский государственный технический университет имени Н.Э. Баумана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:rsidR="00AE0A29" w:rsidRDefault="00000000">
            <w:pPr>
              <w:pStyle w:val="afff3"/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:rsidR="00AE0A29" w:rsidRDefault="00AE0A29">
      <w:pPr>
        <w:pStyle w:val="afff3"/>
        <w:pBdr>
          <w:bottom w:val="single" w:sz="8" w:space="1" w:color="000000"/>
        </w:pBdr>
        <w:spacing w:before="80"/>
      </w:pPr>
    </w:p>
    <w:p w:rsidR="00AE0A29" w:rsidRDefault="00000000">
      <w:pPr>
        <w:pStyle w:val="afff3"/>
        <w:pBdr>
          <w:bottom w:val="single" w:sz="8" w:space="1" w:color="000000"/>
        </w:pBdr>
        <w:tabs>
          <w:tab w:val="left" w:pos="1587"/>
        </w:tabs>
        <w:spacing w:before="400"/>
        <w:jc w:val="left"/>
      </w:pPr>
      <w:r>
        <w:t>ФАКУЛЬТЕТ</w:t>
      </w:r>
      <w:r>
        <w:tab/>
        <w:t>«Информатика и системы управления (ИУ)»</w:t>
      </w:r>
    </w:p>
    <w:p w:rsidR="00AE0A29" w:rsidRDefault="00000000">
      <w:pPr>
        <w:pStyle w:val="afff3"/>
        <w:pBdr>
          <w:bottom w:val="single" w:sz="8" w:space="1" w:color="000000"/>
        </w:pBdr>
        <w:tabs>
          <w:tab w:val="left" w:pos="1587"/>
        </w:tabs>
        <w:spacing w:before="120"/>
        <w:jc w:val="left"/>
      </w:pPr>
      <w:r>
        <w:t>КАФЕДРА</w:t>
      </w:r>
      <w:r>
        <w:tab/>
      </w:r>
      <w:r w:rsidR="00A76E3E">
        <w:tab/>
      </w:r>
      <w:r>
        <w:t>«Информационная безопасность (ИУ8)»</w:t>
      </w:r>
    </w:p>
    <w:p w:rsidR="00AE0A29" w:rsidRDefault="00000000">
      <w:pPr>
        <w:pStyle w:val="afff3"/>
        <w:spacing w:before="2400" w:after="80"/>
      </w:pPr>
      <w:r>
        <w:rPr>
          <w:b/>
          <w:sz w:val="40"/>
        </w:rPr>
        <w:t>Лабораторная работа № 1</w:t>
      </w:r>
    </w:p>
    <w:p w:rsidR="00AE0A29" w:rsidRDefault="00000000">
      <w:pPr>
        <w:pStyle w:val="afff3"/>
        <w:spacing w:after="360"/>
      </w:pPr>
      <w:r>
        <w:rPr>
          <w:b/>
        </w:rPr>
        <w:t>по дисциплине: «Технологии обеспечения ИБ объектов»</w:t>
      </w:r>
    </w:p>
    <w:p w:rsidR="00AE0A29" w:rsidRDefault="00000000">
      <w:pPr>
        <w:pStyle w:val="afff3"/>
        <w:spacing w:after="360"/>
      </w:pPr>
      <w:r>
        <w:t>Тема: «Контроль защищенности речевой информации от утечки по акустическим (виброакустическим) техническим каналам»</w:t>
      </w:r>
    </w:p>
    <w:p w:rsidR="00AE0A29" w:rsidRDefault="00000000">
      <w:pPr>
        <w:pStyle w:val="afff3"/>
        <w:spacing w:after="800"/>
      </w:pPr>
      <w:r>
        <w:t>Вариант № 7</w:t>
      </w:r>
    </w:p>
    <w:p w:rsidR="00A76E3E" w:rsidRDefault="00A76E3E">
      <w:pPr>
        <w:pStyle w:val="afff3"/>
        <w:spacing w:after="800"/>
      </w:pPr>
    </w:p>
    <w:p w:rsidR="00A76E3E" w:rsidRDefault="00A76E3E">
      <w:pPr>
        <w:pStyle w:val="afff3"/>
        <w:spacing w:after="800"/>
      </w:pPr>
    </w:p>
    <w:tbl>
      <w:tblPr>
        <w:tblW w:w="5555" w:type="dxa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968"/>
      </w:tblGrid>
      <w:tr w:rsidR="00AE0A29">
        <w:trPr>
          <w:jc w:val="right"/>
        </w:trPr>
        <w:tc>
          <w:tcPr>
            <w:tcW w:w="1587" w:type="dxa"/>
          </w:tcPr>
          <w:p w:rsidR="00AE0A29" w:rsidRDefault="00000000">
            <w:pPr>
              <w:pStyle w:val="afff3"/>
              <w:spacing w:before="80"/>
              <w:jc w:val="left"/>
            </w:pPr>
            <w:r>
              <w:rPr>
                <w:b/>
              </w:rPr>
              <w:t>Студент:</w:t>
            </w:r>
          </w:p>
        </w:tc>
        <w:tc>
          <w:tcPr>
            <w:tcW w:w="3969" w:type="dxa"/>
          </w:tcPr>
          <w:p w:rsidR="00AE0A29" w:rsidRDefault="00000000">
            <w:pPr>
              <w:pStyle w:val="afff3"/>
              <w:spacing w:before="80"/>
              <w:jc w:val="left"/>
            </w:pPr>
            <w:r>
              <w:t>Петров И.Е.</w:t>
            </w:r>
          </w:p>
        </w:tc>
      </w:tr>
      <w:tr w:rsidR="00AE0A29">
        <w:trPr>
          <w:jc w:val="right"/>
        </w:trPr>
        <w:tc>
          <w:tcPr>
            <w:tcW w:w="1587" w:type="dxa"/>
          </w:tcPr>
          <w:p w:rsidR="00AE0A29" w:rsidRDefault="00000000">
            <w:pPr>
              <w:pStyle w:val="afff3"/>
              <w:spacing w:before="80"/>
              <w:jc w:val="left"/>
            </w:pPr>
            <w:r>
              <w:rPr>
                <w:b/>
              </w:rPr>
              <w:t>Группа:</w:t>
            </w:r>
          </w:p>
        </w:tc>
        <w:tc>
          <w:tcPr>
            <w:tcW w:w="3969" w:type="dxa"/>
          </w:tcPr>
          <w:p w:rsidR="00AE0A29" w:rsidRDefault="00000000">
            <w:pPr>
              <w:pStyle w:val="afff3"/>
              <w:spacing w:before="80"/>
              <w:jc w:val="left"/>
            </w:pPr>
            <w:r>
              <w:t>ИУ8-13М</w:t>
            </w:r>
          </w:p>
        </w:tc>
      </w:tr>
      <w:tr w:rsidR="00AE0A29">
        <w:trPr>
          <w:jc w:val="right"/>
        </w:trPr>
        <w:tc>
          <w:tcPr>
            <w:tcW w:w="1587" w:type="dxa"/>
          </w:tcPr>
          <w:p w:rsidR="00AE0A29" w:rsidRDefault="00000000">
            <w:pPr>
              <w:pStyle w:val="afff3"/>
              <w:spacing w:before="320"/>
              <w:jc w:val="left"/>
            </w:pPr>
            <w:r>
              <w:rPr>
                <w:b/>
              </w:rPr>
              <w:t>Проверил:</w:t>
            </w:r>
          </w:p>
        </w:tc>
        <w:tc>
          <w:tcPr>
            <w:tcW w:w="3969" w:type="dxa"/>
          </w:tcPr>
          <w:p w:rsidR="00AE0A29" w:rsidRDefault="00000000">
            <w:pPr>
              <w:pStyle w:val="afff3"/>
              <w:spacing w:before="320"/>
              <w:jc w:val="left"/>
            </w:pPr>
            <w:r>
              <w:t xml:space="preserve">Медведев </w:t>
            </w:r>
            <w:r w:rsidR="00A76E3E">
              <w:t>Н</w:t>
            </w:r>
            <w:r>
              <w:t>.</w:t>
            </w:r>
            <w:r w:rsidR="00A76E3E">
              <w:t>В</w:t>
            </w:r>
            <w:r>
              <w:t>.</w:t>
            </w:r>
          </w:p>
        </w:tc>
      </w:tr>
    </w:tbl>
    <w:p w:rsidR="00AE0A29" w:rsidRDefault="00000000">
      <w:pPr>
        <w:pStyle w:val="aff9"/>
      </w:pPr>
      <w:r>
        <w:lastRenderedPageBreak/>
        <w:t>1 Цель работы и постановка задачи</w:t>
      </w:r>
    </w:p>
    <w:p w:rsidR="00AE0A29" w:rsidRDefault="00000000">
      <w:r>
        <w:t>Цель работы – провести контроль защищенности речевой информации от утечки по акустическим (виброакустическим) техническим каналам [1]. Отчёт оформлен в соответствии с ГОСТ 7.32-2017 [2].</w:t>
      </w:r>
    </w:p>
    <w:p w:rsidR="00AE0A29" w:rsidRDefault="00000000">
      <w:pPr>
        <w:keepNext/>
      </w:pPr>
      <w:r>
        <w:t>В ходе лабораторной работы необходимо:</w:t>
      </w:r>
    </w:p>
    <w:p w:rsidR="00AE0A29" w:rsidRDefault="00000000">
      <w:r>
        <w:t>1) произвести расчёт значений октавного уровня отношения «сигнал/шум» на основе исходных данных;</w:t>
      </w:r>
    </w:p>
    <w:p w:rsidR="00AE0A29" w:rsidRDefault="00000000">
      <w:r>
        <w:t>2) произвести расчёт словесной разборчивости речи на основе исходных данных;</w:t>
      </w:r>
    </w:p>
    <w:p w:rsidR="00AE0A29" w:rsidRDefault="00000000">
      <w:r>
        <w:t>3) сравнить полученные значения с нормированными, сделать вывод о выполнении норм защищенности помещения от утечки речевой информации и, в случае их невыполнения, сформулировать предложения по обеспечению требуемого уровня защищенности.</w:t>
      </w:r>
    </w:p>
    <w:p w:rsidR="00AE0A29" w:rsidRDefault="00000000">
      <w:r>
        <w:t>Исходные данные для варианта № 7 приведены в таблице 1. Объектом контроля является служебный кабинет технологического бюро, который относится к помещениям общего назначения (категория ОН) [1].</w:t>
      </w:r>
    </w:p>
    <w:p w:rsidR="00AE0A29" w:rsidRDefault="00000000">
      <w:pPr>
        <w:pStyle w:val="affe"/>
      </w:pPr>
      <w:r>
        <w:t>Таблица 1 – Исходные данные для проведения расчётов</w:t>
      </w:r>
    </w:p>
    <w:tbl>
      <w:tblPr>
        <w:tblStyle w:val="aff0"/>
        <w:tblW w:w="8220" w:type="dxa"/>
        <w:jc w:val="center"/>
        <w:tblLayout w:type="fixed"/>
        <w:tblLook w:val="04A0" w:firstRow="1" w:lastRow="0" w:firstColumn="1" w:lastColumn="0" w:noHBand="0" w:noVBand="1"/>
      </w:tblPr>
      <w:tblGrid>
        <w:gridCol w:w="4818"/>
        <w:gridCol w:w="3402"/>
      </w:tblGrid>
      <w:tr w:rsidR="00AE0A29">
        <w:trPr>
          <w:cantSplit/>
          <w:tblHeader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Параметр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Значение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Вариант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Уровни речевого сигнала, дБ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40, 39, 36, 34, 33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Уровни шумов, дБ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58, 57, 54, 53, 50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Канал утечки информации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г (см. рисунок 1)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Категория помещения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ОН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</w:pPr>
            <w:r>
              <w:t>Язык речевого сигнала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</w:pPr>
            <w:r>
              <w:t>русский</w:t>
            </w:r>
          </w:p>
        </w:tc>
      </w:tr>
    </w:tbl>
    <w:p w:rsidR="00AE0A29" w:rsidRDefault="00AE0A29">
      <w:pPr>
        <w:pStyle w:val="afff4"/>
      </w:pPr>
    </w:p>
    <w:p w:rsidR="00AE0A29" w:rsidRDefault="00000000">
      <w:r>
        <w:t>Основные каналы утечки речевой информации показаны на рисунке 1. Каналы «а», «б», «в» относятся к акустическим, каналы «г», «д», «е» – к виброакустическим [1]. Канал «г», заданный в варианте, образуется колебаниями ограждающей конструкции (стены) под действием звуковых волн: для перехвата информации достаточно зафиксировать вибрацию самой конструкции с помощью датчика (акселерометра, виброметра), поэтому такой канал является одним из наиболее опасных [1].</w:t>
      </w:r>
    </w:p>
    <w:p w:rsidR="00AE0A29" w:rsidRDefault="00000000">
      <w:pPr>
        <w:pStyle w:val="afff0"/>
      </w:pPr>
      <w:r>
        <w:rPr>
          <w:noProof/>
        </w:rPr>
        <w:lastRenderedPageBreak/>
        <w:drawing>
          <wp:inline distT="0" distB="0" distL="0" distR="0">
            <wp:extent cx="3780000" cy="29888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nnel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1 – Основные каналы утечки речевой информации (В.П. – выделенное помещение)</w:t>
      </w:r>
    </w:p>
    <w:p w:rsidR="00AE0A29" w:rsidRDefault="00000000">
      <w:pPr>
        <w:pStyle w:val="aff9"/>
      </w:pPr>
      <w:r>
        <w:lastRenderedPageBreak/>
        <w:t>2 Ход работы</w:t>
      </w:r>
    </w:p>
    <w:p w:rsidR="00AE0A29" w:rsidRDefault="00000000">
      <w:pPr>
        <w:pStyle w:val="affb"/>
      </w:pPr>
      <w:r>
        <w:t>2.1 Расчёт октавного отношения «сигнал/шум»</w:t>
      </w:r>
    </w:p>
    <w:p w:rsidR="00AE0A29" w:rsidRDefault="00000000">
      <w:pPr>
        <w:keepNext/>
      </w:pPr>
      <w:r>
        <w:t>Значение уровня октавного отношения «сигнал/шум» является основным показателем защищенности речевой информации от утечки по акустическому (виброакустическому) техническому каналу и находится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С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Ш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m:t>т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(1)</w:t>
            </w:r>
          </w:p>
        </w:tc>
      </w:tr>
    </w:tbl>
    <w:p w:rsidR="00AE0A29" w:rsidRDefault="00000000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спектральный уровень речевого сигнала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уровень шума (помехи)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т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40 </m:t>
        </m:r>
        <m:r>
          <m:rPr>
            <m:nor/>
          </m:rPr>
          <m:t>дБ</m:t>
        </m:r>
      </m:oMath>
      <w:r>
        <w:t xml:space="preserve"> – поправка, позволяющая получить превышение сигнала над помехой в контрольной точке и повысить достоверность и точность измерений.</w:t>
      </w:r>
    </w:p>
    <w:p w:rsidR="00AE0A29" w:rsidRDefault="00000000">
      <w:r>
        <w:t xml:space="preserve">Величина поправки устанавливается максимально возможной для конкретного передающего измерительного комплекса. Примем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т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35 </m:t>
        </m:r>
        <m:r>
          <m:rPr>
            <m:nor/>
          </m:rPr>
          <m:t>дБ</m:t>
        </m:r>
      </m:oMath>
      <w:r>
        <w:t>.</w:t>
      </w:r>
    </w:p>
    <w:p w:rsidR="00AE0A29" w:rsidRDefault="00000000">
      <w:r>
        <w:t>Измерения проводятся в пяти октавных полосах со среднегеометрическими частотами 250, 500, 1000, 2000 и 4000 Гц (таблица 2) [1].</w:t>
      </w:r>
    </w:p>
    <w:p w:rsidR="00AE0A29" w:rsidRDefault="00000000">
      <w:pPr>
        <w:pStyle w:val="affe"/>
      </w:pPr>
      <w:r>
        <w:t>Таблица 2 – Значения октавных полос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3685"/>
        <w:gridCol w:w="3402"/>
      </w:tblGrid>
      <w:tr w:rsidR="00AE0A29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Границы полосы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н</m:t>
                  </m:r>
                </m:sub>
              </m:sSub>
            </m:oMath>
            <w:r>
              <w:t>–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</m:t>
                  </m:r>
                </m:sub>
              </m:sSub>
            </m:oMath>
            <w:r>
              <w:t>, Гц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Средняя частота полосы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180 – 355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 – 710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 – 1400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 – 2800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3685" w:type="dxa"/>
            <w:vAlign w:val="center"/>
          </w:tcPr>
          <w:p w:rsidR="00AE0A29" w:rsidRDefault="00000000">
            <w:pPr>
              <w:pStyle w:val="afff1"/>
            </w:pPr>
            <w:r>
              <w:t>2800 – 5600</w:t>
            </w:r>
          </w:p>
        </w:tc>
        <w:tc>
          <w:tcPr>
            <w:tcW w:w="3402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>Подставив исходные данные из таблицы 1 в формулу (1), получим: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54 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52 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lastRenderedPageBreak/>
        <w:t xml:space="preserve">Нормированные значения уровня отношения «сигнал/шум»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н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для объектов различных категорий приведены в таблице 3 [1].</w:t>
      </w:r>
    </w:p>
    <w:p w:rsidR="00AE0A29" w:rsidRDefault="00000000">
      <w:pPr>
        <w:pStyle w:val="affe"/>
      </w:pPr>
      <w:r>
        <w:t>Таблица 3 – Нормированные значения уровня отношения «сигнал/шум»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9"/>
        <w:gridCol w:w="1247"/>
        <w:gridCol w:w="1247"/>
        <w:gridCol w:w="1247"/>
        <w:gridCol w:w="1247"/>
        <w:gridCol w:w="1247"/>
      </w:tblGrid>
      <w:tr w:rsidR="00AE0A29">
        <w:trPr>
          <w:cantSplit/>
          <w:tblHeader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Категория объекта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4000 Гц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 категория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−7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−15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−20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II категория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−9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−15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−17</w:t>
            </w:r>
          </w:p>
        </w:tc>
      </w:tr>
      <w:tr w:rsidR="00AE0A29">
        <w:trPr>
          <w:cantSplit/>
          <w:jc w:val="center"/>
        </w:trPr>
        <w:tc>
          <w:tcPr>
            <w:tcW w:w="3118" w:type="dxa"/>
            <w:vAlign w:val="center"/>
          </w:tcPr>
          <w:p w:rsidR="00AE0A29" w:rsidRDefault="00000000">
            <w:pPr>
              <w:pStyle w:val="afff2"/>
            </w:pPr>
            <w:r>
              <w:t>ОН (общего назначения)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−6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−11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−13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>Нормы защищенности информации от утечки по акустическим (виброакустическим) техническим каналам по данному показателю выполняются, если во всех октавных полосах выполняется условие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(2)</w:t>
            </w:r>
          </w:p>
        </w:tc>
      </w:tr>
    </w:tbl>
    <w:p w:rsidR="00AE0A29" w:rsidRDefault="00000000">
      <w:r>
        <w:t>Помещение относится к категории ОН (общего назначения), поэтому результаты расчёта сравниваются с нормой для этой категории (таблица 4).</w:t>
      </w:r>
    </w:p>
    <w:p w:rsidR="00AE0A29" w:rsidRDefault="00000000">
      <w:pPr>
        <w:pStyle w:val="affe"/>
      </w:pPr>
      <w:r>
        <w:t>Таблица 4 – Результаты расчёта октавного отношения «сигнал/шум» и сравнение с нормой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247"/>
        <w:gridCol w:w="1247"/>
        <w:gridCol w:w="1247"/>
        <w:gridCol w:w="1247"/>
        <w:gridCol w:w="2098"/>
      </w:tblGrid>
      <w:tr w:rsidR="00AE0A29">
        <w:trPr>
          <w:cantSplit/>
          <w:tblHeader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С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Ш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Условие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58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39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57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−6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36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−8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−54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−11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Выполняется</w:t>
            </w:r>
          </w:p>
        </w:tc>
      </w:tr>
      <w:tr w:rsidR="00AE0A29">
        <w:trPr>
          <w:cantSplit/>
          <w:jc w:val="center"/>
        </w:trPr>
        <w:tc>
          <w:tcPr>
            <w:tcW w:w="1134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134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33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50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−52</w:t>
            </w:r>
          </w:p>
        </w:tc>
        <w:tc>
          <w:tcPr>
            <w:tcW w:w="1247" w:type="dxa"/>
            <w:vAlign w:val="center"/>
          </w:tcPr>
          <w:p w:rsidR="00AE0A29" w:rsidRDefault="00000000">
            <w:pPr>
              <w:pStyle w:val="afff1"/>
            </w:pPr>
            <w:r>
              <w:t>−13</w:t>
            </w:r>
          </w:p>
        </w:tc>
        <w:tc>
          <w:tcPr>
            <w:tcW w:w="2098" w:type="dxa"/>
            <w:vAlign w:val="center"/>
          </w:tcPr>
          <w:p w:rsidR="00AE0A29" w:rsidRDefault="00000000">
            <w:pPr>
              <w:pStyle w:val="afff1"/>
            </w:pPr>
            <w:r>
              <w:t>Выполняется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pStyle w:val="affa"/>
      </w:pPr>
      <w:r>
        <w:lastRenderedPageBreak/>
        <w:t>2.2 Расчёт словесной разборчивости речи</w:t>
      </w:r>
    </w:p>
    <w:p w:rsidR="00AE0A29" w:rsidRDefault="00000000">
      <w:pPr>
        <w:keepNext/>
      </w:pPr>
      <w:r>
        <w:t xml:space="preserve">Разборчивость речи – относительное количество правильно принятых элементов (слогов, слов, фраз) артикуляционных таблиц [1]. Вторым показателем защищенности речевой информации от утечки по акустическому (виброакустическому) техническому каналу является словесная разборчивость речи </w:t>
      </w:r>
      <m:oMath>
        <m:r>
          <w:rPr>
            <w:rFonts w:ascii="Cambria Math" w:hAnsi="Cambria Math"/>
          </w:rPr>
          <m:t>W</m:t>
        </m:r>
      </m:oMath>
      <w:r>
        <w:t>, которая рассчитывается по формуле (3) в диапазоне значений от 0 до 1. Метод основан на экспериментальных исследованиях Н.Б. Покровского [1].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54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25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-exp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11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7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den>
                              </m:f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≥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(3)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R</m:t>
        </m:r>
      </m:oMath>
      <w:r>
        <w:t xml:space="preserve"> – интегральный индекс артикуляции речи, определяемый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(4)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N</m:t>
        </m:r>
      </m:oMath>
      <w:r>
        <w:t xml:space="preserve"> – количество октавных полос, в которых проводится измерение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);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значение весового коэффициента в </w:t>
      </w:r>
      <m:oMath>
        <m:r>
          <w:rPr>
            <w:rFonts w:ascii="Cambria Math" w:hAnsi="Cambria Math"/>
          </w:rPr>
          <m:t>i</m:t>
        </m:r>
      </m:oMath>
      <w:r>
        <w:t>-й октавной полосе;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коэффициент восприятия формант слуховым аппаратом человека, представляющий собой вероятное относительное количество формантных составляющих речи, которые будут иметь уровни интенсивности выше порогового значения.</w:t>
      </w:r>
    </w:p>
    <w:p w:rsidR="00AE0A29" w:rsidRDefault="00000000">
      <w:pPr>
        <w:keepNext/>
      </w:pPr>
      <w:r>
        <w:t xml:space="preserve">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рассчитывается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⋅exp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,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Q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78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⋅exp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10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27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,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begChr m:val="|"/>
                                              <m:endChr m:val="|"/>
                                              <m:ctrlPr>
                                                <w:rPr>
                                                  <w:rFonts w:ascii="Cambria Math" w:hAnsi="Cambria Math"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Q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i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⋅</m:t>
                                  </m:r>
                                  <m:d>
                                    <m:dPr>
                                      <m:begChr m:val="|"/>
                                      <m:endChr m:val="|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Q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(5)</w:t>
            </w:r>
          </w:p>
        </w:tc>
      </w:tr>
    </w:tbl>
    <w:p w:rsidR="00AE0A29" w:rsidRDefault="00000000"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параметр отношения «сигнал/шум», дБ;</w:t>
      </w:r>
    </w:p>
    <w:p w:rsidR="00AE0A29" w:rsidRDefault="00000000">
      <w:pPr>
        <w:pStyle w:val="affc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С</m:t>
            </m:r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Ш</m:t>
            </m:r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отношение «сигнал/шум» в месте измерения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дБ;</w:t>
      </w:r>
    </w:p>
    <w:p w:rsidR="00AE0A29" w:rsidRDefault="00000000">
      <w:pPr>
        <w:pStyle w:val="affc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– значение формантного параметра спектра речевого сигнала в </w:t>
      </w:r>
      <m:oMath>
        <m:r>
          <w:rPr>
            <w:rFonts w:ascii="Cambria Math" w:hAnsi="Cambria Math"/>
          </w:rPr>
          <m:t>i</m:t>
        </m:r>
      </m:oMath>
      <w:r>
        <w:t>-й октавной полосе, дБ.</w:t>
      </w:r>
    </w:p>
    <w:p w:rsidR="00AE0A29" w:rsidRDefault="00000000">
      <w:pPr>
        <w:keepNext/>
      </w:pPr>
      <w:r>
        <w:t>Рассчитаем отношение «сигнал/шум» в каждой октавной полосе: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19 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17 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Под формантой понимается максимум огибающей спектра звука в </w:t>
      </w:r>
      <m:oMath>
        <m:r>
          <w:rPr>
            <w:rFonts w:ascii="Cambria Math" w:hAnsi="Cambria Math"/>
          </w:rPr>
          <m:t>i</m:t>
        </m:r>
      </m:oMath>
      <w:r>
        <w:t xml:space="preserve">-й спектральной полосе. Формантный параметр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характеризует энергетическую избыточность речевого сигнала и определяется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ΔA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200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43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1000 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37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1000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69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&gt;</m:t>
                          </m:r>
                          <m:r>
                            <w:rPr>
                              <w:rFonts w:ascii="Cambria Math" w:hAnsi="Cambria Math"/>
                            </w:rPr>
                            <m:t>1000 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(6)</w:t>
            </w:r>
          </w:p>
        </w:tc>
      </w:tr>
    </w:tbl>
    <w:p w:rsidR="00AE0A29" w:rsidRDefault="00000000">
      <w:pPr>
        <w:keepNext/>
      </w:pPr>
      <w:r>
        <w:t xml:space="preserve">График зависимости </w:t>
      </w:r>
      <m:oMath>
        <m:r>
          <w:rPr>
            <w:rFonts w:ascii="Cambria Math" w:hAnsi="Cambria Math"/>
          </w:rPr>
          <m:t>ΔA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t xml:space="preserve"> приведён на рисунке 2. Для среднегеометрических частот октавных полос, с округлением до целых децибел, получим:</w:t>
      </w:r>
    </w:p>
    <w:p w:rsidR="00AE0A29" w:rsidRDefault="00000000">
      <w:pPr>
        <w:pStyle w:val="afff0"/>
      </w:pPr>
      <w:r>
        <w:rPr>
          <w:noProof/>
        </w:rPr>
        <w:drawing>
          <wp:inline distT="0" distB="0" distL="0" distR="0">
            <wp:extent cx="4500000" cy="2395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2 – Зависимость формантного параметра ΔA от частоты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250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500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13 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10 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7 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4000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>Определим параметры отношения «сигнал/шум» для каждой октавной полосы: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36 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31 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28 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26 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17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22 </m:t>
                      </m:r>
                      <m:r>
                        <m:rPr>
                          <m:nor/>
                        </m:rPr>
                        <m:t>дБ</m:t>
                      </m:r>
                    </m:e>
                  </m:mr>
                </m:m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Поскольку во всех полосах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</m:t>
        </m:r>
      </m:oMath>
      <w:r>
        <w:t xml:space="preserve">,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вычисляется по первой ветви формулы (5). Например, для первой полосы: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78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27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36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00119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>Результаты расчёта сведены в таблицу 5.</w:t>
      </w:r>
    </w:p>
    <w:p w:rsidR="00AE0A29" w:rsidRDefault="00000000">
      <w:pPr>
        <w:pStyle w:val="affe"/>
      </w:pPr>
      <w:r>
        <w:t>Таблица 5 – Значения параметров отношения «сигнал/шум» и коэффициентов восприятия формант</w:t>
      </w:r>
    </w:p>
    <w:tbl>
      <w:tblPr>
        <w:tblStyle w:val="aff0"/>
        <w:tblW w:w="8674" w:type="dxa"/>
        <w:jc w:val="center"/>
        <w:tblLayout w:type="fixed"/>
        <w:tblLook w:val="04A0" w:firstRow="1" w:lastRow="0" w:firstColumn="1" w:lastColumn="0" w:noHBand="0" w:noVBand="1"/>
      </w:tblPr>
      <w:tblGrid>
        <w:gridCol w:w="1588"/>
        <w:gridCol w:w="1418"/>
        <w:gridCol w:w="1417"/>
        <w:gridCol w:w="1417"/>
        <w:gridCol w:w="1417"/>
        <w:gridCol w:w="1417"/>
      </w:tblGrid>
      <w:tr w:rsidR="00AE0A29">
        <w:trPr>
          <w:cantSplit/>
          <w:tblHeader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дБ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250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−36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0,00119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−31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0,00470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−28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0,00986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−19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−26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0,01554</w:t>
            </w:r>
          </w:p>
        </w:tc>
      </w:tr>
      <w:tr w:rsidR="00AE0A29">
        <w:trPr>
          <w:cantSplit/>
          <w:jc w:val="center"/>
        </w:trPr>
        <w:tc>
          <w:tcPr>
            <w:tcW w:w="1587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4000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−17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−22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0,03523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t xml:space="preserve">Весовой коэффициент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, характеризующий вероятность наличия формант речи в </w:t>
      </w:r>
      <m:oMath>
        <m:r>
          <w:rPr>
            <w:rFonts w:ascii="Cambria Math" w:hAnsi="Cambria Math"/>
          </w:rPr>
          <m:t>i</m:t>
        </m:r>
      </m:oMath>
      <w:r>
        <w:t>-й полосе, определяется по формуле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(7)</w:t>
            </w:r>
          </w:p>
        </w:tc>
      </w:tr>
    </w:tbl>
    <w:p w:rsidR="00AE0A29" w:rsidRDefault="00000000">
      <w:r>
        <w:t xml:space="preserve">где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н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, </w:t>
      </w:r>
      <m:oMath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nor/>
                  </m:rPr>
                  <m:t>в</m:t>
                </m:r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– значения функции распределения формант на нижней и верхней граничных частотах </w:t>
      </w:r>
      <m:oMath>
        <m:r>
          <w:rPr>
            <w:rFonts w:ascii="Cambria Math" w:hAnsi="Cambria Math"/>
          </w:rPr>
          <m:t>i</m:t>
        </m:r>
      </m:oMath>
      <w:r>
        <w:t>-й полосы.</w:t>
      </w:r>
    </w:p>
    <w:p w:rsidR="00AE0A29" w:rsidRDefault="00000000">
      <w:pPr>
        <w:keepNext/>
      </w:pPr>
      <w:r>
        <w:lastRenderedPageBreak/>
        <w:t>Функция распределения формант (рисунок 3) аппроксимируется выражением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57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8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400 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;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w:rPr>
                              <w:rFonts w:ascii="Cambria Math" w:hAnsi="Cambria Math"/>
                            </w:rPr>
                            <m:t>074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⋅exp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18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&lt;</m:t>
                          </m:r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≤</m:t>
                          </m:r>
                          <m:r>
                            <w:rPr>
                              <w:rFonts w:ascii="Cambria Math" w:hAnsi="Cambria Math"/>
                            </w:rPr>
                            <m:t>10000 </m:t>
                          </m:r>
                          <m:r>
                            <m:rPr>
                              <m:nor/>
                            </m:rPr>
                            <m:t>Гц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.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(8)</w:t>
            </w:r>
          </w:p>
        </w:tc>
      </w:tr>
    </w:tbl>
    <w:p w:rsidR="00AE0A29" w:rsidRDefault="00000000">
      <w:pPr>
        <w:pStyle w:val="afff0"/>
      </w:pPr>
      <w:r>
        <w:rPr>
          <w:noProof/>
        </w:rPr>
        <w:drawing>
          <wp:inline distT="0" distB="0" distL="0" distR="0">
            <wp:extent cx="4500000" cy="2395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9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29" w:rsidRDefault="00000000">
      <w:pPr>
        <w:pStyle w:val="afff"/>
      </w:pPr>
      <w:r>
        <w:t>Рисунок 3 – Функция распределения формант</w:t>
      </w:r>
    </w:p>
    <w:p w:rsidR="00AE0A29" w:rsidRDefault="00000000">
      <w:pPr>
        <w:keepNext/>
      </w:pPr>
      <w:r>
        <w:t>Результаты расчёта по формулам (7) и (8) приведены в таблице 6.</w:t>
      </w:r>
    </w:p>
    <w:p w:rsidR="00AE0A29" w:rsidRDefault="00000000">
      <w:pPr>
        <w:pStyle w:val="affe"/>
      </w:pPr>
      <w:r>
        <w:t>Таблица 6 – Значения весовых коэффициентов</w:t>
      </w:r>
    </w:p>
    <w:tbl>
      <w:tblPr>
        <w:tblStyle w:val="aff0"/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417"/>
        <w:gridCol w:w="1417"/>
        <w:gridCol w:w="1701"/>
        <w:gridCol w:w="1701"/>
        <w:gridCol w:w="1474"/>
      </w:tblGrid>
      <w:tr w:rsidR="00AE0A29">
        <w:trPr>
          <w:cantSplit/>
          <w:tblHeader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н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в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, Гц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н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nor/>
                          </m:rPr>
                          <m:t>в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180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0,00665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0,03392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0,02728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355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0,03392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0,14792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0,11400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710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0,14792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0,35876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0,21084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1400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2800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0,35876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0,66618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0,30742</w:t>
            </w:r>
          </w:p>
        </w:tc>
      </w:tr>
      <w:tr w:rsidR="00AE0A29">
        <w:trPr>
          <w:cantSplit/>
          <w:jc w:val="center"/>
        </w:trPr>
        <w:tc>
          <w:tcPr>
            <w:tcW w:w="1474" w:type="dxa"/>
            <w:vAlign w:val="center"/>
          </w:tcPr>
          <w:p w:rsidR="00AE0A29" w:rsidRDefault="00000000">
            <w:pPr>
              <w:pStyle w:val="afff1"/>
            </w:pPr>
            <w:r>
              <w:t>5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2800</w:t>
            </w:r>
          </w:p>
        </w:tc>
        <w:tc>
          <w:tcPr>
            <w:tcW w:w="1417" w:type="dxa"/>
            <w:vAlign w:val="center"/>
          </w:tcPr>
          <w:p w:rsidR="00AE0A29" w:rsidRDefault="00000000">
            <w:pPr>
              <w:pStyle w:val="afff1"/>
            </w:pPr>
            <w:r>
              <w:t>5600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</w:pPr>
            <w:r>
              <w:t>0,66618</w:t>
            </w:r>
          </w:p>
        </w:tc>
        <w:tc>
          <w:tcPr>
            <w:tcW w:w="1701" w:type="dxa"/>
            <w:vAlign w:val="center"/>
          </w:tcPr>
          <w:p w:rsidR="00AE0A29" w:rsidRDefault="00000000">
            <w:pPr>
              <w:pStyle w:val="afff1"/>
            </w:pPr>
            <w:r>
              <w:t>0,92394</w:t>
            </w:r>
          </w:p>
        </w:tc>
        <w:tc>
          <w:tcPr>
            <w:tcW w:w="1474" w:type="dxa"/>
            <w:vAlign w:val="center"/>
          </w:tcPr>
          <w:p w:rsidR="00AE0A29" w:rsidRDefault="00000000">
            <w:pPr>
              <w:pStyle w:val="afff1"/>
            </w:pPr>
            <w:r>
              <w:t>0,25776</w:t>
            </w:r>
          </w:p>
        </w:tc>
      </w:tr>
    </w:tbl>
    <w:p w:rsidR="00AE0A29" w:rsidRDefault="00AE0A29">
      <w:pPr>
        <w:pStyle w:val="afff4"/>
      </w:pPr>
    </w:p>
    <w:p w:rsidR="00AE0A29" w:rsidRDefault="00000000">
      <w:pPr>
        <w:keepNext/>
      </w:pPr>
      <w:r>
        <w:lastRenderedPageBreak/>
        <w:t xml:space="preserve">Интегральный индекс артикуляции речи </w:t>
      </w:r>
      <m:oMath>
        <m:r>
          <w:rPr>
            <w:rFonts w:ascii="Cambria Math" w:hAnsi="Cambria Math"/>
          </w:rPr>
          <m:t>R</m:t>
        </m:r>
      </m:oMath>
      <w:r>
        <w:t xml:space="preserve"> определим по формуле (4) (таблица 7):</w:t>
      </w:r>
    </w:p>
    <w:p w:rsidR="00AE0A29" w:rsidRDefault="00000000">
      <w:pPr>
        <w:pStyle w:val="affe"/>
      </w:pPr>
      <w:r>
        <w:t>Таблица 7 – Расчёт интегрального индекса артикуляции речи</w:t>
      </w:r>
    </w:p>
    <w:tbl>
      <w:tblPr>
        <w:tblStyle w:val="aff0"/>
        <w:tblW w:w="8503" w:type="dxa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1984"/>
        <w:gridCol w:w="1984"/>
        <w:gridCol w:w="2268"/>
      </w:tblGrid>
      <w:tr w:rsidR="00AE0A29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 xml:space="preserve">Номер полосы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1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0,00119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0,02728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0,000032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2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0,00470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0,11400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0,000536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3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0,00986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0,21084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0,002078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4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0,01554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0,30742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0,004776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5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0,03523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0,25776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0,009081</w:t>
            </w:r>
          </w:p>
        </w:tc>
      </w:tr>
      <w:tr w:rsidR="00AE0A29">
        <w:trPr>
          <w:cantSplit/>
          <w:jc w:val="center"/>
        </w:trPr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Сумма</w:t>
            </w:r>
          </w:p>
        </w:tc>
        <w:tc>
          <w:tcPr>
            <w:tcW w:w="1984" w:type="dxa"/>
            <w:vAlign w:val="center"/>
          </w:tcPr>
          <w:p w:rsidR="00AE0A29" w:rsidRDefault="00000000">
            <w:pPr>
              <w:pStyle w:val="afff1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984" w:type="dxa"/>
            <w:vAlign w:val="center"/>
          </w:tcPr>
          <w:p w:rsidR="00AE0A29" w:rsidRDefault="00AE0A29">
            <w:pPr>
              <w:pStyle w:val="afff1"/>
            </w:pP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0,016504</w:t>
            </w:r>
          </w:p>
        </w:tc>
      </w:tr>
    </w:tbl>
    <w:p w:rsidR="00AE0A29" w:rsidRDefault="00AE0A29">
      <w:pPr>
        <w:pStyle w:val="afff4"/>
      </w:pP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0165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Так как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0165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</m:oMath>
      <w:r>
        <w:t>, словесная разборчивость определяется по первой ветви формулы (3):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54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0165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-exp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0165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092</m:t>
                </m:r>
              </m:oMath>
            </m:oMathPara>
          </w:p>
        </w:tc>
        <w:tc>
          <w:tcPr>
            <w:tcW w:w="850" w:type="dxa"/>
            <w:vAlign w:val="center"/>
          </w:tcPr>
          <w:p w:rsidR="00AE0A29" w:rsidRDefault="00AE0A29">
            <w:pPr>
              <w:pStyle w:val="affd"/>
              <w:jc w:val="right"/>
            </w:pPr>
          </w:p>
        </w:tc>
      </w:tr>
    </w:tbl>
    <w:p w:rsidR="00AE0A29" w:rsidRDefault="00000000">
      <w:pPr>
        <w:keepNext/>
      </w:pPr>
      <w:r>
        <w:t xml:space="preserve">Нормированные значения словесной разборчивости речи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</m:oMath>
      <w:r>
        <w:t xml:space="preserve"> для объектов различных категорий приведены в таблице 8 [1]. Нормы защищенности информации выполняются при условии</w:t>
      </w:r>
    </w:p>
    <w:tbl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654"/>
        <w:gridCol w:w="850"/>
      </w:tblGrid>
      <w:tr w:rsidR="00AE0A29">
        <w:trPr>
          <w:jc w:val="center"/>
        </w:trPr>
        <w:tc>
          <w:tcPr>
            <w:tcW w:w="850" w:type="dxa"/>
            <w:vAlign w:val="center"/>
          </w:tcPr>
          <w:p w:rsidR="00AE0A29" w:rsidRDefault="00AE0A29">
            <w:pPr>
              <w:pStyle w:val="affd"/>
            </w:pPr>
          </w:p>
        </w:tc>
        <w:tc>
          <w:tcPr>
            <w:tcW w:w="7654" w:type="dxa"/>
            <w:vAlign w:val="center"/>
          </w:tcPr>
          <w:p w:rsidR="00AE0A29" w:rsidRDefault="00000000">
            <w:pPr>
              <w:pStyle w:val="aff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</m:sub>
                </m:sSub>
              </m:oMath>
            </m:oMathPara>
          </w:p>
        </w:tc>
        <w:tc>
          <w:tcPr>
            <w:tcW w:w="850" w:type="dxa"/>
            <w:vAlign w:val="center"/>
          </w:tcPr>
          <w:p w:rsidR="00AE0A29" w:rsidRDefault="00000000">
            <w:pPr>
              <w:pStyle w:val="affd"/>
              <w:jc w:val="right"/>
            </w:pPr>
            <w:r>
              <w:t>(9)</w:t>
            </w:r>
          </w:p>
        </w:tc>
      </w:tr>
    </w:tbl>
    <w:p w:rsidR="00AE0A29" w:rsidRDefault="00000000">
      <w:pPr>
        <w:pStyle w:val="affe"/>
      </w:pPr>
      <w:r>
        <w:t>Таблица 8 – Нормированные значения словесной разборчивости речи</w:t>
      </w:r>
    </w:p>
    <w:tbl>
      <w:tblPr>
        <w:tblStyle w:val="aff0"/>
        <w:tblW w:w="7086" w:type="dxa"/>
        <w:jc w:val="center"/>
        <w:tblLayout w:type="fixed"/>
        <w:tblLook w:val="04A0" w:firstRow="1" w:lastRow="0" w:firstColumn="1" w:lastColumn="0" w:noHBand="0" w:noVBand="1"/>
      </w:tblPr>
      <w:tblGrid>
        <w:gridCol w:w="4818"/>
        <w:gridCol w:w="2268"/>
      </w:tblGrid>
      <w:tr w:rsidR="00AE0A29">
        <w:trPr>
          <w:cantSplit/>
          <w:tblHeader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Категория объекта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н</m:t>
                    </m:r>
                  </m:sub>
                </m:sSub>
              </m:oMath>
            </m:oMathPara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 категория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0,1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  <w:keepNext/>
            </w:pPr>
            <w:r>
              <w:t>II категория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  <w:keepNext/>
            </w:pPr>
            <w:r>
              <w:t>0,2</w:t>
            </w:r>
          </w:p>
        </w:tc>
      </w:tr>
      <w:tr w:rsidR="00AE0A29">
        <w:trPr>
          <w:cantSplit/>
          <w:jc w:val="center"/>
        </w:trPr>
        <w:tc>
          <w:tcPr>
            <w:tcW w:w="4819" w:type="dxa"/>
            <w:vAlign w:val="center"/>
          </w:tcPr>
          <w:p w:rsidR="00AE0A29" w:rsidRDefault="00000000">
            <w:pPr>
              <w:pStyle w:val="afff2"/>
            </w:pPr>
            <w:r>
              <w:t>ОН (общего назначения)</w:t>
            </w:r>
          </w:p>
        </w:tc>
        <w:tc>
          <w:tcPr>
            <w:tcW w:w="2268" w:type="dxa"/>
            <w:vAlign w:val="center"/>
          </w:tcPr>
          <w:p w:rsidR="00AE0A29" w:rsidRDefault="00000000">
            <w:pPr>
              <w:pStyle w:val="afff1"/>
            </w:pPr>
            <w:r>
              <w:t>0,4</w:t>
            </w:r>
          </w:p>
        </w:tc>
      </w:tr>
    </w:tbl>
    <w:p w:rsidR="00AE0A29" w:rsidRDefault="00AE0A29">
      <w:pPr>
        <w:pStyle w:val="afff4"/>
      </w:pPr>
    </w:p>
    <w:p w:rsidR="00AE0A29" w:rsidRDefault="00000000">
      <w:r>
        <w:t xml:space="preserve">Для помещения категории ОН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>, следовательно, условие (9) выполняется.</w:t>
      </w:r>
    </w:p>
    <w:p w:rsidR="00AE0A29" w:rsidRDefault="00000000">
      <w:pPr>
        <w:pStyle w:val="aff8"/>
      </w:pPr>
      <w:r>
        <w:lastRenderedPageBreak/>
        <w:t>Заключение</w:t>
      </w:r>
    </w:p>
    <w:p w:rsidR="00AE0A29" w:rsidRDefault="00000000">
      <w:r>
        <w:t xml:space="preserve">В результате расчётов для варианта № 7 (канал утечки информации «г», категория помещения ОН) получены октавные отношения «сигнал/шум»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53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54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52 </m:t>
        </m:r>
        <m:r>
          <m:rPr>
            <m:nor/>
          </m:rPr>
          <m:t>дБ</m:t>
        </m:r>
      </m:oMath>
      <w:r>
        <w:t xml:space="preserve"> и словесная разборчивость речи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>.</w:t>
      </w:r>
    </w:p>
    <w:p w:rsidR="00AE0A29" w:rsidRDefault="00000000">
      <w:r>
        <w:t xml:space="preserve">Сравнение с нормированными значениями (таблицы 3 и 8) показывает, что нормы защищенности информации от утечки по виброакустическому каналу «г» выполняются по обоим показателям: во всех пяти октавных полосах уровень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ниже нормы для категории ОН не менее чем на 39 дБ, а словесная разборчивость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 xml:space="preserve"> не превышает нормы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</m:oMath>
      <w:r>
        <w:t xml:space="preserve">. Полученные значения удовлетворяют и нормам более строгих категорий: запас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для I категории составляет не менее 32 дБ, при этом запас по </w:t>
      </w:r>
      <m:oMath>
        <m:r>
          <w:rPr>
            <w:rFonts w:ascii="Cambria Math" w:hAnsi="Cambria Math"/>
          </w:rPr>
          <m:t>W</m:t>
        </m:r>
      </m:oMath>
      <w:r>
        <w:t xml:space="preserve"> невелик (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092</m:t>
        </m:r>
      </m:oMath>
      <w:r>
        <w:t xml:space="preserve"> против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>).</w:t>
      </w:r>
    </w:p>
    <w:p w:rsidR="00AE0A29" w:rsidRDefault="00000000">
      <w:pPr>
        <w:keepNext/>
      </w:pPr>
      <w:r>
        <w:t>Таким образом, применение дополнительных технических мер защиты (в частности, активного виброакустического зашумления) для данного канала не требуется. Для сохранения достигнутого уровня защищенности рекомендуется:</w:t>
      </w:r>
    </w:p>
    <w:p w:rsidR="00AE0A29" w:rsidRDefault="00000000">
      <w:r>
        <w:t>– организационно-режимными мерами исключить возможность установки посторонних (нештатных) предметов на ограждающих конструкциях помещения и на выходящих из него инженерных коммуникациях [1];</w:t>
      </w:r>
    </w:p>
    <w:p w:rsidR="00AE0A29" w:rsidRDefault="00000000">
      <w:r>
        <w:t>– не допускать ухудшения звуко- и виброизоляции, а установку и замену оборудования, мебели и ремонт помещения проводить только по согласованию и под контролем специалиста по защите информации [1];</w:t>
      </w:r>
    </w:p>
    <w:p w:rsidR="00AE0A29" w:rsidRDefault="00000000">
      <w:r>
        <w:t>– проводить периодический инструментальный контроль выполнения норм защищенности.</w:t>
      </w:r>
    </w:p>
    <w:p w:rsidR="00AE0A29" w:rsidRDefault="00000000">
      <w:pPr>
        <w:pStyle w:val="aff8"/>
      </w:pPr>
      <w:r>
        <w:lastRenderedPageBreak/>
        <w:t>Список использованных источников</w:t>
      </w:r>
    </w:p>
    <w:p w:rsidR="00AE0A29" w:rsidRDefault="00000000">
      <w:pPr>
        <w:pStyle w:val="afff5"/>
      </w:pPr>
      <w:r>
        <w:t>1. Контроль и защита информации от утечки по техническим каналам: методическое пособие для выполнения расчётных работ по дисциплинам «Основы ИБ», «Техническая защита информации», «ИБ объектов». – М.: МГТУ им. Н.Э. Баумана, 2023.</w:t>
      </w:r>
    </w:p>
    <w:p w:rsidR="00AE0A29" w:rsidRDefault="00000000">
      <w:pPr>
        <w:pStyle w:val="afff5"/>
      </w:pPr>
      <w:r>
        <w:t>2.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– М.: Стандартинформ, 2017.</w:t>
      </w:r>
    </w:p>
    <w:sectPr w:rsidR="00AE0A29" w:rsidSect="00034616">
      <w:footerReference w:type="default" r:id="rId12"/>
      <w:footerReference w:type="first" r:id="rId13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3CD6" w:rsidRDefault="00E63CD6">
      <w:pPr>
        <w:spacing w:line="240" w:lineRule="auto"/>
      </w:pPr>
      <w:r>
        <w:separator/>
      </w:r>
    </w:p>
  </w:endnote>
  <w:endnote w:type="continuationSeparator" w:id="0">
    <w:p w:rsidR="00E63CD6" w:rsidRDefault="00E63C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0A29" w:rsidRDefault="00000000">
    <w:pPr>
      <w:pStyle w:val="afff3"/>
    </w:pPr>
    <w:r>
      <w:fldChar w:fldCharType="begin"/>
    </w:r>
    <w:r>
      <w:instrText>PAGE</w:instrText>
    </w:r>
    <w:r w:rsidR="00A76E3E">
      <w:fldChar w:fldCharType="separate"/>
    </w:r>
    <w:r w:rsidR="00A76E3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0A29" w:rsidRDefault="00A76E3E" w:rsidP="00A76E3E">
    <w:pPr>
      <w:pStyle w:val="a7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3CD6" w:rsidRDefault="00E63CD6">
      <w:pPr>
        <w:spacing w:line="240" w:lineRule="auto"/>
      </w:pPr>
      <w:r>
        <w:separator/>
      </w:r>
    </w:p>
  </w:footnote>
  <w:footnote w:type="continuationSeparator" w:id="0">
    <w:p w:rsidR="00E63CD6" w:rsidRDefault="00E63C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550777">
    <w:abstractNumId w:val="8"/>
  </w:num>
  <w:num w:numId="2" w16cid:durableId="29183411">
    <w:abstractNumId w:val="6"/>
  </w:num>
  <w:num w:numId="3" w16cid:durableId="1547832394">
    <w:abstractNumId w:val="5"/>
  </w:num>
  <w:num w:numId="4" w16cid:durableId="941496764">
    <w:abstractNumId w:val="4"/>
  </w:num>
  <w:num w:numId="5" w16cid:durableId="1431704797">
    <w:abstractNumId w:val="7"/>
  </w:num>
  <w:num w:numId="6" w16cid:durableId="1626233401">
    <w:abstractNumId w:val="3"/>
  </w:num>
  <w:num w:numId="7" w16cid:durableId="1069499247">
    <w:abstractNumId w:val="2"/>
  </w:num>
  <w:num w:numId="8" w16cid:durableId="620309876">
    <w:abstractNumId w:val="1"/>
  </w:num>
  <w:num w:numId="9" w16cid:durableId="9177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6E3E"/>
    <w:rsid w:val="00AA1D8D"/>
    <w:rsid w:val="00AE0A29"/>
    <w:rsid w:val="00B47730"/>
    <w:rsid w:val="00CB0664"/>
    <w:rsid w:val="00E63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BAF22"/>
  <w14:defaultImageDpi w14:val="300"/>
  <w15:docId w15:val="{C6ED0FCC-F287-1A4C-A4C9-9A39C326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Структурный заголовок"/>
    <w:basedOn w:val="a1"/>
    <w:pPr>
      <w:keepNext/>
      <w:pageBreakBefore/>
      <w:spacing w:after="420" w:line="240" w:lineRule="auto"/>
      <w:ind w:firstLine="0"/>
      <w:jc w:val="center"/>
      <w:outlineLvl w:val="0"/>
    </w:pPr>
    <w:rPr>
      <w:b/>
    </w:rPr>
  </w:style>
  <w:style w:type="paragraph" w:customStyle="1" w:styleId="aff9">
    <w:name w:val="Раздел"/>
    <w:basedOn w:val="a1"/>
    <w:pPr>
      <w:keepNext/>
      <w:pageBreakBefore/>
      <w:spacing w:after="420" w:line="240" w:lineRule="auto"/>
      <w:jc w:val="left"/>
      <w:outlineLvl w:val="0"/>
    </w:pPr>
    <w:rPr>
      <w:b/>
    </w:rPr>
  </w:style>
  <w:style w:type="paragraph" w:customStyle="1" w:styleId="affa">
    <w:name w:val="Подраздел"/>
    <w:basedOn w:val="a1"/>
    <w:pPr>
      <w:keepNext/>
      <w:spacing w:before="420" w:after="420" w:line="240" w:lineRule="auto"/>
      <w:jc w:val="left"/>
      <w:outlineLvl w:val="1"/>
    </w:pPr>
    <w:rPr>
      <w:b/>
    </w:rPr>
  </w:style>
  <w:style w:type="paragraph" w:customStyle="1" w:styleId="affb">
    <w:name w:val="Подраздел первый"/>
    <w:basedOn w:val="affa"/>
    <w:pPr>
      <w:keepNext w:val="0"/>
      <w:spacing w:before="0"/>
    </w:pPr>
  </w:style>
  <w:style w:type="paragraph" w:customStyle="1" w:styleId="affc">
    <w:name w:val="Без отступа"/>
    <w:basedOn w:val="a1"/>
    <w:pPr>
      <w:ind w:firstLine="0"/>
    </w:pPr>
  </w:style>
  <w:style w:type="paragraph" w:customStyle="1" w:styleId="affd">
    <w:name w:val="Формула"/>
    <w:basedOn w:val="a1"/>
    <w:pPr>
      <w:spacing w:before="120" w:after="120" w:line="240" w:lineRule="auto"/>
      <w:ind w:firstLine="0"/>
      <w:jc w:val="center"/>
    </w:pPr>
  </w:style>
  <w:style w:type="paragraph" w:customStyle="1" w:styleId="affe">
    <w:name w:val="Подпись таблицы"/>
    <w:basedOn w:val="a1"/>
    <w:pPr>
      <w:keepNext/>
      <w:spacing w:before="120" w:after="120" w:line="240" w:lineRule="auto"/>
      <w:ind w:firstLine="0"/>
      <w:jc w:val="left"/>
    </w:pPr>
  </w:style>
  <w:style w:type="paragraph" w:customStyle="1" w:styleId="afff">
    <w:name w:val="Подпись рисунка"/>
    <w:basedOn w:val="a1"/>
    <w:pPr>
      <w:spacing w:before="120" w:after="280" w:line="240" w:lineRule="auto"/>
      <w:ind w:firstLine="0"/>
      <w:jc w:val="center"/>
    </w:pPr>
  </w:style>
  <w:style w:type="paragraph" w:customStyle="1" w:styleId="afff0">
    <w:name w:val="Рисунок"/>
    <w:basedOn w:val="a1"/>
    <w:pPr>
      <w:keepNext/>
      <w:spacing w:before="120" w:line="240" w:lineRule="auto"/>
      <w:ind w:firstLine="0"/>
      <w:jc w:val="center"/>
    </w:pPr>
  </w:style>
  <w:style w:type="paragraph" w:customStyle="1" w:styleId="afff1">
    <w:name w:val="Таблица"/>
    <w:basedOn w:val="a1"/>
    <w:pPr>
      <w:spacing w:before="40" w:after="40" w:line="240" w:lineRule="auto"/>
      <w:ind w:firstLine="0"/>
      <w:jc w:val="center"/>
    </w:pPr>
    <w:rPr>
      <w:sz w:val="24"/>
    </w:rPr>
  </w:style>
  <w:style w:type="paragraph" w:customStyle="1" w:styleId="afff2">
    <w:name w:val="Таблица слева"/>
    <w:basedOn w:val="afff1"/>
    <w:pPr>
      <w:spacing w:before="0" w:after="0"/>
      <w:jc w:val="left"/>
    </w:pPr>
  </w:style>
  <w:style w:type="paragraph" w:customStyle="1" w:styleId="afff3">
    <w:name w:val="Титул"/>
    <w:basedOn w:val="a1"/>
    <w:pPr>
      <w:spacing w:line="240" w:lineRule="auto"/>
      <w:ind w:firstLine="0"/>
      <w:jc w:val="center"/>
    </w:pPr>
  </w:style>
  <w:style w:type="paragraph" w:customStyle="1" w:styleId="afff4">
    <w:name w:val="Разделитель"/>
    <w:basedOn w:val="a1"/>
    <w:pPr>
      <w:spacing w:line="240" w:lineRule="auto"/>
      <w:ind w:firstLine="0"/>
      <w:jc w:val="left"/>
    </w:pPr>
    <w:rPr>
      <w:sz w:val="12"/>
    </w:rPr>
  </w:style>
  <w:style w:type="paragraph" w:customStyle="1" w:styleId="afff5">
    <w:name w:val="Источник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Вариант 7</dc:title>
  <dc:subject>Технологии обеспечения ИБ объектов</dc:subject>
  <dc:creator>Петров И.Е.</dc:creator>
  <cp:keywords>акустика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2026-10-17T19:19:00Z</dcterms:modified>
  <cp:category/>
  <dc:language>ru-RU</dc:language>
</cp:coreProperties>
</file>