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AC9C" w14:textId="77777777" w:rsidR="00E36397" w:rsidRPr="00E36397" w:rsidRDefault="00E36397" w:rsidP="00E363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6397">
        <w:rPr>
          <w:rFonts w:ascii="Times New Roman" w:hAnsi="Times New Roman" w:cs="Times New Roman"/>
          <w:b/>
          <w:bCs/>
          <w:sz w:val="28"/>
          <w:szCs w:val="28"/>
        </w:rPr>
        <w:t>Гиперболический граф</w:t>
      </w:r>
    </w:p>
    <w:p w14:paraId="60E5AE5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Термин может означать несколько концепций. Разберу основные:</w:t>
      </w:r>
    </w:p>
    <w:p w14:paraId="665E3F5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48B17AA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1. Гиперболический граф в смысле Громова</w:t>
      </w:r>
    </w:p>
    <w:p w14:paraId="5BBAFE0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Это основное современное понятие.</w:t>
      </w:r>
    </w:p>
    <w:p w14:paraId="2FB1516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408DA37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Определение</w:t>
      </w:r>
    </w:p>
    <w:p w14:paraId="14C57A3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Метрическое пространство (граф с метрикой кратчайшего пути) называется δ-гиперболическим, если все треугольники в нем δ-тонкие.</w:t>
      </w:r>
    </w:p>
    <w:p w14:paraId="76EDF28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217E3CD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δ-тонкий треугольник</w:t>
      </w:r>
    </w:p>
    <w:p w14:paraId="02F12AF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Треугольник с вершинами x, y, z δ-тонкий, если каждая точка на любой стороне находится на расстоянии ≤ δ от двух других сторон.</w:t>
      </w:r>
    </w:p>
    <w:p w14:paraId="790A59A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D1DB17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Геометрически:</w:t>
      </w:r>
    </w:p>
    <w:p w14:paraId="172EC8C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78D92EE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6397">
        <w:rPr>
          <w:rFonts w:ascii="Times New Roman" w:hAnsi="Times New Roman" w:cs="Times New Roman"/>
          <w:sz w:val="24"/>
          <w:szCs w:val="24"/>
        </w:rPr>
        <w:t>text</w:t>
      </w:r>
      <w:proofErr w:type="spellEnd"/>
    </w:p>
    <w:p w14:paraId="3EE8CE4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043F21F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      y</w:t>
      </w:r>
    </w:p>
    <w:p w14:paraId="05079B5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     /|\</w:t>
      </w:r>
    </w:p>
    <w:p w14:paraId="0FDFF7F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    / | \</w:t>
      </w:r>
    </w:p>
    <w:p w14:paraId="1E383C2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   /  |  \</w:t>
      </w:r>
    </w:p>
    <w:p w14:paraId="6E69AA2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  /   |   \</w:t>
      </w:r>
    </w:p>
    <w:p w14:paraId="66B21E51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 /    |    \</w:t>
      </w:r>
    </w:p>
    <w:p w14:paraId="5A41FC7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x-----------z</w:t>
      </w:r>
    </w:p>
    <w:p w14:paraId="307E4DE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802C8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Любая точка на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 xml:space="preserve"> находится в δ-окрестности </w:t>
      </w:r>
    </w:p>
    <w:p w14:paraId="6839100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объединения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xz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 xml:space="preserve"> </w:t>
      </w:r>
      <w:r w:rsidRPr="00E36397">
        <w:rPr>
          <w:rFonts w:ascii="Cambria Math" w:hAnsi="Cambria Math" w:cs="Cambria Math"/>
          <w:sz w:val="24"/>
          <w:szCs w:val="24"/>
        </w:rPr>
        <w:t>∪</w:t>
      </w:r>
      <w:r w:rsidRPr="00E363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yz</w:t>
      </w:r>
      <w:proofErr w:type="spellEnd"/>
    </w:p>
    <w:p w14:paraId="7029E13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Интуиция</w:t>
      </w:r>
    </w:p>
    <w:p w14:paraId="11B11B8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 евклидовом пространстве: треугольники могут быть сколь угодно "толстыми" (не гиперболичны)</w:t>
      </w:r>
    </w:p>
    <w:p w14:paraId="5279ADE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211283E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lastRenderedPageBreak/>
        <w:t>В гиперболическом пространстве (диск Пуанкаре, пространство Лобачевского): треугольники "худые" — стороны прилегают друг к другу</w:t>
      </w:r>
    </w:p>
    <w:p w14:paraId="5E5A820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513BAD0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Гиперболический граф ≈ граф с геометрией, похожей на пространство Лобачевского</w:t>
      </w:r>
    </w:p>
    <w:p w14:paraId="79698E8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618DB89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2. Примеры и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непримеры</w:t>
      </w:r>
      <w:proofErr w:type="spellEnd"/>
    </w:p>
    <w:p w14:paraId="14EF7A4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Segoe UI Symbol" w:hAnsi="Segoe UI Symbol" w:cs="Segoe UI Symbol"/>
          <w:sz w:val="24"/>
          <w:szCs w:val="24"/>
        </w:rPr>
        <w:t>✓</w:t>
      </w:r>
      <w:r w:rsidRPr="00E36397">
        <w:rPr>
          <w:rFonts w:ascii="Times New Roman" w:hAnsi="Times New Roman" w:cs="Times New Roman"/>
          <w:sz w:val="24"/>
          <w:szCs w:val="24"/>
        </w:rPr>
        <w:t xml:space="preserve"> Гиперболические графы:</w:t>
      </w:r>
    </w:p>
    <w:p w14:paraId="4232040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A. Деревья</w:t>
      </w:r>
    </w:p>
    <w:p w14:paraId="13D24AE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Все деревья 0-гиперболичны:</w:t>
      </w:r>
    </w:p>
    <w:p w14:paraId="0590542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0CF8A2D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 дереве треугольник "вырождается" в путь</w:t>
      </w:r>
    </w:p>
    <w:p w14:paraId="398C3A6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Все стороны накладываются друг на друга</w:t>
      </w:r>
    </w:p>
    <w:p w14:paraId="53A90D2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6397">
        <w:rPr>
          <w:rFonts w:ascii="Times New Roman" w:hAnsi="Times New Roman" w:cs="Times New Roman"/>
          <w:sz w:val="24"/>
          <w:szCs w:val="24"/>
        </w:rPr>
        <w:t>text</w:t>
      </w:r>
      <w:proofErr w:type="spellEnd"/>
    </w:p>
    <w:p w14:paraId="176B8B6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3CFEBA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   o</w:t>
      </w:r>
    </w:p>
    <w:p w14:paraId="2A8F209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  / \</w:t>
      </w:r>
    </w:p>
    <w:p w14:paraId="4FE2BF1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 o  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o</w:t>
      </w:r>
      <w:proofErr w:type="spellEnd"/>
    </w:p>
    <w:p w14:paraId="48C9949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 /     \</w:t>
      </w:r>
    </w:p>
    <w:p w14:paraId="785670B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o      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o</w:t>
      </w:r>
      <w:proofErr w:type="spellEnd"/>
    </w:p>
    <w:p w14:paraId="27302DF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B. Решетки в гиперболической плоскости</w:t>
      </w:r>
    </w:p>
    <w:p w14:paraId="7E5F7FB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Регулярная триангуляция плоскости Лобачевского</w:t>
      </w:r>
    </w:p>
    <w:p w14:paraId="30B48C4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Постоянная отрицательная кривизна</w:t>
      </w:r>
    </w:p>
    <w:p w14:paraId="1975EA71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C. Случайные регулярные графы</w:t>
      </w:r>
    </w:p>
    <w:p w14:paraId="5BAFAD71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С большой вероятностью δ-гиперболичны (при фиксированной степени и n→∞)</w:t>
      </w:r>
    </w:p>
    <w:p w14:paraId="7D9DB15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25A89ED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D. Многие сети реального мира</w:t>
      </w:r>
    </w:p>
    <w:p w14:paraId="50E3325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Интернет (автономные системы)</w:t>
      </w:r>
    </w:p>
    <w:p w14:paraId="37100ED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Социальные сети</w:t>
      </w:r>
    </w:p>
    <w:p w14:paraId="7E1583D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Биологические сети</w:t>
      </w:r>
    </w:p>
    <w:p w14:paraId="1A701BD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Segoe UI Symbol" w:hAnsi="Segoe UI Symbol" w:cs="Segoe UI Symbol"/>
          <w:sz w:val="24"/>
          <w:szCs w:val="24"/>
        </w:rPr>
        <w:t>✗</w:t>
      </w:r>
      <w:r w:rsidRPr="00E36397">
        <w:rPr>
          <w:rFonts w:ascii="Times New Roman" w:hAnsi="Times New Roman" w:cs="Times New Roman"/>
          <w:sz w:val="24"/>
          <w:szCs w:val="24"/>
        </w:rPr>
        <w:t xml:space="preserve"> НЕ гиперболические:</w:t>
      </w:r>
    </w:p>
    <w:p w14:paraId="59E7B75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Решетка ℤⁿ (n ≥ 2)</w:t>
      </w:r>
    </w:p>
    <w:p w14:paraId="2970F74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6397">
        <w:rPr>
          <w:rFonts w:ascii="Times New Roman" w:hAnsi="Times New Roman" w:cs="Times New Roman"/>
          <w:sz w:val="24"/>
          <w:szCs w:val="24"/>
        </w:rPr>
        <w:t>text</w:t>
      </w:r>
      <w:proofErr w:type="spellEnd"/>
    </w:p>
    <w:p w14:paraId="6DCADF2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AE04AF1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o---o---o---o</w:t>
      </w:r>
    </w:p>
    <w:p w14:paraId="29A7BC9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|   |   |   |</w:t>
      </w:r>
    </w:p>
    <w:p w14:paraId="22FBD4A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o---o---o---o</w:t>
      </w:r>
    </w:p>
    <w:p w14:paraId="321A3A6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|   |   |   |</w:t>
      </w:r>
    </w:p>
    <w:p w14:paraId="333E4CB1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o---o---o---o</w:t>
      </w:r>
    </w:p>
    <w:p w14:paraId="7810F7A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Большие квадраты создают "толстые" треугольники</w:t>
      </w:r>
    </w:p>
    <w:p w14:paraId="3DF94A8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FAC47D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Циклы Cₙ (большие)</w:t>
      </w:r>
    </w:p>
    <w:p w14:paraId="2F4D3BE1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Постоянная δ ≈ n/4</w:t>
      </w:r>
    </w:p>
    <w:p w14:paraId="40FEFDB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158C45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3. Свойства гиперболических графов</w:t>
      </w:r>
    </w:p>
    <w:p w14:paraId="15718D3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Экспоненциальный рост</w:t>
      </w:r>
    </w:p>
    <w:p w14:paraId="4043F6C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Теорема: В δ-гиперболическом графе (некомпактном):</w:t>
      </w:r>
    </w:p>
    <w:p w14:paraId="0A5F5B8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07463F9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|</w:t>
      </w:r>
      <w:proofErr w:type="gramStart"/>
      <w:r w:rsidRPr="00E36397">
        <w:rPr>
          <w:rFonts w:ascii="Times New Roman" w:hAnsi="Times New Roman" w:cs="Times New Roman"/>
          <w:sz w:val="24"/>
          <w:szCs w:val="24"/>
        </w:rPr>
        <w:t>B(</w:t>
      </w:r>
      <w:proofErr w:type="gramEnd"/>
      <w:r w:rsidRPr="00E36397">
        <w:rPr>
          <w:rFonts w:ascii="Times New Roman" w:hAnsi="Times New Roman" w:cs="Times New Roman"/>
          <w:sz w:val="24"/>
          <w:szCs w:val="24"/>
        </w:rPr>
        <w:t xml:space="preserve">x, r)| ≥ c ·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eᵅʳ</w:t>
      </w:r>
      <w:proofErr w:type="spellEnd"/>
    </w:p>
    <w:p w14:paraId="2D01D0D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39B53A7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где </w:t>
      </w:r>
      <w:proofErr w:type="gramStart"/>
      <w:r w:rsidRPr="00E36397">
        <w:rPr>
          <w:rFonts w:ascii="Times New Roman" w:hAnsi="Times New Roman" w:cs="Times New Roman"/>
          <w:sz w:val="24"/>
          <w:szCs w:val="24"/>
        </w:rPr>
        <w:t>B(</w:t>
      </w:r>
      <w:proofErr w:type="gramEnd"/>
      <w:r w:rsidRPr="00E36397">
        <w:rPr>
          <w:rFonts w:ascii="Times New Roman" w:hAnsi="Times New Roman" w:cs="Times New Roman"/>
          <w:sz w:val="24"/>
          <w:szCs w:val="24"/>
        </w:rPr>
        <w:t>x, r) — шар радиуса r, α &gt; 0.</w:t>
      </w:r>
    </w:p>
    <w:p w14:paraId="7890E52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69B522E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Интуиция: Объем растет экспоненциально с радиусом (как в гиперболическом пространстве).</w:t>
      </w:r>
    </w:p>
    <w:p w14:paraId="6507CD4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775C12A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Граница Громова</w:t>
      </w:r>
    </w:p>
    <w:p w14:paraId="2245AC4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Для гиперболического графа можно определить границу на бесконечности ∂G:</w:t>
      </w:r>
    </w:p>
    <w:p w14:paraId="65EDE3A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72432D5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Классы эквивалентности геодезических лучей</w:t>
      </w:r>
    </w:p>
    <w:p w14:paraId="162E90B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Компактное топологическое пространство</w:t>
      </w:r>
    </w:p>
    <w:p w14:paraId="13725B9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G </w:t>
      </w:r>
      <w:r w:rsidRPr="00E36397">
        <w:rPr>
          <w:rFonts w:ascii="Cambria Math" w:hAnsi="Cambria Math" w:cs="Cambria Math"/>
          <w:sz w:val="24"/>
          <w:szCs w:val="24"/>
        </w:rPr>
        <w:t>∪</w:t>
      </w:r>
      <w:r w:rsidRPr="00E36397">
        <w:rPr>
          <w:rFonts w:ascii="Times New Roman" w:hAnsi="Times New Roman" w:cs="Times New Roman"/>
          <w:sz w:val="24"/>
          <w:szCs w:val="24"/>
        </w:rPr>
        <w:t xml:space="preserve"> ∂G — компактификация Громова</w:t>
      </w:r>
    </w:p>
    <w:p w14:paraId="252FFED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Геодезическая стабильность</w:t>
      </w:r>
    </w:p>
    <w:p w14:paraId="3D50D2F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Квазигеодезические близки к настоящим геодезическим (принцип Морса).</w:t>
      </w:r>
    </w:p>
    <w:p w14:paraId="60BA9C3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7208745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Критерий Громова</w:t>
      </w:r>
    </w:p>
    <w:p w14:paraId="4964704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Теорема: Группа с конечным числом образующих гиперболична </w:t>
      </w:r>
      <w:r w:rsidRPr="00E36397">
        <w:rPr>
          <w:rFonts w:ascii="Cambria Math" w:hAnsi="Cambria Math" w:cs="Cambria Math"/>
          <w:sz w:val="24"/>
          <w:szCs w:val="24"/>
        </w:rPr>
        <w:t>⟺</w:t>
      </w:r>
      <w:r w:rsidRPr="00E36397">
        <w:rPr>
          <w:rFonts w:ascii="Times New Roman" w:hAnsi="Times New Roman" w:cs="Times New Roman"/>
          <w:sz w:val="24"/>
          <w:szCs w:val="24"/>
        </w:rPr>
        <w:t xml:space="preserve"> ее граф Кэли δ-гиперболичен.</w:t>
      </w:r>
    </w:p>
    <w:p w14:paraId="2D33DD4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39BDFC2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4. Теория групп Громова</w:t>
      </w:r>
    </w:p>
    <w:p w14:paraId="487F904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Гиперболические группы</w:t>
      </w:r>
    </w:p>
    <w:p w14:paraId="60CED66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Определение (Громов, 1987): Группа G гиперболична, если ее граф Кэли (с любой конечной системой образующих) δ-гиперболичен.</w:t>
      </w:r>
    </w:p>
    <w:p w14:paraId="7A03E26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0211004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Примеры:</w:t>
      </w:r>
    </w:p>
    <w:p w14:paraId="614477A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Segoe UI Symbol" w:hAnsi="Segoe UI Symbol" w:cs="Segoe UI Symbol"/>
          <w:sz w:val="24"/>
          <w:szCs w:val="24"/>
        </w:rPr>
        <w:t>✓</w:t>
      </w:r>
      <w:r w:rsidRPr="00E36397">
        <w:rPr>
          <w:rFonts w:ascii="Times New Roman" w:hAnsi="Times New Roman" w:cs="Times New Roman"/>
          <w:sz w:val="24"/>
          <w:szCs w:val="24"/>
        </w:rPr>
        <w:t xml:space="preserve"> Свободные группы Fₙ</w:t>
      </w:r>
    </w:p>
    <w:p w14:paraId="1AAE8BE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Segoe UI Symbol" w:hAnsi="Segoe UI Symbol" w:cs="Segoe UI Symbol"/>
          <w:sz w:val="24"/>
          <w:szCs w:val="24"/>
        </w:rPr>
        <w:t>✓</w:t>
      </w:r>
      <w:r w:rsidRPr="00E36397">
        <w:rPr>
          <w:rFonts w:ascii="Times New Roman" w:hAnsi="Times New Roman" w:cs="Times New Roman"/>
          <w:sz w:val="24"/>
          <w:szCs w:val="24"/>
        </w:rPr>
        <w:t xml:space="preserve"> Фундаментальные группы замкнутых поверхностей рода g ≥ 2</w:t>
      </w:r>
    </w:p>
    <w:p w14:paraId="3538CAD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Segoe UI Symbol" w:hAnsi="Segoe UI Symbol" w:cs="Segoe UI Symbol"/>
          <w:sz w:val="24"/>
          <w:szCs w:val="24"/>
        </w:rPr>
        <w:t>✓</w:t>
      </w:r>
      <w:r w:rsidRPr="00E36397">
        <w:rPr>
          <w:rFonts w:ascii="Times New Roman" w:hAnsi="Times New Roman" w:cs="Times New Roman"/>
          <w:sz w:val="24"/>
          <w:szCs w:val="24"/>
        </w:rPr>
        <w:t xml:space="preserve"> Многие группы кос</w:t>
      </w:r>
    </w:p>
    <w:p w14:paraId="5EC9A7D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Segoe UI Symbol" w:hAnsi="Segoe UI Symbol" w:cs="Segoe UI Symbol"/>
          <w:sz w:val="24"/>
          <w:szCs w:val="24"/>
        </w:rPr>
        <w:t>✓</w:t>
      </w:r>
      <w:r w:rsidRPr="00E36397">
        <w:rPr>
          <w:rFonts w:ascii="Times New Roman" w:hAnsi="Times New Roman" w:cs="Times New Roman"/>
          <w:sz w:val="24"/>
          <w:szCs w:val="24"/>
        </w:rPr>
        <w:t xml:space="preserve"> Группы с малым сокращением</w:t>
      </w:r>
    </w:p>
    <w:p w14:paraId="7938BCD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0B281B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Segoe UI Symbol" w:hAnsi="Segoe UI Symbol" w:cs="Segoe UI Symbol"/>
          <w:sz w:val="24"/>
          <w:szCs w:val="24"/>
        </w:rPr>
        <w:t>✗</w:t>
      </w:r>
      <w:r w:rsidRPr="00E36397">
        <w:rPr>
          <w:rFonts w:ascii="Times New Roman" w:hAnsi="Times New Roman" w:cs="Times New Roman"/>
          <w:sz w:val="24"/>
          <w:szCs w:val="24"/>
        </w:rPr>
        <w:t xml:space="preserve"> НЕ гиперболичны:</w:t>
      </w:r>
    </w:p>
    <w:p w14:paraId="2B272711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8128BF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ℤⁿ (n ≥ 2)</w:t>
      </w:r>
    </w:p>
    <w:p w14:paraId="1A9180C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Группы с элементами конечного порядка (кроме кручения)</w:t>
      </w:r>
    </w:p>
    <w:p w14:paraId="5B06A65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Нильпотентные группы</w:t>
      </w:r>
    </w:p>
    <w:p w14:paraId="2928331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Важные свойства:</w:t>
      </w:r>
    </w:p>
    <w:p w14:paraId="063CF13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Разрешимость проблемы слов (за линейное время!)</w:t>
      </w:r>
    </w:p>
    <w:p w14:paraId="6AFFA2F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Конечность Новикова: конечное число сопряженных классов</w:t>
      </w:r>
    </w:p>
    <w:p w14:paraId="6C1C274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Граница — канторово множество или сфера</w:t>
      </w:r>
    </w:p>
    <w:p w14:paraId="0F1C0D0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5. Вычисление δ</w:t>
      </w:r>
    </w:p>
    <w:p w14:paraId="422CF34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Четыре точки</w:t>
      </w:r>
    </w:p>
    <w:p w14:paraId="517EB36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Определение через 4 точки (эквивалентное):</w:t>
      </w:r>
    </w:p>
    <w:p w14:paraId="04B6505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6135CB9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Пространство δ-гиперболично, если для любых четырех точек x, y, z, w:</w:t>
      </w:r>
    </w:p>
    <w:p w14:paraId="67D118F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5BB831F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x|</w:t>
      </w:r>
      <w:proofErr w:type="gramStart"/>
      <w:r w:rsidRPr="00E36397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)_</w:t>
      </w:r>
      <w:proofErr w:type="gramEnd"/>
      <w:r w:rsidRPr="00E36397">
        <w:rPr>
          <w:rFonts w:ascii="Times New Roman" w:hAnsi="Times New Roman" w:cs="Times New Roman"/>
          <w:sz w:val="24"/>
          <w:szCs w:val="24"/>
        </w:rPr>
        <w:t xml:space="preserve">w ≥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{(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x|y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)_w, (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y|z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)_w} - δ</w:t>
      </w:r>
    </w:p>
    <w:p w14:paraId="4460E5C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545D085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где (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x|</w:t>
      </w:r>
      <w:proofErr w:type="gramStart"/>
      <w:r w:rsidRPr="00E36397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)_</w:t>
      </w:r>
      <w:proofErr w:type="gramEnd"/>
      <w:r w:rsidRPr="00E36397">
        <w:rPr>
          <w:rFonts w:ascii="Times New Roman" w:hAnsi="Times New Roman" w:cs="Times New Roman"/>
          <w:sz w:val="24"/>
          <w:szCs w:val="24"/>
        </w:rPr>
        <w:t>w = [d(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x,w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) + d(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y,w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) - d(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)]/2 — произведение Громова.</w:t>
      </w:r>
    </w:p>
    <w:p w14:paraId="10150EA1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2DEEBF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Практическое вычисление:</w:t>
      </w:r>
    </w:p>
    <w:p w14:paraId="0D1016E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Для графа G:</w:t>
      </w:r>
    </w:p>
    <w:p w14:paraId="3D4BC5D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EF23AE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Найти все геодезические треугольники (или выборку)</w:t>
      </w:r>
    </w:p>
    <w:p w14:paraId="4DCA695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Вычислить максимальное расстояние точки от двух других сторон</w:t>
      </w:r>
    </w:p>
    <w:p w14:paraId="6937012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δ = максимум по всем треугольникам</w:t>
      </w:r>
    </w:p>
    <w:p w14:paraId="7E33D58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Сложность: NP-трудная в общем случае, но есть приближенные алгоритмы.</w:t>
      </w:r>
    </w:p>
    <w:p w14:paraId="2593D49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334F8D6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6. Приложения</w:t>
      </w:r>
    </w:p>
    <w:p w14:paraId="0DEFAAF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A. Анализ сетей</w:t>
      </w:r>
    </w:p>
    <w:p w14:paraId="3E7F833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Гиперболическое вложение:</w:t>
      </w:r>
    </w:p>
    <w:p w14:paraId="3CD92CD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7299405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Вложение графа в гиперболическую плоскость (диск Пуанкаре)</w:t>
      </w:r>
    </w:p>
    <w:p w14:paraId="7C46317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Узлы с похожими связями оказываются близко</w:t>
      </w:r>
    </w:p>
    <w:p w14:paraId="2BE4260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Используется для:</w:t>
      </w:r>
    </w:p>
    <w:p w14:paraId="6A94A4C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Визуализации больших сетей</w:t>
      </w:r>
    </w:p>
    <w:p w14:paraId="6381466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Рекомендательных систем</w:t>
      </w:r>
    </w:p>
    <w:p w14:paraId="7176791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Предсказания связей</w:t>
      </w:r>
    </w:p>
    <w:p w14:paraId="690F5BF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B. Машинное обучение</w:t>
      </w:r>
    </w:p>
    <w:p w14:paraId="0D48D872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Гиперболические нейронные сети:</w:t>
      </w:r>
    </w:p>
    <w:p w14:paraId="3EA4579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41C1355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Вложения в пространство Лобачевского</w:t>
      </w:r>
    </w:p>
    <w:p w14:paraId="2C2728C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Лучше для иерархических данных (деревья, таксономии)</w:t>
      </w:r>
    </w:p>
    <w:p w14:paraId="75538D7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6397">
        <w:rPr>
          <w:rFonts w:ascii="Times New Roman" w:hAnsi="Times New Roman" w:cs="Times New Roman"/>
          <w:sz w:val="24"/>
          <w:szCs w:val="24"/>
          <w:lang w:val="en-US"/>
        </w:rPr>
        <w:t>Hyperbolic Graph Neural Networks (HGNNs)</w:t>
      </w:r>
    </w:p>
    <w:p w14:paraId="2167EDA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C. Биология</w:t>
      </w:r>
    </w:p>
    <w:p w14:paraId="2B14A8E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Филогенетические деревья (естественно гиперболичны)</w:t>
      </w:r>
    </w:p>
    <w:p w14:paraId="529FCD0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Белковые сети взаимодействий</w:t>
      </w:r>
    </w:p>
    <w:p w14:paraId="578A5B9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D. Геометрическая теория групп</w:t>
      </w:r>
    </w:p>
    <w:p w14:paraId="71E890F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Классификация групп</w:t>
      </w:r>
    </w:p>
    <w:p w14:paraId="020E16C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Изучение автоматных групп</w:t>
      </w:r>
    </w:p>
    <w:p w14:paraId="718D331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Теория конечности</w:t>
      </w:r>
    </w:p>
    <w:p w14:paraId="50EE3F9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7. Гиперболичность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. Кривизна</w:t>
      </w:r>
    </w:p>
    <w:p w14:paraId="5F0B72C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Связь с CAT(κ) пространствами</w:t>
      </w:r>
    </w:p>
    <w:p w14:paraId="553F291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CAT(κ) пространство: треугольники "тоньше", чем в пространстве постоянной кривизны κ.</w:t>
      </w:r>
    </w:p>
    <w:p w14:paraId="7318274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00A8ADE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Связь:</w:t>
      </w:r>
    </w:p>
    <w:p w14:paraId="62247DB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2CF7A68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CAT(κ) с κ </w:t>
      </w:r>
      <w:proofErr w:type="gramStart"/>
      <w:r w:rsidRPr="00E36397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E36397">
        <w:rPr>
          <w:rFonts w:ascii="Times New Roman" w:hAnsi="Times New Roman" w:cs="Times New Roman"/>
          <w:sz w:val="24"/>
          <w:szCs w:val="24"/>
        </w:rPr>
        <w:t xml:space="preserve"> </w:t>
      </w:r>
      <w:r w:rsidRPr="00E36397">
        <w:rPr>
          <w:rFonts w:ascii="Cambria Math" w:hAnsi="Cambria Math" w:cs="Cambria Math"/>
          <w:sz w:val="24"/>
          <w:szCs w:val="24"/>
        </w:rPr>
        <w:t>⟹</w:t>
      </w:r>
      <w:r w:rsidRPr="00E36397">
        <w:rPr>
          <w:rFonts w:ascii="Times New Roman" w:hAnsi="Times New Roman" w:cs="Times New Roman"/>
          <w:sz w:val="24"/>
          <w:szCs w:val="24"/>
        </w:rPr>
        <w:t xml:space="preserve"> δ-гиперболичность</w:t>
      </w:r>
    </w:p>
    <w:p w14:paraId="33BD690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Обратное неверно: гиперболичность слабее</w:t>
      </w:r>
    </w:p>
    <w:p w14:paraId="0474254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Дискретная кривизна</w:t>
      </w:r>
    </w:p>
    <w:p w14:paraId="76C659B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На графах вводят кривизну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Олливье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-Риччи:</w:t>
      </w:r>
    </w:p>
    <w:p w14:paraId="326DEF7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3E899F6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6397">
        <w:rPr>
          <w:rFonts w:ascii="Times New Roman" w:hAnsi="Times New Roman" w:cs="Times New Roman"/>
          <w:sz w:val="24"/>
          <w:szCs w:val="24"/>
        </w:rPr>
        <w:t>κ(</w:t>
      </w:r>
      <w:proofErr w:type="gramEnd"/>
      <w:r w:rsidRPr="00E36397">
        <w:rPr>
          <w:rFonts w:ascii="Times New Roman" w:hAnsi="Times New Roman" w:cs="Times New Roman"/>
          <w:sz w:val="24"/>
          <w:szCs w:val="24"/>
        </w:rPr>
        <w:t>x, y) = 1 - W₁(μₓ, μᵧ)/d(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)</w:t>
      </w:r>
    </w:p>
    <w:p w14:paraId="40B4D1BD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73DF16A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где W₁ — расстояние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Вассерштейна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 xml:space="preserve"> между мерами на окрестностях.</w:t>
      </w:r>
    </w:p>
    <w:p w14:paraId="5074DA1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2DDF5A8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Отрицательная кривизна ≈ гиперболичность</w:t>
      </w:r>
    </w:p>
    <w:p w14:paraId="6CA0D365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70DAA82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8. Другие типы "гиперболических графов"</w:t>
      </w:r>
    </w:p>
    <w:p w14:paraId="0F72A22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Граф гиперболического многообразия</w:t>
      </w:r>
    </w:p>
    <w:p w14:paraId="3BC2DFD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Граф вложен в гиперболическое многообразие (H³, Hⁿ).</w:t>
      </w:r>
    </w:p>
    <w:p w14:paraId="3E116397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3C266BB3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Граф с гиперболической хроматикой</w:t>
      </w:r>
    </w:p>
    <w:p w14:paraId="28FE95A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Граф, раскрашиваемый с использованием гиперболической геометрии.</w:t>
      </w:r>
    </w:p>
    <w:p w14:paraId="49C12461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19D73D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Гиперболический случайный граф (HRG)</w:t>
      </w:r>
    </w:p>
    <w:p w14:paraId="6072717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Модель генерации:</w:t>
      </w:r>
    </w:p>
    <w:p w14:paraId="2179064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3AF2B64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Точки распределены в диске Пуанкаре</w:t>
      </w:r>
    </w:p>
    <w:p w14:paraId="0C47652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 xml:space="preserve">Ребро между точками x, y, если </w:t>
      </w:r>
      <w:proofErr w:type="spellStart"/>
      <w:r w:rsidRPr="00E36397">
        <w:rPr>
          <w:rFonts w:ascii="Times New Roman" w:hAnsi="Times New Roman" w:cs="Times New Roman"/>
          <w:sz w:val="24"/>
          <w:szCs w:val="24"/>
        </w:rPr>
        <w:t>d_</w:t>
      </w:r>
      <w:proofErr w:type="gramStart"/>
      <w:r w:rsidRPr="00E36397">
        <w:rPr>
          <w:rFonts w:ascii="Times New Roman" w:hAnsi="Times New Roman" w:cs="Times New Roman"/>
          <w:sz w:val="24"/>
          <w:szCs w:val="24"/>
        </w:rPr>
        <w:t>hyp</w:t>
      </w:r>
      <w:proofErr w:type="spellEnd"/>
      <w:r w:rsidRPr="00E363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6397">
        <w:rPr>
          <w:rFonts w:ascii="Times New Roman" w:hAnsi="Times New Roman" w:cs="Times New Roman"/>
          <w:sz w:val="24"/>
          <w:szCs w:val="24"/>
        </w:rPr>
        <w:t>x, y) &lt; R</w:t>
      </w:r>
    </w:p>
    <w:p w14:paraId="2A00A58C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Генерирует графы с:</w:t>
      </w:r>
    </w:p>
    <w:p w14:paraId="75DBA28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Степенным распределением степеней</w:t>
      </w:r>
    </w:p>
    <w:p w14:paraId="05F8125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Высокой кластеризацией</w:t>
      </w:r>
    </w:p>
    <w:p w14:paraId="18E4EEC6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Малым диаметром</w:t>
      </w:r>
    </w:p>
    <w:p w14:paraId="21A8E0DF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Модель реальных сетей!</w:t>
      </w:r>
    </w:p>
    <w:p w14:paraId="66C794AA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</w:p>
    <w:p w14:paraId="119F2CCE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Резюме</w:t>
      </w:r>
    </w:p>
    <w:p w14:paraId="228695A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Аспект</w:t>
      </w:r>
      <w:r w:rsidRPr="00E36397">
        <w:rPr>
          <w:rFonts w:ascii="Times New Roman" w:hAnsi="Times New Roman" w:cs="Times New Roman"/>
          <w:sz w:val="24"/>
          <w:szCs w:val="24"/>
        </w:rPr>
        <w:tab/>
        <w:t>Описание</w:t>
      </w:r>
    </w:p>
    <w:p w14:paraId="20281810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Главное определение</w:t>
      </w:r>
      <w:r w:rsidRPr="00E36397">
        <w:rPr>
          <w:rFonts w:ascii="Times New Roman" w:hAnsi="Times New Roman" w:cs="Times New Roman"/>
          <w:sz w:val="24"/>
          <w:szCs w:val="24"/>
        </w:rPr>
        <w:tab/>
        <w:t>δ-тонкие треугольники (Громов)</w:t>
      </w:r>
    </w:p>
    <w:p w14:paraId="3D2FE2F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Примеры</w:t>
      </w:r>
      <w:r w:rsidRPr="00E36397">
        <w:rPr>
          <w:rFonts w:ascii="Times New Roman" w:hAnsi="Times New Roman" w:cs="Times New Roman"/>
          <w:sz w:val="24"/>
          <w:szCs w:val="24"/>
        </w:rPr>
        <w:tab/>
        <w:t>Деревья, гиперболические многообразия, случайные графы</w:t>
      </w:r>
    </w:p>
    <w:p w14:paraId="71233708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Не примеры</w:t>
      </w:r>
      <w:r w:rsidRPr="00E36397">
        <w:rPr>
          <w:rFonts w:ascii="Times New Roman" w:hAnsi="Times New Roman" w:cs="Times New Roman"/>
          <w:sz w:val="24"/>
          <w:szCs w:val="24"/>
        </w:rPr>
        <w:tab/>
        <w:t>Решетки ℤⁿ, большие циклы</w:t>
      </w:r>
    </w:p>
    <w:p w14:paraId="6F03202B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Свойства</w:t>
      </w:r>
      <w:r w:rsidRPr="00E36397">
        <w:rPr>
          <w:rFonts w:ascii="Times New Roman" w:hAnsi="Times New Roman" w:cs="Times New Roman"/>
          <w:sz w:val="24"/>
          <w:szCs w:val="24"/>
        </w:rPr>
        <w:tab/>
        <w:t>Экспоненциальный рост, граница Громова, быстрые алгоритмы</w:t>
      </w:r>
    </w:p>
    <w:p w14:paraId="65F611F9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Приложения</w:t>
      </w:r>
      <w:r w:rsidRPr="00E36397">
        <w:rPr>
          <w:rFonts w:ascii="Times New Roman" w:hAnsi="Times New Roman" w:cs="Times New Roman"/>
          <w:sz w:val="24"/>
          <w:szCs w:val="24"/>
        </w:rPr>
        <w:tab/>
        <w:t>Анализ сетей, ML, теория групп, биология</w:t>
      </w:r>
    </w:p>
    <w:p w14:paraId="2C1C5D24" w14:textId="77777777" w:rsidR="00E36397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Важность</w:t>
      </w:r>
      <w:r w:rsidRPr="00E36397">
        <w:rPr>
          <w:rFonts w:ascii="Times New Roman" w:hAnsi="Times New Roman" w:cs="Times New Roman"/>
          <w:sz w:val="24"/>
          <w:szCs w:val="24"/>
        </w:rPr>
        <w:tab/>
        <w:t>Фундаментальная концепция в геометрической теории групп</w:t>
      </w:r>
    </w:p>
    <w:p w14:paraId="47C69915" w14:textId="572E0631" w:rsidR="00782874" w:rsidRPr="00E36397" w:rsidRDefault="00E36397" w:rsidP="00E36397">
      <w:pPr>
        <w:rPr>
          <w:rFonts w:ascii="Times New Roman" w:hAnsi="Times New Roman" w:cs="Times New Roman"/>
          <w:sz w:val="24"/>
          <w:szCs w:val="24"/>
        </w:rPr>
      </w:pPr>
      <w:r w:rsidRPr="00E36397">
        <w:rPr>
          <w:rFonts w:ascii="Times New Roman" w:hAnsi="Times New Roman" w:cs="Times New Roman"/>
          <w:sz w:val="24"/>
          <w:szCs w:val="24"/>
        </w:rPr>
        <w:t>В контексте нашего разговора о динамических системах: гиперболические графы — это отдельная тема из геометрической топологии, не связанная напрямую с гиперболическими множествами в динамике (хотя термин "гиперболический" в обоих случаях отражает схожую геометрическую интуицию).</w:t>
      </w:r>
    </w:p>
    <w:sectPr w:rsidR="00782874" w:rsidRPr="00E36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97"/>
    <w:rsid w:val="001534BB"/>
    <w:rsid w:val="001E687F"/>
    <w:rsid w:val="00782874"/>
    <w:rsid w:val="00E3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5C71E"/>
  <w15:chartTrackingRefBased/>
  <w15:docId w15:val="{26387D6B-4017-450A-8AF3-78CB6701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2026-08-14T20:42:00Z</dcterms:created>
  <dcterms:modified xsi:type="dcterms:W3CDTF">2026-08-14T20:43:00Z</dcterms:modified>
</cp:coreProperties>
</file>