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46EE" w14:textId="77777777" w:rsidR="00423FA7" w:rsidRDefault="00000000">
      <w:pPr>
        <w:pStyle w:val="Heading1"/>
      </w:pPr>
      <w:r>
        <w:t>Automated Pneumonia Detection from Chest X-Ray Images</w:t>
      </w:r>
    </w:p>
    <w:p w14:paraId="1BC9F8D2" w14:textId="77777777" w:rsidR="00423FA7" w:rsidRDefault="00000000">
      <w:pPr>
        <w:pStyle w:val="Heading2"/>
      </w:pPr>
      <w:r>
        <w:t>1. Introduction</w:t>
      </w:r>
    </w:p>
    <w:p w14:paraId="2E5B5A65" w14:textId="77777777" w:rsidR="00423FA7" w:rsidRDefault="00000000">
      <w:r>
        <w:t>This report presents the results of an automated pneumonia detection system developed using deep learning techniques on chest X-ray images. The objective is to classify X-rays as Normal or Pneumonia and compare the performance of different CNN architectures with explainability using Grad-CAM.</w:t>
      </w:r>
    </w:p>
    <w:p w14:paraId="01A7A0D3" w14:textId="77777777" w:rsidR="00423FA7" w:rsidRDefault="00000000">
      <w:pPr>
        <w:pStyle w:val="Heading2"/>
      </w:pPr>
      <w:r>
        <w:t>2. Dataset Description</w:t>
      </w:r>
    </w:p>
    <w:p w14:paraId="16D160BF" w14:textId="77777777" w:rsidR="00423FA7" w:rsidRDefault="00000000">
      <w:r>
        <w:t>Dataset used: Kaggle Chest X-Ray Pneumonia Dataset</w:t>
      </w:r>
      <w:r>
        <w:br/>
        <w:t>Total images: 5,856 pediatric chest X-rays</w:t>
      </w:r>
      <w:r>
        <w:br/>
      </w:r>
      <w:r>
        <w:br/>
        <w:t>Dataset split:</w:t>
      </w:r>
      <w:r>
        <w:br/>
        <w:t>- Training samples: 5216 (Normal: 1341, Pneumonia: 3875)</w:t>
      </w:r>
      <w:r>
        <w:br/>
        <w:t>- Validation samples: 16 (Normal: 8, Pneumonia: 8)</w:t>
      </w:r>
      <w:r>
        <w:br/>
        <w:t>- Test samples: 624 (Normal: 234, Pneumonia: 390)</w:t>
      </w:r>
    </w:p>
    <w:p w14:paraId="79794BA9" w14:textId="77777777" w:rsidR="00423FA7" w:rsidRDefault="00000000">
      <w:pPr>
        <w:pStyle w:val="Heading2"/>
      </w:pPr>
      <w:r>
        <w:t>3. Model Performance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23FA7" w14:paraId="21E46426" w14:textId="77777777">
        <w:tc>
          <w:tcPr>
            <w:tcW w:w="1728" w:type="dxa"/>
          </w:tcPr>
          <w:p w14:paraId="3D589AA7" w14:textId="77777777" w:rsidR="00423FA7" w:rsidRDefault="00000000">
            <w:r>
              <w:t>Model</w:t>
            </w:r>
          </w:p>
        </w:tc>
        <w:tc>
          <w:tcPr>
            <w:tcW w:w="1728" w:type="dxa"/>
          </w:tcPr>
          <w:p w14:paraId="0B31CB78" w14:textId="77777777" w:rsidR="00423FA7" w:rsidRDefault="00000000">
            <w:r>
              <w:t>Accuracy</w:t>
            </w:r>
          </w:p>
        </w:tc>
        <w:tc>
          <w:tcPr>
            <w:tcW w:w="1728" w:type="dxa"/>
          </w:tcPr>
          <w:p w14:paraId="1057630F" w14:textId="77777777" w:rsidR="00423FA7" w:rsidRDefault="00000000">
            <w:r>
              <w:t>ROC-AUC</w:t>
            </w:r>
          </w:p>
        </w:tc>
        <w:tc>
          <w:tcPr>
            <w:tcW w:w="1728" w:type="dxa"/>
          </w:tcPr>
          <w:p w14:paraId="037FED3A" w14:textId="77777777" w:rsidR="00423FA7" w:rsidRDefault="00000000">
            <w:r>
              <w:t>Sensitivity</w:t>
            </w:r>
          </w:p>
        </w:tc>
        <w:tc>
          <w:tcPr>
            <w:tcW w:w="1728" w:type="dxa"/>
          </w:tcPr>
          <w:p w14:paraId="5DBC7514" w14:textId="77777777" w:rsidR="00423FA7" w:rsidRDefault="00000000">
            <w:r>
              <w:t>Specificity</w:t>
            </w:r>
          </w:p>
        </w:tc>
      </w:tr>
      <w:tr w:rsidR="00423FA7" w14:paraId="48ABD1F4" w14:textId="77777777">
        <w:tc>
          <w:tcPr>
            <w:tcW w:w="1728" w:type="dxa"/>
          </w:tcPr>
          <w:p w14:paraId="51E2BE26" w14:textId="77777777" w:rsidR="00423FA7" w:rsidRDefault="00000000">
            <w:r>
              <w:t>DenseNet121</w:t>
            </w:r>
          </w:p>
        </w:tc>
        <w:tc>
          <w:tcPr>
            <w:tcW w:w="1728" w:type="dxa"/>
          </w:tcPr>
          <w:p w14:paraId="02A5A86D" w14:textId="77777777" w:rsidR="00423FA7" w:rsidRDefault="00000000">
            <w:r>
              <w:t>0.883</w:t>
            </w:r>
          </w:p>
        </w:tc>
        <w:tc>
          <w:tcPr>
            <w:tcW w:w="1728" w:type="dxa"/>
          </w:tcPr>
          <w:p w14:paraId="283B114D" w14:textId="77777777" w:rsidR="00423FA7" w:rsidRDefault="00000000">
            <w:r>
              <w:t>0.953</w:t>
            </w:r>
          </w:p>
        </w:tc>
        <w:tc>
          <w:tcPr>
            <w:tcW w:w="1728" w:type="dxa"/>
          </w:tcPr>
          <w:p w14:paraId="7D13772F" w14:textId="77777777" w:rsidR="00423FA7" w:rsidRDefault="00000000">
            <w:r>
              <w:t>0.905</w:t>
            </w:r>
          </w:p>
        </w:tc>
        <w:tc>
          <w:tcPr>
            <w:tcW w:w="1728" w:type="dxa"/>
          </w:tcPr>
          <w:p w14:paraId="6ED05077" w14:textId="77777777" w:rsidR="00423FA7" w:rsidRDefault="00000000">
            <w:r>
              <w:t>0.846</w:t>
            </w:r>
          </w:p>
        </w:tc>
      </w:tr>
      <w:tr w:rsidR="00423FA7" w14:paraId="1B789724" w14:textId="77777777">
        <w:tc>
          <w:tcPr>
            <w:tcW w:w="1728" w:type="dxa"/>
          </w:tcPr>
          <w:p w14:paraId="02A246B3" w14:textId="77777777" w:rsidR="00423FA7" w:rsidRDefault="00000000">
            <w:r>
              <w:t>ResNet50</w:t>
            </w:r>
          </w:p>
        </w:tc>
        <w:tc>
          <w:tcPr>
            <w:tcW w:w="1728" w:type="dxa"/>
          </w:tcPr>
          <w:p w14:paraId="267EF854" w14:textId="77777777" w:rsidR="00423FA7" w:rsidRDefault="00000000">
            <w:r>
              <w:t>0.780</w:t>
            </w:r>
          </w:p>
        </w:tc>
        <w:tc>
          <w:tcPr>
            <w:tcW w:w="1728" w:type="dxa"/>
          </w:tcPr>
          <w:p w14:paraId="700963F0" w14:textId="77777777" w:rsidR="00423FA7" w:rsidRDefault="00000000">
            <w:r>
              <w:t>0.841</w:t>
            </w:r>
          </w:p>
        </w:tc>
        <w:tc>
          <w:tcPr>
            <w:tcW w:w="1728" w:type="dxa"/>
          </w:tcPr>
          <w:p w14:paraId="334BF296" w14:textId="77777777" w:rsidR="00423FA7" w:rsidRDefault="00000000">
            <w:r>
              <w:t>0.841</w:t>
            </w:r>
          </w:p>
        </w:tc>
        <w:tc>
          <w:tcPr>
            <w:tcW w:w="1728" w:type="dxa"/>
          </w:tcPr>
          <w:p w14:paraId="03A63CD6" w14:textId="77777777" w:rsidR="00423FA7" w:rsidRDefault="00000000">
            <w:r>
              <w:t>0.679</w:t>
            </w:r>
          </w:p>
        </w:tc>
      </w:tr>
    </w:tbl>
    <w:p w14:paraId="7C4AF8CC" w14:textId="77777777" w:rsidR="00423FA7" w:rsidRDefault="00000000">
      <w:pPr>
        <w:pStyle w:val="Heading2"/>
      </w:pPr>
      <w:r>
        <w:t>4. Detailed Evaluation Metrics (DenseNet121)</w:t>
      </w:r>
    </w:p>
    <w:p w14:paraId="63379734" w14:textId="77777777" w:rsidR="00423FA7" w:rsidRDefault="00000000">
      <w:r>
        <w:t>Confusion Matrix:</w:t>
      </w:r>
      <w:r>
        <w:br/>
        <w:t>[[198, 36],</w:t>
      </w:r>
      <w:r>
        <w:br/>
        <w:t xml:space="preserve"> [37, 353]]</w:t>
      </w:r>
      <w:r>
        <w:br/>
      </w:r>
      <w:r>
        <w:br/>
        <w:t>Classification Report:</w:t>
      </w:r>
      <w:r>
        <w:br/>
        <w:t>Normal: Precision 0.84 | Recall 0.85 | F1-score 0.84</w:t>
      </w:r>
      <w:r>
        <w:br/>
        <w:t>Pneumonia: Precision 0.91 | Recall 0.91 | F1-score 0.91</w:t>
      </w:r>
      <w:r>
        <w:br/>
      </w:r>
      <w:r>
        <w:br/>
        <w:t>Overall Accuracy: 0.88</w:t>
      </w:r>
      <w:r>
        <w:br/>
        <w:t>ROC-AUC: 0.953</w:t>
      </w:r>
    </w:p>
    <w:p w14:paraId="52BAB7AB" w14:textId="77777777" w:rsidR="00A5384F" w:rsidRDefault="00A5384F"/>
    <w:p w14:paraId="31CEE347" w14:textId="77777777" w:rsidR="00A5384F" w:rsidRDefault="00A5384F"/>
    <w:p w14:paraId="261D32B2" w14:textId="77777777" w:rsidR="00A5384F" w:rsidRDefault="00A5384F"/>
    <w:p w14:paraId="66B091B6" w14:textId="77777777" w:rsidR="00423FA7" w:rsidRDefault="00000000">
      <w:pPr>
        <w:pStyle w:val="Heading2"/>
      </w:pPr>
      <w:r>
        <w:lastRenderedPageBreak/>
        <w:t>5. Visual Results</w:t>
      </w:r>
    </w:p>
    <w:p w14:paraId="1E33622D" w14:textId="77777777" w:rsidR="00A5384F" w:rsidRPr="00A5384F" w:rsidRDefault="00A5384F" w:rsidP="00A5384F"/>
    <w:p w14:paraId="1ED2DB92" w14:textId="77777777" w:rsidR="00423FA7" w:rsidRDefault="00000000" w:rsidP="00A5384F">
      <w:pPr>
        <w:jc w:val="center"/>
      </w:pPr>
      <w:r>
        <w:t>Grad-CAM Visualization Comparison</w:t>
      </w:r>
    </w:p>
    <w:p w14:paraId="1A3E2B76" w14:textId="77777777" w:rsidR="00423FA7" w:rsidRDefault="00000000" w:rsidP="00A5384F">
      <w:pPr>
        <w:jc w:val="center"/>
      </w:pPr>
      <w:r>
        <w:rPr>
          <w:noProof/>
        </w:rPr>
        <w:drawing>
          <wp:inline distT="0" distB="0" distL="0" distR="0" wp14:anchorId="3881206A" wp14:editId="0BDECD08">
            <wp:extent cx="6062452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39aa3e-94d1-4003-a01e-c4b831310a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236" cy="283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BEE" w14:textId="03B03A63" w:rsidR="00423FA7" w:rsidRDefault="00423FA7"/>
    <w:p w14:paraId="388842AC" w14:textId="77777777" w:rsidR="00423FA7" w:rsidRDefault="00000000" w:rsidP="00A5384F">
      <w:pPr>
        <w:jc w:val="center"/>
      </w:pPr>
      <w:r>
        <w:t>ROC Curve Comparison</w:t>
      </w:r>
    </w:p>
    <w:p w14:paraId="36C1F89F" w14:textId="6ED733D5" w:rsidR="00A5384F" w:rsidRDefault="00A5384F" w:rsidP="00A5384F">
      <w:pPr>
        <w:jc w:val="center"/>
      </w:pPr>
      <w:r>
        <w:rPr>
          <w:noProof/>
        </w:rPr>
        <w:drawing>
          <wp:inline distT="0" distB="0" distL="0" distR="0" wp14:anchorId="043CAA29" wp14:editId="4CBAEDDF">
            <wp:extent cx="4402270" cy="3486150"/>
            <wp:effectExtent l="0" t="0" r="0" b="0"/>
            <wp:docPr id="2610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49" cy="34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C45F" w14:textId="520323FF" w:rsidR="00A5384F" w:rsidRPr="00A5384F" w:rsidRDefault="00A5384F" w:rsidP="00A5384F">
      <w:pPr>
        <w:jc w:val="center"/>
        <w:rPr>
          <w:lang w:val="en-IN"/>
        </w:rPr>
      </w:pPr>
      <w:r w:rsidRPr="00A5384F">
        <w:rPr>
          <w:lang w:val="en-IN"/>
        </w:rPr>
        <w:lastRenderedPageBreak/>
        <w:t>CNN Architecture Performance Comparison</w:t>
      </w:r>
    </w:p>
    <w:p w14:paraId="5E729693" w14:textId="3A447142" w:rsidR="00423FA7" w:rsidRDefault="00000000" w:rsidP="00A5384F">
      <w:pPr>
        <w:jc w:val="center"/>
      </w:pPr>
      <w:r>
        <w:rPr>
          <w:noProof/>
        </w:rPr>
        <w:drawing>
          <wp:inline distT="0" distB="0" distL="0" distR="0" wp14:anchorId="2CACC797" wp14:editId="7B71AA7E">
            <wp:extent cx="4572000" cy="2853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7bf6c8-d431-45f3-a0e7-223541d6ea3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ABE9" w14:textId="77777777" w:rsidR="00A5384F" w:rsidRDefault="00A5384F"/>
    <w:p w14:paraId="6D077A4A" w14:textId="77777777" w:rsidR="00423FA7" w:rsidRDefault="00000000">
      <w:pPr>
        <w:pStyle w:val="Heading2"/>
      </w:pPr>
      <w:r>
        <w:t>6. Discussion</w:t>
      </w:r>
    </w:p>
    <w:p w14:paraId="52EB5082" w14:textId="77777777" w:rsidR="00423FA7" w:rsidRDefault="00000000">
      <w:r>
        <w:t>DenseNet121 outperformed ResNet50 across all evaluation metrics, particularly in ROC-AUC and sensitivity, which are critical for medical diagnosis. Grad-CAM visualizations indicate that DenseNet focuses on compact and relevant lung regions, while ResNet shows broader but less precise activations.</w:t>
      </w:r>
    </w:p>
    <w:p w14:paraId="287C6D29" w14:textId="77777777" w:rsidR="00423FA7" w:rsidRDefault="00000000">
      <w:pPr>
        <w:pStyle w:val="Heading2"/>
      </w:pPr>
      <w:r>
        <w:t>7. Conclusion</w:t>
      </w:r>
    </w:p>
    <w:p w14:paraId="487480E1" w14:textId="77777777" w:rsidR="00423FA7" w:rsidRDefault="00000000">
      <w:r>
        <w:t>The study demonstrates that transfer learning with DenseNet121 provides a robust and explainable solution for pneumonia detection from chest X-rays. Future work may involve fine-tuning deeper layers, incorporating uncertainty estimation, and validating on larger clinical datasets.</w:t>
      </w:r>
    </w:p>
    <w:sectPr w:rsidR="00423F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39334">
    <w:abstractNumId w:val="8"/>
  </w:num>
  <w:num w:numId="2" w16cid:durableId="181940008">
    <w:abstractNumId w:val="6"/>
  </w:num>
  <w:num w:numId="3" w16cid:durableId="1868175457">
    <w:abstractNumId w:val="5"/>
  </w:num>
  <w:num w:numId="4" w16cid:durableId="1950158639">
    <w:abstractNumId w:val="4"/>
  </w:num>
  <w:num w:numId="5" w16cid:durableId="1943024179">
    <w:abstractNumId w:val="7"/>
  </w:num>
  <w:num w:numId="6" w16cid:durableId="474839316">
    <w:abstractNumId w:val="3"/>
  </w:num>
  <w:num w:numId="7" w16cid:durableId="2082866615">
    <w:abstractNumId w:val="2"/>
  </w:num>
  <w:num w:numId="8" w16cid:durableId="684096546">
    <w:abstractNumId w:val="1"/>
  </w:num>
  <w:num w:numId="9" w16cid:durableId="142626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F3B"/>
    <w:rsid w:val="00326F90"/>
    <w:rsid w:val="00423FA7"/>
    <w:rsid w:val="00A538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659F6"/>
  <w14:defaultImageDpi w14:val="300"/>
  <w15:docId w15:val="{117EBB29-AA67-411F-9941-E905CFC9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Rajib Roy</cp:lastModifiedBy>
  <cp:revision>2</cp:revision>
  <dcterms:created xsi:type="dcterms:W3CDTF">2013-12-23T23:15:00Z</dcterms:created>
  <dcterms:modified xsi:type="dcterms:W3CDTF">2026-02-05T05:49:00Z</dcterms:modified>
  <cp:category/>
</cp:coreProperties>
</file>