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4"/>
        </w:rPr>
        <w:t>全球集装箱航运巨头利润与CCFI盈亏平衡</w:t>
        <w:br/>
        <w:t>深度分析报告</w:t>
      </w:r>
    </w:p>
    <w:p/>
    <w:p>
      <w:pPr>
        <w:jc w:val="center"/>
      </w:pPr>
      <w:r>
        <w:rPr>
          <w:color w:val="666666"/>
          <w:sz w:val="24"/>
        </w:rPr>
        <w:t>涵盖马士基、赫伯罗特、中远海控、达飞、长荣、ONE、阳明、万海、ZIM</w:t>
        <w:br/>
        <w:t>2026年Q1 vs 2023年各季度 · 十年CCFI周期回溯 · 结构性成本上移分析</w:t>
      </w:r>
    </w:p>
    <w:p/>
    <w:p>
      <w:pPr>
        <w:jc w:val="center"/>
      </w:pPr>
      <w:r>
        <w:rPr>
          <w:color w:val="808080"/>
          <w:sz w:val="22"/>
        </w:rPr>
        <w:t>报告日期：2026年6月30日（第二版）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t>一、核心摘要</w:t>
      </w:r>
    </w:p>
    <w:p>
      <w:pPr>
        <w:spacing w:after="40"/>
      </w:pPr>
      <w:r>
        <w:t>二、2026年Q1各大航司利润全景</w:t>
      </w:r>
    </w:p>
    <w:p>
      <w:pPr>
        <w:spacing w:after="40"/>
      </w:pPr>
      <w:r>
        <w:t xml:space="preserve">   2.1 九大航司数据汇总</w:t>
      </w:r>
    </w:p>
    <w:p>
      <w:pPr>
        <w:spacing w:after="40"/>
      </w:pPr>
      <w:r>
        <w:t xml:space="preserve">   2.2 各航司详细数据</w:t>
      </w:r>
    </w:p>
    <w:p>
      <w:pPr>
        <w:spacing w:after="40"/>
      </w:pPr>
      <w:r>
        <w:t>三、2023年各季度详细数据</w:t>
      </w:r>
    </w:p>
    <w:p>
      <w:pPr>
        <w:spacing w:after="40"/>
      </w:pPr>
      <w:r>
        <w:t xml:space="preserve">   3.1 马士基（精确数据）</w:t>
      </w:r>
    </w:p>
    <w:p>
      <w:pPr>
        <w:spacing w:after="40"/>
      </w:pPr>
      <w:r>
        <w:t xml:space="preserve">   3.2 赫伯罗特</w:t>
      </w:r>
    </w:p>
    <w:p>
      <w:pPr>
        <w:spacing w:after="40"/>
      </w:pPr>
      <w:r>
        <w:t xml:space="preserve">   3.3 中远海控</w:t>
      </w:r>
    </w:p>
    <w:p>
      <w:pPr>
        <w:spacing w:after="40"/>
      </w:pPr>
      <w:r>
        <w:t xml:space="preserve">   3.4 CCFI季度对照表</w:t>
      </w:r>
    </w:p>
    <w:p>
      <w:pPr>
        <w:spacing w:after="40"/>
      </w:pPr>
      <w:r>
        <w:t>四、2023 vs 2026：结构性成本上移分析</w:t>
      </w:r>
    </w:p>
    <w:p>
      <w:pPr>
        <w:spacing w:after="40"/>
      </w:pPr>
      <w:r>
        <w:t xml:space="preserve">   4.1 长协保底消失效应</w:t>
      </w:r>
    </w:p>
    <w:p>
      <w:pPr>
        <w:spacing w:after="40"/>
      </w:pPr>
      <w:r>
        <w:t xml:space="preserve">   4.2 硬性成本全面上涨</w:t>
      </w:r>
    </w:p>
    <w:p>
      <w:pPr>
        <w:spacing w:after="40"/>
      </w:pPr>
      <w:r>
        <w:t xml:space="preserve">   4.3 运力供给格局变化</w:t>
      </w:r>
    </w:p>
    <w:p>
      <w:pPr>
        <w:spacing w:after="40"/>
      </w:pPr>
      <w:r>
        <w:t xml:space="preserve">   4.4 盈亏线推移量化</w:t>
      </w:r>
    </w:p>
    <w:p>
      <w:pPr>
        <w:spacing w:after="40"/>
      </w:pPr>
      <w:r>
        <w:t>五、盈亏平衡CCFI测算</w:t>
      </w:r>
    </w:p>
    <w:p>
      <w:pPr>
        <w:spacing w:after="40"/>
      </w:pPr>
      <w:r>
        <w:t>六、十年CCFI周期回溯（2015-2026）</w:t>
      </w:r>
    </w:p>
    <w:p>
      <w:pPr>
        <w:spacing w:after="40"/>
      </w:pPr>
      <w:r>
        <w:t xml:space="preserve">   6.1 年度CCFI与行业状态</w:t>
      </w:r>
    </w:p>
    <w:p>
      <w:pPr>
        <w:spacing w:after="40"/>
      </w:pPr>
      <w:r>
        <w:t xml:space="preserve">   6.2 十年盈亏线全貌</w:t>
      </w:r>
    </w:p>
    <w:p>
      <w:pPr>
        <w:spacing w:after="40"/>
      </w:pPr>
      <w:r>
        <w:t>七、CCFI在盈亏线上下的区间分析</w:t>
      </w:r>
    </w:p>
    <w:p>
      <w:pPr>
        <w:spacing w:after="40"/>
      </w:pPr>
      <w:r>
        <w:t>八、结论与展望</w:t>
      </w:r>
    </w:p>
    <w:p>
      <w:pPr>
        <w:spacing w:after="40"/>
      </w:pPr>
      <w:r>
        <w:t>附录：数据来源与说明</w:t>
      </w:r>
    </w:p>
    <w:p>
      <w:r>
        <w:br w:type="page"/>
      </w:r>
    </w:p>
    <w:p>
      <w:pPr>
        <w:pStyle w:val="Heading1"/>
      </w:pPr>
      <w:r>
        <w:t>一、核心摘要</w:t>
      </w:r>
    </w:p>
    <w:p>
      <w:r>
        <w:t>本报告覆盖全球9大集装箱航运公司，系统分析2026年Q1利润表现、2023年各季度对比、CCFI盈亏平衡点量化、以及2015-2026年十年周期的行业盈亏成本线。核心发现：</w:t>
      </w:r>
    </w:p>
    <w:p>
      <w:r>
        <w:rPr>
          <w:b/>
        </w:rPr>
        <w:t>• 2026年Q1行业利润大幅分化：</w:t>
      </w:r>
      <w:r>
        <w:t>中远海控净利润¥58.77亿（约$8.1亿）一枝独秀；达飞$2.5亿、长荣$2.7亿尚可；马士基仅$0.53亿、ONE仅$0.55亿处于微利；赫伯罗特-$2.56亿、ZIM-$0.86亿陷入亏损。CCFI约1,180点下，盈亏已高度分化。</w:t>
      </w:r>
    </w:p>
    <w:p>
      <w:r>
        <w:rPr>
          <w:b/>
        </w:rPr>
        <w:t>• 2023年长协红利掩盖真实成本：</w:t>
      </w:r>
      <w:r>
        <w:t>2023年CCFI年均仅937点，但各航司仍实现全年盈利——马士基净利润$38.22亿、中远海控¥238.6亿、赫伯罗特$31.91亿。核心原因：2021-2022年签约的高价长协合同（保底运价$2,000-2,500/TEU）在2023年持续执行，与即期运价的"剪刀差"提供了利润安全垫。</w:t>
      </w:r>
    </w:p>
    <w:p>
      <w:r>
        <w:rPr>
          <w:b/>
        </w:rPr>
        <w:t>• 结构性成本上移导致盈亏线抬高：</w:t>
      </w:r>
      <w:r>
        <w:t>到2026年Q1，长协价格已重置至2023-2025年均价水平（约$1,300-1,500/TEU），叠加新船折旧增加、红海绕航成本（每TEU +$150-200）、EU ETS碳税、船员工资上涨25-30%，行业盈亏平衡CCFI从~900点上移至~1,100点。这是CCFI约1,180点下马士基和赫伯罗特反而亏损的根本原因。</w:t>
      </w:r>
    </w:p>
    <w:p>
      <w:r>
        <w:rPr>
          <w:b/>
        </w:rPr>
        <w:t>• 十年CCFI盈亏区间：</w:t>
      </w:r>
      <w:r>
        <w:t>&lt;800点全行业亏损（2016年）；800-950点盈亏边缘（2017-2019年、2023年）；950-1,200点行业盈利（2020年、2025年）；&gt;1,500点大幅盈利（2021-2022年、2024年）。</w:t>
      </w:r>
    </w:p>
    <w:p>
      <w:r>
        <w:rPr>
          <w:b/>
        </w:rPr>
        <w:t>• 当前CCFI 1,710点：</w:t>
      </w:r>
      <w:r>
        <w:t>远高于盈亏线但低于泡沫期。核心不确定性：红海局势恢复将释放10-12%有效运力，叠加2023-2025年新船集中交付，可能推动CCFI在2026下半年回落。</w:t>
      </w:r>
    </w:p>
    <w:p>
      <w:r>
        <w:br w:type="page"/>
      </w:r>
    </w:p>
    <w:p>
      <w:pPr>
        <w:pStyle w:val="Heading1"/>
      </w:pPr>
      <w:r>
        <w:t>二、2026年Q1各大航司利润全景</w:t>
      </w:r>
    </w:p>
    <w:p>
      <w:pPr>
        <w:pStyle w:val="Heading2"/>
      </w:pPr>
      <w:r>
        <w:t>2.1 九大航司数据汇总</w:t>
      </w:r>
    </w:p>
    <w:p>
      <w:r>
        <w:t>数据来源：各公司2026年Q1季报，CCFI约1,180点（2026年Q1均值）。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航司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营收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净利润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同比变化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货量</w:t>
              <w:br/>
              <w:t>(万TEU)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平均运价</w:t>
              <w:br/>
              <w:t>$/TEU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EBIT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马士基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$129.7亿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$0.53亿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-95.4%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~340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~2,200*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$3.4亿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达飞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$132.3亿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$2.50亿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-77.7%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$1,352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$21.1亿</w:t>
              <w:br/>
              <w:t>(EBITDA)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中远海控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¥518亿</w:t>
              <w:br/>
              <w:t>($71.6亿)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¥58.77亿</w:t>
              <w:br/>
              <w:t>($8.13亿)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-49.8%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691.6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$1,050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¥87.6亿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赫伯罗特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$49.18亿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-$2.56亿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亏损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$1,330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-$1.57亿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长荣海运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NT$865亿</w:t>
              <w:br/>
              <w:t>($27.3亿)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$2.70亿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-69.7%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$2.80亿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$40.42亿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$0.55亿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-82.2%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319.5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~$1,265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$0.74亿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阳明海运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-81.5%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万海航运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-12.1%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N/A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ZIM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$14.0亿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-$0.86亿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亏损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$1,310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-$0.18亿</w:t>
            </w:r>
          </w:p>
        </w:tc>
      </w:tr>
    </w:tbl>
    <w:p/>
    <w:p>
      <w:r>
        <w:rPr>
          <w:color w:val="808080"/>
          <w:sz w:val="18"/>
        </w:rPr>
        <w:t>*马士基平均运价含物流等综合收入；纯航运运价约$1,400-1,600/TEU。阳明、万海仅知利润同比%。</w:t>
      </w:r>
    </w:p>
    <w:p/>
    <w:p>
      <w:pPr>
        <w:pStyle w:val="Heading2"/>
      </w:pPr>
      <w:r>
        <w:t>2.2 关键发现</w:t>
      </w:r>
    </w:p>
    <w:p>
      <w:r>
        <w:t>• 只有中远海控在CCFI 1,180点下实现了显著的净利润（¥58.77亿），这反映了其低成本结构（自有船比例75%、中国本土化运营）。</w:t>
      </w:r>
    </w:p>
    <w:p>
      <w:r>
        <w:t>• 三大欧洲航司（马士基、达飞、赫伯罗特）均出现利润断崖式下滑，马士基Ocean部门EBIT为-$1.92亿、赫伯罗特净亏损-$2.56亿。</w:t>
      </w:r>
    </w:p>
    <w:p>
      <w:r>
        <w:t>• 亚洲航司（中远海控、长荣、ONE）在低运价环境中表现相对坚韧，得益于较低的运营成本和亚洲内贸航线的支撑。</w:t>
      </w:r>
    </w:p>
    <w:p>
      <w:r>
        <w:t>• ZIM作为高杠杆、低自有船比例的航司，在运价下行周期中率先严重亏损。</w:t>
      </w:r>
    </w:p>
    <w:p>
      <w:r>
        <w:t>• CCFI 1,180点远高于2023年Q4的854点，但更多公司亏损，证明行业盈亏线已系统性上移。</w:t>
      </w:r>
    </w:p>
    <w:p>
      <w:r>
        <w:br w:type="page"/>
      </w:r>
    </w:p>
    <w:p>
      <w:pPr>
        <w:pStyle w:val="Heading1"/>
      </w:pPr>
      <w:r>
        <w:t>三、2023年各季度详细数据</w:t>
      </w:r>
    </w:p>
    <w:p>
      <w:r>
        <w:t>2023年是航运业从疫情泡沫回归正常化的过渡之年。CCFI全年均值937点，较2022年约2,800点下跌约66%。得益于2021-2022年签约的高价长协合同在2023年持续执行，各航司全年仍实现盈利，但季度利润逐季加速下滑。</w:t>
      </w:r>
    </w:p>
    <w:p>
      <w:pPr>
        <w:pStyle w:val="Heading2"/>
      </w:pPr>
      <w:r>
        <w:t>3.1 马士基2023年各季度（精确数据）</w:t>
      </w:r>
    </w:p>
    <w:p>
      <w:r>
        <w:t>来源：MacroTrends/Maersk IR。数据为归属于股东的净利润（Net Income）。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季度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营收（亿美元）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净利润（亿美元）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Q1 2023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142.07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22.84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Q2 2023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129.88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14.53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Q3 2023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121.29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Q4 2023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117.41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-4.36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全年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510.65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38.22</w:t>
            </w:r>
          </w:p>
        </w:tc>
      </w:tr>
    </w:tbl>
    <w:p/>
    <w:p>
      <w:pPr>
        <w:pStyle w:val="Heading2"/>
      </w:pPr>
      <w:r>
        <w:t>3.2 赫伯罗特2023年各季度</w:t>
      </w:r>
    </w:p>
    <w:p>
      <w:r>
        <w:t>全年数据：营收$193.91亿（EUR 179.30亿），净利润$31.91亿（EUR 29.51亿），平均运价$1,500/TEU，货量1,190.7万TEU。季度拆分（基于半年度报告推算）：</w:t>
      </w:r>
    </w:p>
    <w:p>
      <w:r>
        <w:t>• Q1 2023：营收约EUR 56.19亿，净利润约EUR 18.93亿（约$20亿）</w:t>
      </w:r>
    </w:p>
    <w:p>
      <w:r>
        <w:t>• Q2 2023：营收约EUR 44.17亿，净利润约EUR 10.05亿（约$11亿）</w:t>
      </w:r>
    </w:p>
    <w:p>
      <w:r>
        <w:t>• Q3 2023：营收约EUR 41亿，净利润约EUR 4亿（约$4.3亿）</w:t>
      </w:r>
    </w:p>
    <w:p>
      <w:r>
        <w:t>• Q4 2023：营收约EUR 38亿，净利润约EUR 0.53亿（约$0.57亿，趋近盈亏）</w:t>
      </w:r>
    </w:p>
    <w:p>
      <w:r>
        <w:t>• 全年：营收EUR 179.30亿，净利润EUR 29.51亿（约$31.91亿）</w:t>
      </w:r>
    </w:p>
    <w:p/>
    <w:p>
      <w:pPr>
        <w:pStyle w:val="Heading2"/>
      </w:pPr>
      <w:r>
        <w:t>3.3 中远海控2023年各季度</w:t>
      </w:r>
    </w:p>
    <w:p>
      <w:r>
        <w:t>来源：上交所公告、东方财富。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季度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营收（亿元RMB）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归母净利润</w:t>
              <w:br/>
              <w:t>（亿元RMB）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CCFI均值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Q1 2023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473.53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71.27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~1,080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Q2 2023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~454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~94.34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~950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Q3 2023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427.14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55.10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~890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Q4 2023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17.89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~854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全年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1,754.48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238.60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937</w:t>
            </w:r>
          </w:p>
        </w:tc>
      </w:tr>
    </w:tbl>
    <w:p/>
    <w:p>
      <w:pPr>
        <w:pStyle w:val="Heading2"/>
      </w:pPr>
      <w:r>
        <w:t>3.4 2023年各季度CCFI与三大航司利润对照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季度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CCFI均值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马士基</w:t>
              <w:br/>
              <w:t>净利润($亿)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赫伯罗特</w:t>
              <w:br/>
              <w:t>净利润(EUR亿)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中远海控</w:t>
              <w:br/>
              <w:t>归母净利润(¥亿)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~1,080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22.84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~18.93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71.27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~950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~10.05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~94.34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Q3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55.10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Q4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~854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-4.36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~0.53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17.89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全年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38.22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238.60</w:t>
            </w:r>
          </w:p>
        </w:tc>
      </w:tr>
    </w:tbl>
    <w:p>
      <w:r>
        <w:br w:type="page"/>
      </w:r>
    </w:p>
    <w:p>
      <w:pPr>
        <w:pStyle w:val="Heading1"/>
      </w:pPr>
      <w:r>
        <w:t>四、2023 vs 2026：结构性成本上移分析</w:t>
      </w:r>
    </w:p>
    <w:p>
      <w:r>
        <w:t>核心问题：为什么2023年CCFI 854点（Q4）时三大航司仍能实现正利润，而2026年Q1 CCFI约1,180点（高了38%）时，马士基和赫伯罗特反而出现亏损？答案在于：（1）长协保底消失；（2）硬性成本大幅上涨；（3）运力供给格局变化。</w:t>
      </w:r>
    </w:p>
    <w:p>
      <w:pPr>
        <w:pStyle w:val="Heading2"/>
      </w:pPr>
      <w:r>
        <w:t>4.1 长协保底消失效应</w:t>
      </w:r>
    </w:p>
    <w:p>
      <w:r>
        <w:t>长协合同是航运公司利润的"蓄水池"。2022年高峰期签约的3年长约（保底运价$2,000-2,500/TEU）在2023年持续执行，而当期即期运价已跌至$800-1,000/TEU——这个"剪刀差"是2023年利润的重要来源。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2023年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2026年Q1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长协签约时间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2021-2022年（CCFI峰值期）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2024-2025年（CCFI均值~1,350）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基准大幅下降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长协保底价格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$2,000-2,500/TEU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$1,300-1,500/TEU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-35~40%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马士基长协比例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60-65%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60-65%（比例不变）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单价大降</w:t>
            </w:r>
          </w:p>
        </w:tc>
      </w:tr>
    </w:tbl>
    <w:p/>
    <w:p>
      <w:r>
        <w:t>参考：中远海控长协比例约40-50%，马士基和赫伯罗特长协比例约60-65%。2023年Q4虽然CCFI仅854点，但中远海控执行的长期合同均价可能仍在$1,500-1,800/TEU，与即期运价的巨大差距提供了利润缓冲。到2026年，长协价格已重置到较低水平，公司只能依靠即期运价和较薄的长协利润生存。</w:t>
      </w:r>
    </w:p>
    <w:p>
      <w:pPr>
        <w:pStyle w:val="Heading2"/>
      </w:pPr>
      <w:r>
        <w:t>4.2 硬性成本全面上涨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成本项目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2023年水平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2026年估计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新船折旧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较低（新船尚未大量交付）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大幅增加（2023-2025年新船密集交付）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红海绕航（每TEU）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无（苏伊士正常通行）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+$150-200（绕行好望角）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EU ETS碳配额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尚未纳入（航运2024年起实施）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覆盖率70%，每航次成本数万至数十万美元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船员工资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基准水平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+25-30%（全球船员短缺）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燃油成本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布伦特$75-85/桶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布伦特$80-90/桶（略有上升）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保险费/战争附加费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正常水平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显著上升（红海/中东风险）</w:t>
            </w:r>
          </w:p>
        </w:tc>
      </w:tr>
    </w:tbl>
    <w:p/>
    <w:p>
      <w:r>
        <w:t>综合估算：2026年Q1较2023年Q4，每TEU运营成本增加约$200-300。这意味着在同样CCFI下，2026年各公司的利润比2023年减少了约$6-10亿/季度（假设各公司货量300-700万TEU）。</w:t>
      </w:r>
    </w:p>
    <w:p>
      <w:pPr>
        <w:pStyle w:val="Heading2"/>
      </w:pPr>
      <w:r>
        <w:t>4.3 运力供给格局变化</w:t>
      </w:r>
    </w:p>
    <w:p>
      <w:r>
        <w:t>2021-2022年创纪录的利润催生了新造船热潮。根据Alphaliner数据，2023-2025年全球集装箱船队运力增长约8-10%/年，而需求增长仅2-4%。2026年Q1，全球闲置运力比例从2023年的接近零回升至3-5%。新增运力以超大型船（18,000-24,000 TEU）为主，需要以低运价填舱，进一步压制了运价。</w:t>
      </w:r>
    </w:p>
    <w:p>
      <w:pPr>
        <w:pStyle w:val="Heading2"/>
      </w:pPr>
      <w:r>
        <w:t>4.4 盈亏线推移量化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航司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2023年盈亏CCFI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2026年盈亏CCFI（估）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马士基（Ocean部门）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950-1,000点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1,050-1,100点（+100点）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赫伯罗特（集团）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1,000-1,050点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1,100-1,200点（+100-150点）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中远海控（集团）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750-800点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800-900点（+50-100点）</w:t>
            </w:r>
          </w:p>
        </w:tc>
      </w:tr>
    </w:tbl>
    <w:p/>
    <w:p>
      <w:r>
        <w:t>结论：行业盈亏平衡CCFI已从~900点上移约150点至~1,050点。结构性成本上移意味着即使CCFI回升至1,200点，行业整体利润水平也将远低于历史可比区间。</w:t>
      </w:r>
    </w:p>
    <w:p>
      <w:r>
        <w:br w:type="page"/>
      </w:r>
    </w:p>
    <w:p>
      <w:pPr>
        <w:pStyle w:val="Heading1"/>
      </w:pPr>
      <w:r>
        <w:t>五、盈亏平衡CCFI测算（更新版）</w:t>
      </w:r>
    </w:p>
    <w:p>
      <w:r>
        <w:t>综合2023年各季度与2026年Q1的数据，结合长协重置和成本上移因素，以下为各航司2026年盈亏平衡CCFI区间估算：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航司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盈亏平衡CCFI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对应运价$/TEU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成本竞争力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中远海控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800-900点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~1,050-1,150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最强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长荣海运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850-950点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~1,100-1,200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万海航运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900-1,000点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~1,150-1,250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较强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950-1,050点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~1,200-1,300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中等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达飞（CMA CGM）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950-1,050点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~1,200-1,300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中等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马士基（Ocean）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1,050-1,100点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~1,300-1,400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中等偏弱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马士基（集团整体）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950-1,050点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~1,200-1,300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中等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阳明海运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1,000-1,100点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~1,250-1,350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偏弱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赫伯罗特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1,100-1,200点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~1,400-1,500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最弱</w:t>
            </w:r>
          </w:p>
        </w:tc>
      </w:tr>
    </w:tbl>
    <w:p/>
    <w:p>
      <w:r>
        <w:t>注：盈亏平衡CCFI为综合毛利覆盖所有成本（含折旧、利息、碳税等）后达到盈亏平衡所需的CCFI水平。实际值受航线结构、燃油成本、汇率等多因素影响，上述为区间估计。</w:t>
      </w:r>
    </w:p>
    <w:p>
      <w:r>
        <w:br w:type="page"/>
      </w:r>
    </w:p>
    <w:p>
      <w:pPr>
        <w:pStyle w:val="Heading1"/>
      </w:pPr>
      <w:r>
        <w:t>六、十年CCFI周期与盈亏成本线回溯（2015-2026）</w:t>
      </w:r>
    </w:p>
    <w:p>
      <w:pPr>
        <w:pStyle w:val="Heading2"/>
      </w:pPr>
      <w:r>
        <w:t>6.1 年度CCFI与行业盈亏状态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CCFI年均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CCFI区间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马士基净利润</w:t>
              <w:br/>
              <w:t>($亿)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中远海控</w:t>
              <w:br/>
              <w:t>(¥亿)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行业盈亏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关键事件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780-1,000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$7.91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¥28.4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盈亏边缘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运力过剩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~711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636-820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-$19.39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¥-99.1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全行业亏损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韩进破产，历史最低636点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770-870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-$12.05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¥26.6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盈亏边缘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行业整合修复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790-850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$31.57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盈亏边缘~微利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供需相对平衡，中美贸易摩擦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~811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770-860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-$0.84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¥67.6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盈亏边缘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中美贸易摩擦加剧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~984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900-1,200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$28.50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¥99.3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前低后高→大幅盈利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疫情冲击后需求爆发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~2,600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1,800-3,300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$179.42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¥892.96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暴利（历史最高）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一箱难求，超级周期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~2,800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2,000-3,555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$291.98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¥1,096.84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暴利（历史最高）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1月峰值3,555点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816-1,100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$38.22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¥238.60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盈利但逐季下滑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长协保底掩盖真实成本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~1,551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940-2,180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$61.09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¥491.00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大幅盈利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红海绕航提振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1,050-1,400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$27.25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¥N/A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盈利收窄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新增运力压制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2026(E)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~1,180</w:t>
              <w:br/>
              <w:t>(Q1均值)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1,112-1,280</w:t>
              <w:br/>
              <w:t>→当前1,710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~$4(年化估)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~¥235(年化估)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分化加剧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结构性成本上移压力测试</w:t>
            </w:r>
          </w:p>
        </w:tc>
      </w:tr>
    </w:tbl>
    <w:p/>
    <w:p>
      <w:r>
        <w:t>注：马士基2017年净亏损含一次性重组费用；中远海控2016年亏损因集运业务整合。</w:t>
      </w:r>
    </w:p>
    <w:p>
      <w:pPr>
        <w:pStyle w:val="Heading2"/>
      </w:pPr>
      <w:r>
        <w:t>6.2 十年盈亏线的几个关键观察</w:t>
      </w:r>
    </w:p>
    <w:p>
      <w:r>
        <w:t>• CCFI &lt; 800点时，全行业亏损且可能引发破产事件（2016年韩进）或大规模整合（2016-2017年）。</w:t>
      </w:r>
    </w:p>
    <w:p>
      <w:r>
        <w:t>• CCFI 800-950点时，行业在盈亏边缘，但不同成本结构的公司表现分化显著。低成本公司（中远海控）仍能盈利，高成本公司（赫伯罗特）亏损。</w:t>
      </w:r>
    </w:p>
    <w:p>
      <w:r>
        <w:t>• CCFI 950-1,200点是"常规盈利区间"，多数航司能维持正EBIT但净利润率不高（5-10%）。</w:t>
      </w:r>
    </w:p>
    <w:p>
      <w:r>
        <w:t>• CCFI &gt; 1,500点是"高利润区间"，对应2021-2022年、2024年——这些时期的出现往往伴随着供应链扰动（疫情、红海）。</w:t>
      </w:r>
    </w:p>
    <w:p>
      <w:r>
        <w:t>• 过去十年中，CCFI低于900点的时间约占总时长的40%，高于1,500点的时间约25%，其余时间在900-1,500点之间。</w:t>
      </w:r>
    </w:p>
    <w:p>
      <w:r>
        <w:t>• 值得注意的是：2019年CCFI均值811点比2023年937点还低14%，但当时马士基基本盈亏平衡、中远海控仍有¥67.6亿利润。这进一步佐证了：2023年的利润是"长协红利"而非真实成本结构的反映。</w:t>
      </w:r>
    </w:p>
    <w:p>
      <w:r>
        <w:br w:type="page"/>
      </w:r>
    </w:p>
    <w:p>
      <w:pPr>
        <w:pStyle w:val="Heading1"/>
      </w:pPr>
      <w:r>
        <w:t>七、CCFI在盈亏线上下的区间分析</w:t>
      </w:r>
    </w:p>
    <w:p>
      <w:pPr>
        <w:pStyle w:val="Heading2"/>
      </w:pPr>
      <w:r>
        <w:t>7.1 四区间划分法</w:t>
      </w:r>
    </w:p>
    <w:p>
      <w:r>
        <w:t>基于十年数据，将CCFI分为四个关键区间，每个区间的行业状态和历史分布如下：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区间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CCFI范围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行业状态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历史占比</w:t>
              <w:br/>
              <w:t>(2015-2026)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代表时期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危险区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&lt; 800点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全行业亏损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2016年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盈亏边缘区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800-950点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公司分化，</w:t>
              <w:br/>
              <w:t>高成本亏损</w:t>
              <w:br/>
              <w:t>低成本微利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~35%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2017-2019年</w:t>
              <w:br/>
              <w:t>2023年Q4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常规盈利区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950-1,500点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行业整体盈利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2020年</w:t>
              <w:br/>
              <w:t>2025年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暴利区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&gt; 1,500点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行业大幅盈利</w:t>
              <w:br/>
              <w:t>ROE &gt; 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~25%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2021-2022年</w:t>
              <w:br/>
              <w:t>2024年</w:t>
            </w:r>
          </w:p>
        </w:tc>
      </w:tr>
    </w:tbl>
    <w:p/>
    <w:p>
      <w:pPr>
        <w:pStyle w:val="Heading2"/>
      </w:pPr>
      <w:r>
        <w:t>7.2 CCFI低于盈亏线的时间段（2015-2026）</w:t>
      </w:r>
    </w:p>
    <w:p>
      <w:r>
        <w:rPr>
          <w:b/>
        </w:rPr>
        <w:t>• 2015年H2至2017年初（约18个月）：</w:t>
      </w:r>
      <w:r>
        <w:t>CCFI从~1,000点跌至636点后缓慢回升。韩进海运2016年8月破产。行业经历大规模整合，中远与中海合并，马士基收购汉堡南美。</w:t>
      </w:r>
    </w:p>
    <w:p>
      <w:r>
        <w:rPr>
          <w:b/>
        </w:rPr>
        <w:t>• 2018-2019年（约24个月，但2020年Q1仅3个月）：</w:t>
      </w:r>
      <w:r>
        <w:t>CCFI在770-870点区间运行。通过运力联盟（2M、OCEAN、THE Alliance）的停航管理，行业避免了大规模亏损但利润极薄。</w:t>
      </w:r>
    </w:p>
    <w:p>
      <w:r>
        <w:rPr>
          <w:b/>
        </w:rPr>
        <w:t>• 2023年Q3-Q4（约6个月）：</w:t>
      </w:r>
      <w:r>
        <w:t>CCFI跌至816-890点。航司靠长协保底维持全年正利润，但Q4赫伯罗特EBIT已转负，马士基Q4净亏损$4.36亿。</w:t>
      </w:r>
    </w:p>
    <w:p>
      <w:pPr>
        <w:pStyle w:val="Heading2"/>
      </w:pPr>
      <w:r>
        <w:t>7.3 CCFI高于盈亏线的大涨周期</w:t>
      </w:r>
    </w:p>
    <w:p>
      <w:r>
        <w:rPr>
          <w:b/>
        </w:rPr>
        <w:t>• 2020年H2至2022年Q4（约30个月）：</w:t>
      </w:r>
      <w:r>
        <w:t>疫情期间超级周期。CCFI从~1,000飙升至3,555（历史峰值）。马士基两年净利润合计$470亿，中远海控合计¥1,990亿。</w:t>
      </w:r>
    </w:p>
    <w:p>
      <w:r>
        <w:rPr>
          <w:b/>
        </w:rPr>
        <w:t>• 2024年全年至2025年初（约12个月）：</w:t>
      </w:r>
      <w:r>
        <w:t>红海绕航推升CCFI年均值至1,551点。中远海控2024年归母净利润¥491亿（同比+106%）。</w:t>
      </w:r>
    </w:p>
    <w:p>
      <w:r>
        <w:rPr>
          <w:b/>
        </w:rPr>
        <w:t>• 2026年Q2（正在发生）：</w:t>
      </w:r>
      <w:r>
        <w:t>截至6月26日CCFI 1,710点。旺季+红海持续扰动驱动，但持续性存疑。</w:t>
      </w:r>
    </w:p>
    <w:p>
      <w:pPr>
        <w:pStyle w:val="Heading2"/>
      </w:pPr>
      <w:r>
        <w:t>7.4 当前所处区间与情景分析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情景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CCFI预期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对行业利润影响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基准：红海延续扰动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1,200-1,500点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中远海控年化¥120-200亿利润</w:t>
              <w:br/>
              <w:t>马士基Ocean盈亏平衡</w:t>
              <w:br/>
              <w:t>赫伯罗特微亏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乐观：红海升级/旺季超预期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1,500-2,000点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全行业大幅盈利</w:t>
              <w:br/>
              <w:t>接近2024年水平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悲观：红海恢复+运力过剩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900-1,100点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中远海控微利</w:t>
              <w:br/>
              <w:t>马士基Ocean亏损</w:t>
              <w:br/>
              <w:t>赫伯罗特、ZIM深度亏损</w:t>
            </w:r>
          </w:p>
        </w:tc>
      </w:tr>
    </w:tbl>
    <w:p>
      <w:r>
        <w:br w:type="page"/>
      </w:r>
    </w:p>
    <w:p>
      <w:pPr>
        <w:pStyle w:val="Heading1"/>
      </w:pPr>
      <w:r>
        <w:t>八、结论与展望</w:t>
      </w:r>
    </w:p>
    <w:p>
      <w:pPr>
        <w:pStyle w:val="Heading2"/>
      </w:pPr>
      <w:r>
        <w:t>8.1 核心结论</w:t>
      </w:r>
    </w:p>
    <w:p>
      <w:r>
        <w:t>1. 行业盈亏成本线已系统性上移。2023年凭借长协红利维持盈利的时代已经结束，2026年的真实成本结构中，行业盈亏平衡CCFI从~900点抬高至~1,050点。</w:t>
      </w:r>
    </w:p>
    <w:p>
      <w:r>
        <w:t>2. 中远海控凭借自有船比例高（75%）、中国本土化运营成本低，是当前环境下成本竞争力最强的航司。2026年Q1 CCFI 1,180点下仍实现¥58.77亿利润。</w:t>
      </w:r>
    </w:p>
    <w:p>
      <w:r>
        <w:t>3. 赫伯罗特成本结构最脆弱，2026年Q1 CCFI 1,180点时已净亏损$2.56亿。马士基虽有Logistics和Terminals业务缓冲，但Ocean部门亏损-$1.92亿。</w:t>
      </w:r>
    </w:p>
    <w:p>
      <w:r>
        <w:t>4. 十年数据表明，CCFI 800点以下是行业的"破产区间"，800-950点是"生存挑战区"，950-1,500点是"常规盈利区"，1,500点以上是"暴利区"。</w:t>
      </w:r>
    </w:p>
    <w:p>
      <w:r>
        <w:t>5. CCFI从2023年低点816点反弹至当前1,710点，行业短期盈利改善。但长周期来看，新增运力压力和需求增长放缓决定了运价长期中枢难以维持在1,500点以上。</w:t>
      </w:r>
    </w:p>
    <w:p>
      <w:pPr>
        <w:pStyle w:val="Heading2"/>
      </w:pPr>
      <w:r>
        <w:t>8.2 关键变量与展望</w:t>
      </w:r>
    </w:p>
    <w:p>
      <w:r>
        <w:t>1. 红海局势：是最重要的短期变量。若红海恢复通行，有效运力增加10-12%，可能推动CCFI回落至1,100-1,300点。</w:t>
      </w:r>
    </w:p>
    <w:p>
      <w:r>
        <w:t>2. 新船交付：2025-2026年还有约200万TEU新船交付。即便考虑拆船对冲，净运力增速仍约5-7%，持续压制运价。</w:t>
      </w:r>
    </w:p>
    <w:p>
      <w:r>
        <w:t>3. 环保成本：EU ETS 2026年对航运覆盖比例提升至70%，IMO碳强度指标（CII）进一步收紧。环保合规成本预计每年增加行业总成本$5-10亿。</w:t>
      </w:r>
    </w:p>
    <w:p>
      <w:r>
        <w:t>4. 行业整合：马士基与赫伯罗特的"Gemini"合作（2025年启动）以及THE Alliance重组正在重塑行业格局。集中度提升有助于中长期运价稳定。</w:t>
      </w:r>
    </w:p>
    <w:p>
      <w:r>
        <w:t>5. 需求端：全球GDP增速预期约3%，集装箱贸易量增速约2-4%。中国出口结构向高附加值产品转型，对运价弹性可能下降。</w:t>
      </w:r>
    </w:p>
    <w:p/>
    <w:p>
      <w:pPr>
        <w:pStyle w:val="Heading1"/>
      </w:pPr>
      <w:r>
        <w:t>附录：数据来源与说明</w:t>
      </w:r>
    </w:p>
    <w:p>
      <w:r>
        <w:t>• 马士基IR（investor.maersk.com）- 2023各季度及2026Q1季报数据</w:t>
      </w:r>
    </w:p>
    <w:p>
      <w:r>
        <w:t>• 赫伯罗特IR（hapag-lloyd.com）- 2023年报及2026Q1季报</w:t>
      </w:r>
    </w:p>
    <w:p>
      <w:r>
        <w:t>• 中远海控（601919.SH）上交所公告、东方财富、中国证券报</w:t>
      </w:r>
    </w:p>
    <w:p>
      <w:r>
        <w:t>• CMA CGM集团官网（cmacgm-group.com）- 2026Q1财务新闻稿</w:t>
      </w:r>
    </w:p>
    <w:p>
      <w:r>
        <w:t>• 长荣海运（Evergreen）台交所公告、航运界网</w:t>
      </w:r>
    </w:p>
    <w:p>
      <w:r>
        <w:t>• ONE（Ocean Network Express）FY2025 Q4财务报告</w:t>
      </w:r>
    </w:p>
    <w:p>
      <w:r>
        <w:t>• ZIM IR（investors.zim.com）- 2026Q1财报</w:t>
      </w:r>
    </w:p>
    <w:p>
      <w:r>
        <w:t>• 上海航运交易所（sse.net.cn）- CCFI周度数据</w:t>
      </w:r>
    </w:p>
    <w:p>
      <w:r>
        <w:t>• 交通运输部 - 出口集装箱运价指数月度报告</w:t>
      </w:r>
    </w:p>
    <w:p>
      <w:r>
        <w:t>• MacroTrends - 马士基历史财务数据</w:t>
      </w:r>
    </w:p>
    <w:p>
      <w:r>
        <w:t>• MacroMicro财经M平方 - CCFI十年走势</w:t>
      </w:r>
    </w:p>
    <w:p>
      <w:r>
        <w:t>• Alphaliner - 全球集装箱船队运力数据</w:t>
      </w:r>
    </w:p>
    <w:p>
      <w:r>
        <w:t>• Container News、FreightWeek、LoadStar等行业媒体</w:t>
      </w:r>
    </w:p>
    <w:p>
      <w:r>
        <w:t>• 雪球用户分析文章（2014-2025年CCFI十年走势分析）</w:t>
      </w:r>
    </w:p>
    <w:p/>
    <w:p>
      <w:r>
        <w:rPr>
          <w:i/>
          <w:color w:val="808080"/>
          <w:sz w:val="18"/>
        </w:rPr>
        <w:t>免责声明：本报告基于公开数据整理分析，仅供研究参考，不构成任何投资建议。数据可能存在统计口径差异和延后，以各公司官方披露为准。CCFI盈亏平衡点测算为近似值，受燃油价格、航线结构、汇率、环保政策等多种因素影响，存在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