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8" w:name="fifth-point-boundary-coefficients"/>
    <w:p>
      <w:pPr>
        <w:pStyle w:val="Title"/>
        <w:widowControl/>
      </w:pPr>
      <w:r>
        <w:t xml:space="preserve">Fifth-point boundary coefficients</w:t>
      </w:r>
    </w:p>
    <w:p>
      <w:pPr>
        <w:pStyle w:val="FirstParagraph"/>
        <w:widowControl/>
      </w:pPr>
      <w:r>
        <w:t xml:space="preserve">Research continuation for David · 30 September 2026</w:t>
      </w:r>
    </w:p>
    <w:p>
      <w:pPr>
        <w:pStyle w:val="BodyText"/>
        <w:widowControl/>
      </w:pPr>
      <w:r>
        <w:t xml:space="preserve">The fifth-point investigation has produced explicit proofs identifying both missing boundaries as Cartier images of differentials of the second kind, a precise explanation of why the easiest differentiation and quintic character-sum shortcuts do not finish their evaluation, and a working exact implementation of complete fifth-point</w:t>
      </w:r>
      <w:r>
        <w:t xml:space="preserve"> </w:t>
      </w:r>
      <m:oMath>
        <m:r>
          <m:t>U</m:t>
        </m:r>
      </m:oMath>
      <w:r>
        <w:t xml:space="preserve"> </w:t>
      </w:r>
      <w:r>
        <w:t xml:space="preserve">workloads. The implementation combines the archived genus-two Miller prefix theorem with a conventional scalar polynomial block product. It improves the measured large-input workloads against the archived matrix product, while retaining square-root dependence on the prime. It does not establish a logarithmic-time boundary evaluation. The mathematical arguments in this continuation are unrefereed; their novelty has not been established.</w:t>
      </w:r>
    </w:p>
    <w:p>
      <w:pPr>
        <w:pStyle w:val="BodyText"/>
        <w:widowControl/>
      </w:pPr>
      <w:r>
        <w:t xml:space="preserve">The original archive remains authoritative and unchanged. Its maximal higher-genus theorem is an established positive result within that unrefereed research record. The quarter-point result and the latest genus-one exceptional normalization are preserved, including the independent v2 review’s cutoff correction and finite-verification status at</w:t>
      </w:r>
      <w:r>
        <w:t xml:space="preserve"> </w:t>
      </w:r>
      <m:oMath>
        <m:r>
          <m:t>p</m:t>
        </m:r>
        <m:r>
          <m:rPr>
            <m:sty m:val="p"/>
          </m:rPr>
          <m:t>=</m:t>
        </m:r>
        <m:r>
          <m:t>5</m:t>
        </m:r>
      </m:oMath>
      <w:r>
        <w:t xml:space="preserve">. The separate exceptional extension-field and integral norm/trace investigations are not revised here. This report does not change Cartier Miller Bench 0.1, Studio, or their validation records.</w:t>
      </w:r>
    </w:p>
    <w:bookmarkStart w:id="20" w:name="the-exact-target"/>
    <w:p>
      <w:pPr>
        <w:pStyle w:val="Heading2"/>
        <w:widowControl/>
      </w:pPr>
      <w:r>
        <w:t xml:space="preserve">The exact target</w:t>
      </w:r>
    </w:p>
    <w:p>
      <w:pPr>
        <w:pStyle w:val="FirstParagraph"/>
        <w:keepNext/>
        <w:widowControl/>
      </w:pPr>
      <w:r>
        <w:t xml:space="preserve">Let</w:t>
      </w:r>
      <w:r>
        <w:t xml:space="preserve"> </w:t>
      </w:r>
      <m:oMath>
        <m:r>
          <m:t>p</m:t>
        </m:r>
        <m:r>
          <m:rPr>
            <m:sty m:val="p"/>
          </m:rPr>
          <m:t>≥</m:t>
        </m:r>
        <m:r>
          <m:t>19</m:t>
        </m:r>
      </m:oMath>
      <w:r>
        <w:t xml:space="preserve"> </w:t>
      </w:r>
      <w:r>
        <w:t xml:space="preserve">be prime with</w:t>
      </w:r>
      <w:r>
        <w:t xml:space="preserve"> </w:t>
      </w:r>
      <m:oMath>
        <m:r>
          <m:t>p</m:t>
        </m:r>
        <m:r>
          <m:rPr>
            <m:sty m:val="p"/>
          </m:rPr>
          <m:t>≡</m:t>
        </m:r>
        <m:r>
          <m:rPr>
            <m:sty m:val="p"/>
          </m:rPr>
          <m:t>−</m:t>
        </m:r>
        <m:r>
          <m:t>1</m:t>
        </m:r>
        <m:r>
          <m:t> </m:t>
        </m:r>
        <m:r>
          <m:rPr>
            <m:sty m:val="p"/>
          </m:rPr>
          <m:t>(</m:t>
        </m:r>
        <m:r>
          <m:rPr>
            <m:sty m:val="p"/>
          </m:rPr>
          <m:t>mod</m:t>
        </m:r>
        <m:r>
          <m:t> </m:t>
        </m:r>
        <m:r>
          <m:t>5</m:t>
        </m:r>
        <m:r>
          <m:rPr>
            <m:sty m:val="p"/>
          </m:rPr>
          <m:t>)</m:t>
        </m:r>
      </m:oMath>
      <w:r>
        <w:t xml:space="preserve">, and put</w:t>
      </w:r>
    </w:p>
    <w:p>
      <w:pPr>
        <w:pStyle w:val="BodyText"/>
        <w:keepLines/>
        <w:widowControl/>
        <w:spacing w:before="60" w:after="140"/>
      </w:pPr>
      <m:oMathPara>
        <m:oMathParaPr>
          <m:jc m:val="center"/>
        </m:oMathParaPr>
        <m:oMath>
          <m:r>
            <m:t>h</m:t>
          </m:r>
          <m:r>
            <m:rPr>
              <m:sty m:val="p"/>
            </m:rPr>
            <m:t>=</m:t>
          </m:r>
          <m:f>
            <m:fPr>
              <m:type m:val="bar"/>
            </m:fPr>
            <m:num>
              <m:r>
                <m:t>p</m:t>
              </m:r>
              <m:r>
                <m:rPr>
                  <m:sty m:val="p"/>
                </m:rPr>
                <m:t>−</m:t>
              </m:r>
              <m:r>
                <m:t>1</m:t>
              </m:r>
            </m:num>
            <m:den>
              <m:r>
                <m:t>2</m:t>
              </m:r>
            </m:den>
          </m:f>
          <m:r>
            <m:rPr>
              <m:sty m:val="p"/>
            </m:rPr>
            <m:t>,</m:t>
          </m:r>
          <m:r>
            <m:t>  </m:t>
          </m:r>
          <m:r>
            <m:t>L</m:t>
          </m:r>
          <m:r>
            <m:rPr>
              <m:sty m:val="p"/>
            </m:rPr>
            <m:t>=</m:t>
          </m:r>
          <m:f>
            <m:fPr>
              <m:type m:val="bar"/>
            </m:fPr>
            <m:num>
              <m:r>
                <m:t>p</m:t>
              </m:r>
              <m:r>
                <m:rPr>
                  <m:sty m:val="p"/>
                </m:rPr>
                <m:t>+</m:t>
              </m:r>
              <m:r>
                <m:t>1</m:t>
              </m:r>
            </m:num>
            <m:den>
              <m:r>
                <m:t>5</m:t>
              </m:r>
            </m:den>
          </m:f>
          <m:r>
            <m:rPr>
              <m:sty m:val="p"/>
            </m:rPr>
            <m:t>,</m:t>
          </m:r>
          <m:r>
            <m:t>  </m:t>
          </m:r>
          <m:sSub>
            <m:e>
              <m:r>
                <m:t>a</m:t>
              </m:r>
            </m:e>
            <m:sub>
              <m:r>
                <m:t>n</m:t>
              </m:r>
            </m:sub>
          </m:sSub>
          <m:r>
            <m:rPr>
              <m:sty m:val="p"/>
            </m:rPr>
            <m:t>=</m:t>
          </m:r>
          <m:d>
            <m:dPr>
              <m:begChr m:val="("/>
              <m:endChr m:val=")"/>
              <m:sepChr m:val=""/>
              <m:grow/>
            </m:dPr>
            <m:e>
              <m:f>
                <m:fPr>
                  <m:type m:val="noBar"/>
                </m:fPr>
                <m:num>
                  <m:r>
                    <m:t>2</m:t>
                  </m:r>
                  <m:r>
                    <m:t>n</m:t>
                  </m:r>
                </m:num>
                <m:den>
                  <m:r>
                    <m:t>n</m:t>
                  </m:r>
                </m:den>
              </m:f>
            </m:e>
          </m:d>
          <m:sSup>
            <m:e>
              <m:r>
                <m:t>8</m:t>
              </m:r>
            </m:e>
            <m:sup>
              <m:r>
                <m:rPr>
                  <m:sty m:val="p"/>
                </m:rPr>
                <m:t>−</m:t>
              </m:r>
              <m:r>
                <m:t>n</m:t>
              </m:r>
            </m:sup>
          </m:sSup>
          <m:r>
            <m:rPr>
              <m:sty m:val="p"/>
            </m:rPr>
            <m:t>,</m:t>
          </m:r>
          <m:r>
            <m:t>  </m:t>
          </m:r>
          <m:sSub>
            <m:e>
              <m:r>
                <m:t>B</m:t>
              </m:r>
            </m:e>
            <m:sub>
              <m:r>
                <m:t>n</m:t>
              </m:r>
            </m:sub>
          </m:sSub>
          <m:r>
            <m:rPr>
              <m:sty m:val="p"/>
            </m:rPr>
            <m:t>=</m:t>
          </m:r>
          <m:nary>
            <m:naryPr>
              <m:chr m:val="∑"/>
              <m:limLoc m:val="undOvr"/>
              <m:subHide m:val="off"/>
              <m:supHide m:val="off"/>
            </m:naryPr>
            <m:sub>
              <m:r>
                <m:t>i</m:t>
              </m:r>
              <m:r>
                <m:rPr>
                  <m:sty m:val="p"/>
                </m:rPr>
                <m:t>=</m:t>
              </m:r>
              <m:r>
                <m:t>0</m:t>
              </m:r>
            </m:sub>
            <m:sup>
              <m:r>
                <m:t>n</m:t>
              </m:r>
              <m:r>
                <m:rPr>
                  <m:sty m:val="p"/>
                </m:rPr>
                <m:t>−</m:t>
              </m:r>
              <m:r>
                <m:t>1</m:t>
              </m:r>
            </m:sup>
            <m:e>
              <m:sSub>
                <m:e>
                  <m:r>
                    <m:t>a</m:t>
                  </m:r>
                </m:e>
                <m:sub>
                  <m:r>
                    <m:t>i</m:t>
                  </m:r>
                </m:sub>
              </m:sSub>
            </m:e>
          </m:nary>
          <m:r>
            <m:rPr>
              <m:sty m:val="p"/>
            </m:rPr>
            <m:t>.</m:t>
          </m:r>
        </m:oMath>
      </m:oMathPara>
    </w:p>
    <w:p>
      <w:pPr>
        <w:pStyle w:val="FirstParagraph"/>
        <w:keepNext/>
        <w:widowControl/>
      </w:pPr>
      <w:r>
        <w:t xml:space="preserve">All displayed boundary and sum identities are modulo</w:t>
      </w:r>
      <w:r>
        <w:t xml:space="preserve"> </w:t>
      </w:r>
      <m:oMath>
        <m:r>
          <m:t>p</m:t>
        </m:r>
      </m:oMath>
      <w:r>
        <w:t xml:space="preserve">. The original rational sequence is</w:t>
      </w:r>
      <w:r>
        <w:t xml:space="preserve"> </w:t>
      </w:r>
      <m:oMath>
        <m:sSub>
          <m:e>
            <m:r>
              <m:t>t</m:t>
            </m:r>
          </m:e>
          <m:sub>
            <m:r>
              <m:t>0</m:t>
            </m:r>
          </m:sub>
        </m:sSub>
        <m:r>
          <m:rPr>
            <m:sty m:val="p"/>
          </m:rPr>
          <m:t>=</m:t>
        </m:r>
        <m:r>
          <m:t>1</m:t>
        </m:r>
      </m:oMath>
      <w:r>
        <w:t xml:space="preserve">,</w:t>
      </w:r>
      <w:r>
        <w:t xml:space="preserve"> </w:t>
      </w:r>
      <m:oMath>
        <m:sSub>
          <m:e>
            <m:r>
              <m:t>t</m:t>
            </m:r>
          </m:e>
          <m:sub>
            <m:r>
              <m:t>i</m:t>
            </m:r>
            <m:r>
              <m:rPr>
                <m:sty m:val="p"/>
              </m:rPr>
              <m:t>+</m:t>
            </m:r>
            <m:r>
              <m:t>1</m:t>
            </m:r>
          </m:sub>
        </m:sSub>
        <m:r>
          <m:rPr>
            <m:sty m:val="p"/>
          </m:rPr>
          <m:t>=</m:t>
        </m:r>
        <m:sSub>
          <m:e>
            <m:r>
              <m:t>t</m:t>
            </m:r>
          </m:e>
          <m:sub>
            <m:r>
              <m:t>i</m:t>
            </m:r>
          </m:sub>
        </m:sSub>
        <m:d>
          <m:dPr>
            <m:begChr m:val="("/>
            <m:endChr m:val=")"/>
            <m:sepChr m:val=""/>
            <m:grow/>
          </m:dPr>
          <m:e>
            <m:r>
              <m:t>h</m:t>
            </m:r>
            <m:r>
              <m:rPr>
                <m:sty m:val="p"/>
              </m:rPr>
              <m:t>+</m:t>
            </m:r>
            <m:r>
              <m:t>2</m:t>
            </m:r>
            <m:r>
              <m:rPr>
                <m:sty m:val="p"/>
              </m:rPr>
              <m:t>+</m:t>
            </m:r>
            <m:r>
              <m:t>i</m:t>
            </m:r>
          </m:e>
        </m:d>
        <m:r>
          <m:rPr>
            <m:sty m:val="p"/>
          </m:rPr>
          <m:t>/</m:t>
        </m:r>
        <m:d>
          <m:dPr>
            <m:begChr m:val="("/>
            <m:endChr m:val=")"/>
            <m:sepChr m:val=""/>
            <m:grow/>
          </m:dPr>
          <m:e>
            <m:r>
              <m:t>2</m:t>
            </m:r>
            <m:r>
              <m:t>i</m:t>
            </m:r>
            <m:r>
              <m:rPr>
                <m:sty m:val="p"/>
              </m:rPr>
              <m:t>+</m:t>
            </m:r>
            <m:r>
              <m:t>2</m:t>
            </m:r>
          </m:e>
        </m:d>
      </m:oMath>
      <w:r>
        <w:t xml:space="preserve">, and</w:t>
      </w:r>
      <w:r>
        <w:t xml:space="preserve"> </w:t>
      </w:r>
      <m:oMath>
        <m:sSub>
          <m:e>
            <m:r>
              <m:t>U</m:t>
            </m:r>
          </m:e>
          <m:sub>
            <m:r>
              <m:t>p</m:t>
            </m:r>
          </m:sub>
        </m:sSub>
        <m:d>
          <m:dPr>
            <m:begChr m:val="("/>
            <m:endChr m:val=")"/>
            <m:sepChr m:val=""/>
            <m:grow/>
          </m:dPr>
          <m:e>
            <m:r>
              <m:t>n</m:t>
            </m:r>
          </m:e>
        </m:d>
        <m:r>
          <m:rPr>
            <m:sty m:val="p"/>
          </m:rPr>
          <m:t>=</m:t>
        </m:r>
        <m:nary>
          <m:naryPr>
            <m:chr m:val="∑"/>
            <m:limLoc m:val="undOvr"/>
            <m:subHide m:val="off"/>
            <m:supHide m:val="on"/>
          </m:naryPr>
          <m:sub>
            <m:r>
              <m:t>i</m:t>
            </m:r>
            <m:r>
              <m:rPr>
                <m:sty m:val="p"/>
              </m:rPr>
              <m:t>&lt;</m:t>
            </m:r>
            <m:r>
              <m:t>n</m:t>
            </m:r>
          </m:sub>
          <m:sup>
            <m:r>
              <m:t>​</m:t>
            </m:r>
          </m:sup>
          <m:e>
            <m:d>
              <m:dPr>
                <m:begChr m:val="("/>
                <m:endChr m:val=")"/>
                <m:sepChr m:val=""/>
                <m:grow/>
              </m:dPr>
              <m:e>
                <m:r>
                  <m:t>h</m:t>
                </m:r>
                <m:r>
                  <m:rPr>
                    <m:sty m:val="p"/>
                  </m:rPr>
                  <m:t>+</m:t>
                </m:r>
                <m:r>
                  <m:t>1</m:t>
                </m:r>
                <m:r>
                  <m:rPr>
                    <m:sty m:val="p"/>
                  </m:rPr>
                  <m:t>+</m:t>
                </m:r>
                <m:r>
                  <m:t>i</m:t>
                </m:r>
              </m:e>
            </m:d>
          </m:e>
        </m:nary>
        <m:sSub>
          <m:e>
            <m:r>
              <m:t>t</m:t>
            </m:r>
          </m:e>
          <m:sub>
            <m:r>
              <m:t>i</m:t>
            </m:r>
          </m:sub>
        </m:sSub>
      </m:oMath>
      <w:r>
        <w:t xml:space="preserve">. Its preserved transformation gives</w:t>
      </w:r>
    </w:p>
    <w:p>
      <w:pPr>
        <w:pStyle w:val="BodyText"/>
        <w:keepLines/>
        <w:widowControl/>
        <w:spacing w:before="60" w:after="140"/>
      </w:pPr>
      <m:oMathPara>
        <m:oMathParaPr>
          <m:jc m:val="center"/>
        </m:oMathParaPr>
        <m:oMath>
          <m:sSub>
            <m:e>
              <m:r>
                <m:t>U</m:t>
              </m:r>
            </m:e>
            <m:sub>
              <m:r>
                <m:t>p</m:t>
              </m:r>
            </m:sub>
          </m:sSub>
          <m:d>
            <m:dPr>
              <m:begChr m:val="("/>
              <m:endChr m:val=")"/>
              <m:sepChr m:val=""/>
              <m:grow/>
            </m:dPr>
            <m:e>
              <m:r>
                <m:t>n</m:t>
              </m:r>
            </m:e>
          </m:d>
          <m:r>
            <m:rPr>
              <m:sty m:val="p"/>
            </m:rPr>
            <m:t>=</m:t>
          </m:r>
          <m:r>
            <m:t>4</m:t>
          </m:r>
          <m:sSub>
            <m:e>
              <m:r>
                <m:t>B</m:t>
              </m:r>
            </m:e>
            <m:sub>
              <m:r>
                <m:t>n</m:t>
              </m:r>
            </m:sub>
          </m:sSub>
          <m:r>
            <m:rPr>
              <m:sty m:val="p"/>
            </m:rPr>
            <m:t>−</m:t>
          </m:r>
          <m:r>
            <m:t>2</m:t>
          </m:r>
          <m:r>
            <m:t>n</m:t>
          </m:r>
          <m:d>
            <m:dPr>
              <m:begChr m:val="("/>
              <m:endChr m:val=")"/>
              <m:sepChr m:val=""/>
              <m:grow/>
            </m:dPr>
            <m:e>
              <m:r>
                <m:t>2</m:t>
              </m:r>
              <m:r>
                <m:t>n</m:t>
              </m:r>
              <m:r>
                <m:rPr>
                  <m:sty m:val="p"/>
                </m:rPr>
                <m:t>+</m:t>
              </m:r>
              <m:r>
                <m:t>5</m:t>
              </m:r>
            </m:e>
          </m:d>
          <m:sSub>
            <m:e>
              <m:r>
                <m:t>a</m:t>
              </m:r>
            </m:e>
            <m:sub>
              <m:r>
                <m:t>n</m:t>
              </m:r>
            </m:sub>
          </m:sSub>
          <m:r>
            <m:rPr>
              <m:sty m:val="p"/>
            </m:rPr>
            <m:t>.</m:t>
          </m:r>
        </m:oMath>
      </m:oMathPara>
    </w:p>
    <w:p>
      <w:pPr>
        <w:pStyle w:val="FirstParagraph"/>
        <w:widowControl/>
      </w:pPr>
      <w:r>
        <w:t xml:space="preserve">The stopping index is exclusive in</w:t>
      </w:r>
      <w:r>
        <w:t xml:space="preserve"> </w:t>
      </w:r>
      <m:oMath>
        <m:sSub>
          <m:e>
            <m:r>
              <m:t>B</m:t>
            </m:r>
          </m:e>
          <m:sub>
            <m:r>
              <m:t>n</m:t>
            </m:r>
          </m:sub>
        </m:sSub>
      </m:oMath>
      <w:r>
        <w:t xml:space="preserve"> </w:t>
      </w:r>
      <w:r>
        <w:t xml:space="preserve">and</w:t>
      </w:r>
      <w:r>
        <w:t xml:space="preserve"> </w:t>
      </w:r>
      <m:oMath>
        <m:sSub>
          <m:e>
            <m:r>
              <m:t>U</m:t>
            </m:r>
          </m:e>
          <m:sub>
            <m:r>
              <m:t>p</m:t>
            </m:r>
          </m:sub>
        </m:sSub>
        <m:d>
          <m:dPr>
            <m:begChr m:val="("/>
            <m:endChr m:val=")"/>
            <m:sepChr m:val=""/>
            <m:grow/>
          </m:dPr>
          <m:e>
            <m:r>
              <m:t>n</m:t>
            </m:r>
          </m:e>
        </m:d>
      </m:oMath>
      <w:r>
        <w:t xml:space="preserve">; the boundary is the next coefficient,</w:t>
      </w:r>
      <w:r>
        <w:t xml:space="preserve"> </w:t>
      </w:r>
      <m:oMath>
        <m:sSub>
          <m:e>
            <m:r>
              <m:t>a</m:t>
            </m:r>
          </m:e>
          <m:sub>
            <m:r>
              <m:t>n</m:t>
            </m:r>
          </m:sub>
        </m:sSub>
      </m:oMath>
      <w:r>
        <w:t xml:space="preserve">. Here</w:t>
      </w:r>
      <w:r>
        <w:t xml:space="preserve"> </w:t>
      </w:r>
      <m:oMath>
        <m:r>
          <m:t>L</m:t>
        </m:r>
      </m:oMath>
      <w:r>
        <w:t xml:space="preserve"> </w:t>
      </w:r>
      <w:r>
        <w:t xml:space="preserve">is even and</w:t>
      </w:r>
      <w:r>
        <w:t xml:space="preserve"> </w:t>
      </w:r>
      <m:oMath>
        <m:r>
          <m:t>4</m:t>
        </m:r>
        <m:r>
          <m:t>L</m:t>
        </m:r>
        <m:r>
          <m:rPr>
            <m:sty m:val="p"/>
          </m:rPr>
          <m:t>&lt;</m:t>
        </m:r>
        <m:r>
          <m:t>p</m:t>
        </m:r>
      </m:oMath>
      <w:r>
        <w:t xml:space="preserve">, so</w:t>
      </w:r>
      <w:r>
        <w:t xml:space="preserve"> </w:t>
      </w:r>
      <m:oMath>
        <m:r>
          <m:t>L</m:t>
        </m:r>
        <m:r>
          <m:rPr>
            <m:sty m:val="p"/>
          </m:rPr>
          <m:t>,</m:t>
        </m:r>
        <m:r>
          <m:t>2</m:t>
        </m:r>
        <m:r>
          <m:t>L</m:t>
        </m:r>
        <m:r>
          <m:rPr>
            <m:sty m:val="p"/>
          </m:rPr>
          <m:t>≤</m:t>
        </m:r>
        <m:r>
          <m:t>h</m:t>
        </m:r>
      </m:oMath>
      <w:r>
        <w:t xml:space="preserve"> </w:t>
      </w:r>
      <w:r>
        <w:t xml:space="preserve">and every factorial and original recurrence denominator used is a unit. The reconstruction never divides by its boundary multiplier. At</w:t>
      </w:r>
      <w:r>
        <w:t xml:space="preserve"> </w:t>
      </w:r>
      <m:oMath>
        <m:r>
          <m:t>p</m:t>
        </m:r>
        <m:r>
          <m:rPr>
            <m:sty m:val="p"/>
          </m:rPr>
          <m:t>=</m:t>
        </m:r>
        <m:r>
          <m:t>29</m:t>
        </m:r>
      </m:oMath>
      <w:r>
        <w:t xml:space="preserve">, the multiplier for</w:t>
      </w:r>
      <w:r>
        <w:t xml:space="preserve"> </w:t>
      </w:r>
      <m:oMath>
        <m:r>
          <m:t>n</m:t>
        </m:r>
        <m:r>
          <m:rPr>
            <m:sty m:val="p"/>
          </m:rPr>
          <m:t>=</m:t>
        </m:r>
        <m:r>
          <m:t>2</m:t>
        </m:r>
        <m:r>
          <m:t>L</m:t>
        </m:r>
      </m:oMath>
      <w:r>
        <w:t xml:space="preserve"> </w:t>
      </w:r>
      <w:r>
        <w:t xml:space="preserve">vanishes, so that one evaluation needs only</w:t>
      </w:r>
      <w:r>
        <w:t xml:space="preserve"> </w:t>
      </w:r>
      <m:oMath>
        <m:r>
          <m:t>4</m:t>
        </m:r>
        <m:sSub>
          <m:e>
            <m:r>
              <m:t>B</m:t>
            </m:r>
          </m:e>
          <m:sub>
            <m:r>
              <m:t>2</m:t>
            </m:r>
            <m:r>
              <m:t>L</m:t>
            </m:r>
          </m:sub>
        </m:sSub>
      </m:oMath>
      <w:r>
        <w:t xml:space="preserve">; both boundary identities remain valid.</w:t>
      </w:r>
    </w:p>
    <w:p>
      <w:pPr>
        <w:pStyle w:val="BodyText"/>
        <w:widowControl/>
      </w:pPr>
      <w:r>
        <w:t xml:space="preserve">On</w:t>
      </w:r>
      <w:r>
        <w:t xml:space="preserve"> </w:t>
      </w:r>
      <m:oMath>
        <m:r>
          <m:t>C</m:t>
        </m:r>
        <m:r>
          <m:rPr>
            <m:sty m:val="p"/>
          </m:rPr>
          <m:t>:</m:t>
        </m:r>
        <m:sSup>
          <m:e>
            <m:r>
              <m:t>y</m:t>
            </m:r>
          </m:e>
          <m:sup>
            <m:r>
              <m:t>2</m:t>
            </m:r>
          </m:sup>
        </m:sSup>
        <m:r>
          <m:rPr>
            <m:sty m:val="p"/>
          </m:rPr>
          <m:t>=</m:t>
        </m:r>
        <m:r>
          <m:t>1</m:t>
        </m:r>
        <m:r>
          <m:rPr>
            <m:sty m:val="p"/>
          </m:rPr>
          <m:t>−</m:t>
        </m:r>
        <m:sSup>
          <m:e>
            <m:r>
              <m:t>x</m:t>
            </m:r>
          </m:e>
          <m:sup>
            <m:r>
              <m:t>5</m:t>
            </m:r>
          </m:sup>
        </m:sSup>
        <m:r>
          <m:rPr>
            <m:sty m:val="p"/>
          </m:rPr>
          <m:t>/</m:t>
        </m:r>
        <m:r>
          <m:t>2</m:t>
        </m:r>
      </m:oMath>
      <w:r>
        <w:t xml:space="preserve">, the preserved Hermitian covering proves maximality over</w:t>
      </w:r>
      <w:r>
        <w:t xml:space="preserve"> </w:t>
      </w:r>
      <m:oMath>
        <m:sSub>
          <m:e>
            <m:r>
              <m:rPr>
                <m:sty m:val="p"/>
                <m:scr m:val="double-struck"/>
              </m:rPr>
              <m:t>F</m:t>
            </m:r>
          </m:e>
          <m:sub>
            <m:sSup>
              <m:e>
                <m:r>
                  <m:t>p</m:t>
                </m:r>
              </m:e>
              <m:sup>
                <m:r>
                  <m:t>2</m:t>
                </m:r>
              </m:sup>
            </m:sSup>
          </m:sub>
        </m:sSub>
      </m:oMath>
      <w:r>
        <w:t xml:space="preserve"> </w:t>
      </w:r>
      <w:r>
        <w:t xml:space="preserve">and the annihilator</w:t>
      </w:r>
      <w:r>
        <w:t xml:space="preserve"> </w:t>
      </w:r>
      <m:oMath>
        <m:r>
          <m:t>p</m:t>
        </m:r>
        <m:r>
          <m:rPr>
            <m:sty m:val="p"/>
          </m:rPr>
          <m:t>+</m:t>
        </m:r>
        <m:r>
          <m:t>1</m:t>
        </m:r>
      </m:oMath>
      <w:r>
        <w:t xml:space="preserve"> </w:t>
      </w:r>
      <w:r>
        <w:t xml:space="preserve">on rational divisor classes. No numerical trace or point-counting oracle is used by the prefix evaluator. Its Cantor–Miller pass supplies</w:t>
      </w:r>
      <w:r>
        <w:t xml:space="preserve"> </w:t>
      </w:r>
      <m:oMath>
        <m:sSub>
          <m:e>
            <m:r>
              <m:t>B</m:t>
            </m:r>
          </m:e>
          <m:sub>
            <m:r>
              <m:t>L</m:t>
            </m:r>
          </m:sub>
        </m:sSub>
      </m:oMath>
      <w:r>
        <w:t xml:space="preserve"> </w:t>
      </w:r>
      <w:r>
        <w:t xml:space="preserve">and</w:t>
      </w:r>
      <w:r>
        <w:t xml:space="preserve"> </w:t>
      </w:r>
      <m:oMath>
        <m:sSub>
          <m:e>
            <m:r>
              <m:t>B</m:t>
            </m:r>
          </m:e>
          <m:sub>
            <m:r>
              <m:t>2</m:t>
            </m:r>
            <m:r>
              <m:t>L</m:t>
            </m:r>
          </m:sub>
        </m:sSub>
      </m:oMath>
      <w:r>
        <w:t xml:space="preserve"> </w:t>
      </w:r>
      <w:r>
        <w:t xml:space="preserve">from one or two regular logarithmic jets. The missing data are</w:t>
      </w:r>
      <w:r>
        <w:t xml:space="preserve"> </w:t>
      </w:r>
      <m:oMath>
        <m:sSub>
          <m:e>
            <m:r>
              <m:t>a</m:t>
            </m:r>
          </m:e>
          <m:sub>
            <m:r>
              <m:t>L</m:t>
            </m:r>
          </m:sub>
        </m:sSub>
      </m:oMath>
      <w:r>
        <w:t xml:space="preserve"> </w:t>
      </w:r>
      <w:r>
        <w:t xml:space="preserve">and</w:t>
      </w:r>
      <w:r>
        <w:t xml:space="preserve"> </w:t>
      </w:r>
      <m:oMath>
        <m:sSub>
          <m:e>
            <m:r>
              <m:t>a</m:t>
            </m:r>
          </m:e>
          <m:sub>
            <m:r>
              <m:t>2</m:t>
            </m:r>
            <m:r>
              <m:t>L</m:t>
            </m:r>
          </m:sub>
        </m:sSub>
      </m:oMath>
      <w:r>
        <w:t xml:space="preserve">.</w:t>
      </w:r>
    </w:p>
    <w:bookmarkEnd w:id="20"/>
    <w:bookmarkStart w:id="21" w:name="a-proof-locating-both-boundaries"/>
    <w:p>
      <w:pPr>
        <w:pStyle w:val="Heading2"/>
        <w:widowControl/>
      </w:pPr>
      <w:r>
        <w:t xml:space="preserve">A proof locating both boundaries</w:t>
      </w:r>
    </w:p>
    <w:p>
      <w:pPr>
        <w:pStyle w:val="FirstParagraph"/>
        <w:keepNext/>
        <w:widowControl/>
      </w:pPr>
      <w:r>
        <w:t xml:space="preserve">Write</w:t>
      </w:r>
      <w:r>
        <w:t xml:space="preserve"> </w:t>
      </w:r>
      <m:oMath>
        <m:sSub>
          <m:e>
            <m:r>
              <m:t>f</m:t>
            </m:r>
          </m:e>
          <m:sub>
            <m:r>
              <m:t>0</m:t>
            </m:r>
          </m:sub>
        </m:sSub>
        <m:r>
          <m:rPr>
            <m:sty m:val="p"/>
          </m:rPr>
          <m:t>=</m:t>
        </m:r>
        <m:r>
          <m:t>1</m:t>
        </m:r>
        <m:r>
          <m:rPr>
            <m:sty m:val="p"/>
          </m:rPr>
          <m:t>−</m:t>
        </m:r>
        <m:sSup>
          <m:e>
            <m:r>
              <m:t>x</m:t>
            </m:r>
          </m:e>
          <m:sup>
            <m:r>
              <m:t>5</m:t>
            </m:r>
          </m:sup>
        </m:sSup>
        <m:r>
          <m:rPr>
            <m:sty m:val="p"/>
          </m:rPr>
          <m:t>/</m:t>
        </m:r>
        <m:r>
          <m:t>2</m:t>
        </m:r>
      </m:oMath>
      <w:r>
        <w:t xml:space="preserve"> </w:t>
      </w:r>
      <w:r>
        <w:t xml:space="preserve">and</w:t>
      </w:r>
      <w:r>
        <w:t xml:space="preserve"> </w:t>
      </w:r>
      <m:oMath>
        <m:r>
          <m:t>ω</m:t>
        </m:r>
        <m:r>
          <m:rPr>
            <m:sty m:val="p"/>
          </m:rPr>
          <m:t>=</m:t>
        </m:r>
        <m:r>
          <m:t>d</m:t>
        </m:r>
        <m:r>
          <m:t>x</m:t>
        </m:r>
        <m:r>
          <m:rPr>
            <m:sty m:val="p"/>
          </m:rPr>
          <m:t>/</m:t>
        </m:r>
        <m:r>
          <m:t>y</m:t>
        </m:r>
      </m:oMath>
      <w:r>
        <w:t xml:space="preserve">. Because</w:t>
      </w:r>
      <w:r>
        <w:t xml:space="preserve"> </w:t>
      </w:r>
      <m:oMath>
        <m:r>
          <m:t>h</m:t>
        </m:r>
        <m:r>
          <m:rPr>
            <m:sty m:val="p"/>
          </m:rPr>
          <m:t>≡</m:t>
        </m:r>
        <m:r>
          <m:rPr>
            <m:sty m:val="p"/>
          </m:rPr>
          <m:t>−</m:t>
        </m:r>
        <m:r>
          <m:t>1</m:t>
        </m:r>
        <m:r>
          <m:rPr>
            <m:sty m:val="p"/>
          </m:rPr>
          <m:t>/</m:t>
        </m:r>
        <m:r>
          <m:t>2</m:t>
        </m:r>
        <m:r>
          <m:t> </m:t>
        </m:r>
        <m:r>
          <m:rPr>
            <m:sty m:val="p"/>
          </m:rPr>
          <m:t>(</m:t>
        </m:r>
        <m:r>
          <m:rPr>
            <m:sty m:val="p"/>
          </m:rPr>
          <m:t>mod</m:t>
        </m:r>
        <m:r>
          <m:t> </m:t>
        </m:r>
        <m:r>
          <m:t>p</m:t>
        </m:r>
        <m:r>
          <m:rPr>
            <m:sty m:val="p"/>
          </m:rPr>
          <m:t>)</m:t>
        </m:r>
      </m:oMath>
      <w:r>
        <w:t xml:space="preserve"> </w:t>
      </w:r>
      <w:r>
        <w:t xml:space="preserve">and the indices are below</w:t>
      </w:r>
      <w:r>
        <w:t xml:space="preserve"> </w:t>
      </w:r>
      <m:oMath>
        <m:r>
          <m:t>p</m:t>
        </m:r>
      </m:oMath>
      <w:r>
        <w:t xml:space="preserve">,</w:t>
      </w:r>
    </w:p>
    <w:p>
      <w:pPr>
        <w:pStyle w:val="BodyText"/>
        <w:keepLines/>
        <w:widowControl/>
        <w:spacing w:before="60" w:after="140"/>
      </w:pPr>
      <m:oMathPara>
        <m:oMathParaPr>
          <m:jc m:val="center"/>
        </m:oMathParaPr>
        <m:oMath>
          <m:sSubSup>
            <m:e>
              <m:r>
                <m:t>f</m:t>
              </m:r>
            </m:e>
            <m:sub>
              <m:r>
                <m:t>0</m:t>
              </m:r>
            </m:sub>
            <m:sup>
              <m:r>
                <m:t>h</m:t>
              </m:r>
            </m:sup>
          </m:sSubSup>
          <m:r>
            <m:rPr>
              <m:sty m:val="p"/>
            </m:rPr>
            <m:t>=</m:t>
          </m:r>
          <m:nary>
            <m:naryPr>
              <m:chr m:val="∑"/>
              <m:limLoc m:val="undOvr"/>
              <m:subHide m:val="off"/>
              <m:supHide m:val="off"/>
            </m:naryPr>
            <m:sub>
              <m:r>
                <m:t>k</m:t>
              </m:r>
              <m:r>
                <m:rPr>
                  <m:sty m:val="p"/>
                </m:rPr>
                <m:t>=</m:t>
              </m:r>
              <m:r>
                <m:t>0</m:t>
              </m:r>
            </m:sub>
            <m:sup>
              <m:r>
                <m:t>h</m:t>
              </m:r>
            </m:sup>
            <m:e>
              <m:sSub>
                <m:e>
                  <m:r>
                    <m:t>a</m:t>
                  </m:r>
                </m:e>
                <m:sub>
                  <m:r>
                    <m:t>k</m:t>
                  </m:r>
                </m:sub>
              </m:sSub>
            </m:e>
          </m:nary>
          <m:sSup>
            <m:e>
              <m:r>
                <m:t>x</m:t>
              </m:r>
            </m:e>
            <m:sup>
              <m:r>
                <m:t>5</m:t>
              </m:r>
              <m:r>
                <m:t>k</m:t>
              </m:r>
            </m:sup>
          </m:sSup>
          <m:r>
            <m:rPr>
              <m:sty m:val="p"/>
            </m:rPr>
            <m:t>,</m:t>
          </m:r>
          <m:r>
            <m:t>  </m:t>
          </m:r>
          <m:r>
            <m:t>ω</m:t>
          </m:r>
          <m:r>
            <m:rPr>
              <m:sty m:val="p"/>
            </m:rPr>
            <m:t>=</m:t>
          </m:r>
          <m:f>
            <m:fPr>
              <m:type m:val="bar"/>
            </m:fPr>
            <m:num>
              <m:sSubSup>
                <m:e>
                  <m:r>
                    <m:t>f</m:t>
                  </m:r>
                </m:e>
                <m:sub>
                  <m:r>
                    <m:t>0</m:t>
                  </m:r>
                </m:sub>
                <m:sup>
                  <m:r>
                    <m:t>h</m:t>
                  </m:r>
                </m:sup>
              </m:sSubSup>
            </m:num>
            <m:den>
              <m:sSup>
                <m:e>
                  <m:r>
                    <m:t>y</m:t>
                  </m:r>
                </m:e>
                <m:sup>
                  <m:r>
                    <m:t>p</m:t>
                  </m:r>
                </m:sup>
              </m:sSup>
            </m:den>
          </m:f>
          <m:r>
            <m:t> </m:t>
          </m:r>
          <m:r>
            <m:t>d</m:t>
          </m:r>
          <m:r>
            <m:t>x</m:t>
          </m:r>
          <m:r>
            <m:rPr>
              <m:sty m:val="p"/>
            </m:rPr>
            <m:t>.</m:t>
          </m:r>
        </m:oMath>
      </m:oMathPara>
    </w:p>
    <w:p>
      <w:pPr>
        <w:pStyle w:val="FirstParagraph"/>
        <w:keepNext/>
        <w:widowControl/>
      </w:pPr>
      <w:r>
        <w:t xml:space="preserve">Cartier sends a term</w:t>
      </w:r>
      <w:r>
        <w:t xml:space="preserve"> </w:t>
      </w:r>
      <m:oMath>
        <m:r>
          <m:t>c</m:t>
        </m:r>
        <m:sSup>
          <m:e>
            <m:r>
              <m:t>x</m:t>
            </m:r>
          </m:e>
          <m:sup>
            <m:r>
              <m:t>i</m:t>
            </m:r>
            <m:r>
              <m:t>p</m:t>
            </m:r>
            <m:r>
              <m:rPr>
                <m:sty m:val="p"/>
              </m:rPr>
              <m:t>−</m:t>
            </m:r>
            <m:r>
              <m:t>1</m:t>
            </m:r>
          </m:sup>
        </m:sSup>
        <m:r>
          <m:t>d</m:t>
        </m:r>
        <m:r>
          <m:t>x</m:t>
        </m:r>
      </m:oMath>
      <w:r>
        <w:t xml:space="preserve"> </w:t>
      </w:r>
      <w:r>
        <w:t xml:space="preserve">to</w:t>
      </w:r>
      <w:r>
        <w:t xml:space="preserve"> </w:t>
      </w:r>
      <m:oMath>
        <m:sSup>
          <m:e>
            <m:r>
              <m:t>c</m:t>
            </m:r>
          </m:e>
          <m:sup>
            <m:r>
              <m:t>1</m:t>
            </m:r>
            <m:r>
              <m:rPr>
                <m:sty m:val="p"/>
              </m:rPr>
              <m:t>/</m:t>
            </m:r>
            <m:r>
              <m:t>p</m:t>
            </m:r>
          </m:sup>
        </m:sSup>
        <m:sSup>
          <m:e>
            <m:r>
              <m:t>x</m:t>
            </m:r>
          </m:e>
          <m:sup>
            <m:r>
              <m:t>i</m:t>
            </m:r>
            <m:r>
              <m:rPr>
                <m:sty m:val="p"/>
              </m:rPr>
              <m:t>−</m:t>
            </m:r>
            <m:r>
              <m:t>1</m:t>
            </m:r>
          </m:sup>
        </m:sSup>
        <m:r>
          <m:t>d</m:t>
        </m:r>
        <m:r>
          <m:t>x</m:t>
        </m:r>
      </m:oMath>
      <w:r>
        <w:t xml:space="preserve"> </w:t>
      </w:r>
      <w:r>
        <w:t xml:space="preserve">and discards the other exponents. The coefficients lie in</w:t>
      </w:r>
      <w:r>
        <w:t xml:space="preserve"> </w:t>
      </w:r>
      <m:oMath>
        <m:sSub>
          <m:e>
            <m:r>
              <m:rPr>
                <m:sty m:val="p"/>
                <m:scr m:val="double-struck"/>
              </m:rPr>
              <m:t>F</m:t>
            </m:r>
          </m:e>
          <m:sub>
            <m:r>
              <m:t>p</m:t>
            </m:r>
          </m:sub>
        </m:sSub>
      </m:oMath>
      <w:r>
        <w:t xml:space="preserve">, so taking</w:t>
      </w:r>
      <w:r>
        <w:t xml:space="preserve"> </w:t>
      </w:r>
      <m:oMath>
        <m:r>
          <m:t>p</m:t>
        </m:r>
      </m:oMath>
      <w:r>
        <w:t xml:space="preserve">th roots fixes them. For</w:t>
      </w:r>
      <w:r>
        <w:t xml:space="preserve"> </w:t>
      </w:r>
      <m:oMath>
        <m:r>
          <m:t>ω</m:t>
        </m:r>
        <m:r>
          <m:rPr>
            <m:sty m:val="p"/>
          </m:rPr>
          <m:t>/</m:t>
        </m:r>
        <m:sSup>
          <m:e>
            <m:r>
              <m:t>x</m:t>
            </m:r>
          </m:e>
          <m:sup>
            <m:r>
              <m:t>2</m:t>
            </m:r>
          </m:sup>
        </m:sSup>
      </m:oMath>
      <w:r>
        <w:t xml:space="preserve">, a surviving coefficient must have</w:t>
      </w:r>
      <w:r>
        <w:t xml:space="preserve"> </w:t>
      </w:r>
      <m:oMath>
        <m:r>
          <m:t>5</m:t>
        </m:r>
        <m:r>
          <m:t>k</m:t>
        </m:r>
        <m:r>
          <m:rPr>
            <m:sty m:val="p"/>
          </m:rPr>
          <m:t>=</m:t>
        </m:r>
        <m:r>
          <m:t>i</m:t>
        </m:r>
        <m:r>
          <m:t>p</m:t>
        </m:r>
        <m:r>
          <m:rPr>
            <m:sty m:val="p"/>
          </m:rPr>
          <m:t>+</m:t>
        </m:r>
        <m:r>
          <m:t>1</m:t>
        </m:r>
      </m:oMath>
      <w:r>
        <w:t xml:space="preserve">. The exponent range allows only</w:t>
      </w:r>
      <w:r>
        <w:t xml:space="preserve"> </w:t>
      </w:r>
      <m:oMath>
        <m:r>
          <m:t>i</m:t>
        </m:r>
        <m:r>
          <m:rPr>
            <m:sty m:val="p"/>
          </m:rPr>
          <m:t>=</m:t>
        </m:r>
        <m:r>
          <m:t>1</m:t>
        </m:r>
        <m:r>
          <m:rPr>
            <m:sty m:val="p"/>
          </m:rPr>
          <m:t>,</m:t>
        </m:r>
        <m:r>
          <m:t>2</m:t>
        </m:r>
      </m:oMath>
      <w:r>
        <w:t xml:space="preserve">, and reduction modulo</w:t>
      </w:r>
      <w:r>
        <w:t xml:space="preserve"> </w:t>
      </w:r>
      <m:oMath>
        <m:r>
          <m:t>5</m:t>
        </m:r>
      </m:oMath>
      <w:r>
        <w:t xml:space="preserve"> </w:t>
      </w:r>
      <w:r>
        <w:t xml:space="preserve">forces</w:t>
      </w:r>
      <w:r>
        <w:t xml:space="preserve"> </w:t>
      </w:r>
      <m:oMath>
        <m:r>
          <m:t>i</m:t>
        </m:r>
        <m:r>
          <m:rPr>
            <m:sty m:val="p"/>
          </m:rPr>
          <m:t>=</m:t>
        </m:r>
        <m:r>
          <m:t>1</m:t>
        </m:r>
      </m:oMath>
      <w:r>
        <w:t xml:space="preserve">. Thus</w:t>
      </w:r>
      <w:r>
        <w:t xml:space="preserve"> </w:t>
      </w:r>
      <m:oMath>
        <m:r>
          <m:t>k</m:t>
        </m:r>
        <m:r>
          <m:rPr>
            <m:sty m:val="p"/>
          </m:rPr>
          <m:t>=</m:t>
        </m:r>
        <m:r>
          <m:t>L</m:t>
        </m:r>
      </m:oMath>
      <w:r>
        <w:t xml:space="preserve">. For</w:t>
      </w:r>
      <w:r>
        <w:t xml:space="preserve"> </w:t>
      </w:r>
      <m:oMath>
        <m:r>
          <m:t>ω</m:t>
        </m:r>
        <m:r>
          <m:rPr>
            <m:sty m:val="p"/>
          </m:rPr>
          <m:t>/</m:t>
        </m:r>
        <m:sSup>
          <m:e>
            <m:r>
              <m:t>x</m:t>
            </m:r>
          </m:e>
          <m:sup>
            <m:r>
              <m:t>3</m:t>
            </m:r>
          </m:sup>
        </m:sSup>
      </m:oMath>
      <w:r>
        <w:t xml:space="preserve">, the condition is</w:t>
      </w:r>
      <w:r>
        <w:t xml:space="preserve"> </w:t>
      </w:r>
      <m:oMath>
        <m:r>
          <m:t>5</m:t>
        </m:r>
        <m:r>
          <m:t>k</m:t>
        </m:r>
        <m:r>
          <m:rPr>
            <m:sty m:val="p"/>
          </m:rPr>
          <m:t>=</m:t>
        </m:r>
        <m:r>
          <m:t>i</m:t>
        </m:r>
        <m:r>
          <m:t>p</m:t>
        </m:r>
        <m:r>
          <m:rPr>
            <m:sty m:val="p"/>
          </m:rPr>
          <m:t>+</m:t>
        </m:r>
        <m:r>
          <m:t>2</m:t>
        </m:r>
      </m:oMath>
      <w:r>
        <w:t xml:space="preserve"> </w:t>
      </w:r>
      <w:r>
        <w:t xml:space="preserve">and forces</w:t>
      </w:r>
      <w:r>
        <w:t xml:space="preserve"> </w:t>
      </w:r>
      <m:oMath>
        <m:r>
          <m:t>i</m:t>
        </m:r>
        <m:r>
          <m:rPr>
            <m:sty m:val="p"/>
          </m:rPr>
          <m:t>=</m:t>
        </m:r>
        <m:r>
          <m:t>2</m:t>
        </m:r>
      </m:oMath>
      <w:r>
        <w:t xml:space="preserve">, giving</w:t>
      </w:r>
      <w:r>
        <w:t xml:space="preserve"> </w:t>
      </w:r>
      <m:oMath>
        <m:r>
          <m:t>k</m:t>
        </m:r>
        <m:r>
          <m:rPr>
            <m:sty m:val="p"/>
          </m:rPr>
          <m:t>=</m:t>
        </m:r>
        <m:r>
          <m:t>2</m:t>
        </m:r>
        <m:r>
          <m:t>L</m:t>
        </m:r>
      </m:oMath>
      <w:r>
        <w:t xml:space="preserve">. Consequently,</w:t>
      </w:r>
    </w:p>
    <w:p>
      <w:pPr>
        <w:pStyle w:val="BodyText"/>
        <w:keepLines/>
        <w:widowControl/>
        <w:spacing w:before="60" w:after="140"/>
      </w:pPr>
      <m:oMathPara>
        <m:oMathParaPr>
          <m:jc m:val="center"/>
        </m:oMathParaPr>
        <m:oMath>
          <m:borderBox>
            <m:e>
              <m:r>
                <m:rPr>
                  <m:sty m:val="p"/>
                  <m:scr m:val="script"/>
                </m:rPr>
                <m:t>C</m:t>
              </m:r>
              <m:r>
                <m:t>​</m:t>
              </m:r>
              <m:d>
                <m:dPr>
                  <m:begChr m:val="("/>
                  <m:endChr m:val=")"/>
                  <m:sepChr m:val=""/>
                  <m:grow/>
                </m:dPr>
                <m:e>
                  <m:f>
                    <m:fPr>
                      <m:type m:val="bar"/>
                    </m:fPr>
                    <m:num>
                      <m:r>
                        <m:t>ω</m:t>
                      </m:r>
                    </m:num>
                    <m:den>
                      <m:sSup>
                        <m:e>
                          <m:r>
                            <m:t>x</m:t>
                          </m:r>
                        </m:e>
                        <m:sup>
                          <m:r>
                            <m:t>2</m:t>
                          </m:r>
                        </m:sup>
                      </m:sSup>
                    </m:den>
                  </m:f>
                </m:e>
              </m:d>
              <m:r>
                <m:rPr>
                  <m:sty m:val="p"/>
                </m:rPr>
                <m:t>=</m:t>
              </m:r>
              <m:sSub>
                <m:e>
                  <m:r>
                    <m:t>a</m:t>
                  </m:r>
                </m:e>
                <m:sub>
                  <m:r>
                    <m:t>L</m:t>
                  </m:r>
                </m:sub>
              </m:sSub>
              <m:r>
                <m:t>ω</m:t>
              </m:r>
              <m:r>
                <m:rPr>
                  <m:sty m:val="p"/>
                </m:rPr>
                <m:t>,</m:t>
              </m:r>
              <m:r>
                <m:t>  </m:t>
              </m:r>
              <m:r>
                <m:rPr>
                  <m:sty m:val="p"/>
                  <m:scr m:val="script"/>
                </m:rPr>
                <m:t>C</m:t>
              </m:r>
              <m:r>
                <m:t>​</m:t>
              </m:r>
              <m:d>
                <m:dPr>
                  <m:begChr m:val="("/>
                  <m:endChr m:val=")"/>
                  <m:sepChr m:val=""/>
                  <m:grow/>
                </m:dPr>
                <m:e>
                  <m:f>
                    <m:fPr>
                      <m:type m:val="bar"/>
                    </m:fPr>
                    <m:num>
                      <m:r>
                        <m:t>ω</m:t>
                      </m:r>
                    </m:num>
                    <m:den>
                      <m:sSup>
                        <m:e>
                          <m:r>
                            <m:t>x</m:t>
                          </m:r>
                        </m:e>
                        <m:sup>
                          <m:r>
                            <m:t>3</m:t>
                          </m:r>
                        </m:sup>
                      </m:sSup>
                    </m:den>
                  </m:f>
                </m:e>
              </m:d>
              <m:r>
                <m:rPr>
                  <m:sty m:val="p"/>
                </m:rPr>
                <m:t>=</m:t>
              </m:r>
              <m:sSub>
                <m:e>
                  <m:r>
                    <m:t>a</m:t>
                  </m:r>
                </m:e>
                <m:sub>
                  <m:r>
                    <m:t>2</m:t>
                  </m:r>
                  <m:r>
                    <m:t>L</m:t>
                  </m:r>
                </m:sub>
              </m:sSub>
              <m:r>
                <m:t>x</m:t>
              </m:r>
              <m:r>
                <m:t>ω</m:t>
              </m:r>
              <m:r>
                <m:rPr>
                  <m:sty m:val="p"/>
                </m:rPr>
                <m:t>.</m:t>
              </m:r>
            </m:e>
          </m:borderBox>
        </m:oMath>
      </m:oMathPara>
    </w:p>
    <w:p>
      <w:pPr>
        <w:pStyle w:val="FirstParagraph"/>
        <w:widowControl/>
      </w:pPr>
      <w:r>
        <w:t xml:space="preserve">These differentials have poles only at</w:t>
      </w:r>
      <w:r>
        <w:t xml:space="preserve"> </w:t>
      </w:r>
      <m:oMath>
        <m:d>
          <m:dPr>
            <m:begChr m:val="("/>
            <m:endChr m:val=")"/>
            <m:sepChr m:val=""/>
            <m:grow/>
          </m:dPr>
          <m:e>
            <m:r>
              <m:t>0</m:t>
            </m:r>
            <m:r>
              <m:rPr>
                <m:sty m:val="p"/>
              </m:rPr>
              <m:t>,</m:t>
            </m:r>
            <m:r>
              <m:t>1</m:t>
            </m:r>
          </m:e>
        </m:d>
      </m:oMath>
      <w:r>
        <w:t xml:space="preserve"> </w:t>
      </w:r>
      <w:r>
        <w:t xml:space="preserve">and</w:t>
      </w:r>
      <w:r>
        <w:t xml:space="preserve"> </w:t>
      </w:r>
      <m:oMath>
        <m:d>
          <m:dPr>
            <m:begChr m:val="("/>
            <m:endChr m:val=")"/>
            <m:sepChr m:val=""/>
            <m:grow/>
          </m:dPr>
          <m:e>
            <m:r>
              <m:t>0</m:t>
            </m:r>
            <m:r>
              <m:rPr>
                <m:sty m:val="p"/>
              </m:rPr>
              <m:t>,</m:t>
            </m:r>
            <m:r>
              <m:rPr>
                <m:sty m:val="p"/>
              </m:rPr>
              <m:t>−</m:t>
            </m:r>
            <m:r>
              <m:t>1</m:t>
            </m:r>
          </m:e>
        </m:d>
      </m:oMath>
      <w:r>
        <w:t xml:space="preserve">, of orders two and three respectively. Since</w:t>
      </w:r>
      <w:r>
        <w:t xml:space="preserve"> </w:t>
      </w:r>
      <m:oMath>
        <m:r>
          <m:t>1</m:t>
        </m:r>
        <m:r>
          <m:rPr>
            <m:sty m:val="p"/>
          </m:rPr>
          <m:t>/</m:t>
        </m:r>
        <m:r>
          <m:t>y</m:t>
        </m:r>
        <m:r>
          <m:rPr>
            <m:sty m:val="p"/>
          </m:rPr>
          <m:t>=</m:t>
        </m:r>
        <m:r>
          <m:rPr>
            <m:sty m:val="p"/>
          </m:rPr>
          <m:t>±</m:t>
        </m:r>
        <m:d>
          <m:dPr>
            <m:begChr m:val="("/>
            <m:endChr m:val=")"/>
            <m:sepChr m:val=""/>
            <m:grow/>
          </m:dPr>
          <m:e>
            <m:r>
              <m:t>1</m:t>
            </m:r>
            <m:r>
              <m:rPr>
                <m:sty m:val="p"/>
              </m:rPr>
              <m:t>+</m:t>
            </m:r>
            <m:r>
              <m:t>O</m:t>
            </m:r>
            <m:d>
              <m:dPr>
                <m:begChr m:val="("/>
                <m:endChr m:val=")"/>
                <m:sepChr m:val=""/>
                <m:grow/>
              </m:dPr>
              <m:e>
                <m:sSup>
                  <m:e>
                    <m:r>
                      <m:t>x</m:t>
                    </m:r>
                  </m:e>
                  <m:sup>
                    <m:r>
                      <m:t>5</m:t>
                    </m:r>
                  </m:sup>
                </m:sSup>
              </m:e>
            </m:d>
          </m:e>
        </m:d>
      </m:oMath>
      <w:r>
        <w:t xml:space="preserve"> </w:t>
      </w:r>
      <w:r>
        <w:t xml:space="preserve">there, neither has a residue. They are regular at infinity. These are therefore differentials of the second kind, meaning meromorphic differentials with zero residues. Their Cartier images are holomorphic. This coefficient calculation uses the standard Cartier definition and its exact-differential property [R1].</w:t>
      </w:r>
    </w:p>
    <w:p>
      <w:pPr>
        <w:pStyle w:val="BodyText"/>
        <w:keepNext/>
        <w:widowControl/>
      </w:pPr>
      <w:r>
        <w:t xml:space="preserve">The same datum can be moved to infinity. Differentiating</w:t>
      </w:r>
      <w:r>
        <w:t xml:space="preserve"> </w:t>
      </w:r>
      <m:oMath>
        <m:sSup>
          <m:e>
            <m:r>
              <m:t>y</m:t>
            </m:r>
          </m:e>
          <m:sup>
            <m:r>
              <m:t>2</m:t>
            </m:r>
          </m:sup>
        </m:sSup>
        <m:r>
          <m:rPr>
            <m:sty m:val="p"/>
          </m:rPr>
          <m:t>=</m:t>
        </m:r>
        <m:sSub>
          <m:e>
            <m:r>
              <m:t>f</m:t>
            </m:r>
          </m:e>
          <m:sub>
            <m:r>
              <m:t>0</m:t>
            </m:r>
          </m:sub>
        </m:sSub>
      </m:oMath>
      <w:r>
        <w:t xml:space="preserve"> </w:t>
      </w:r>
      <w:r>
        <w:t xml:space="preserve">gives</w:t>
      </w:r>
    </w:p>
    <w:p>
      <w:pPr>
        <w:pStyle w:val="BodyText"/>
        <w:keepLines/>
        <w:widowControl/>
        <w:spacing w:before="60" w:after="140"/>
      </w:pPr>
      <m:oMathPara>
        <m:oMathParaPr>
          <m:jc m:val="center"/>
        </m:oMathParaPr>
        <m:oMath>
          <m:r>
            <m:t>d</m:t>
          </m:r>
          <m:d>
            <m:dPr>
              <m:begChr m:val="("/>
              <m:endChr m:val=")"/>
              <m:sepChr m:val=""/>
              <m:grow/>
            </m:dPr>
            <m:e>
              <m:r>
                <m:t>y</m:t>
              </m:r>
              <m:r>
                <m:rPr>
                  <m:sty m:val="p"/>
                </m:rPr>
                <m:t>/</m:t>
              </m:r>
              <m:r>
                <m:t>x</m:t>
              </m:r>
            </m:e>
          </m:d>
          <m:r>
            <m:rPr>
              <m:sty m:val="p"/>
            </m:rPr>
            <m:t>=</m:t>
          </m:r>
          <m:r>
            <m:rPr>
              <m:sty m:val="p"/>
            </m:rPr>
            <m:t>−</m:t>
          </m:r>
          <m:f>
            <m:fPr>
              <m:type m:val="bar"/>
            </m:fPr>
            <m:num>
              <m:r>
                <m:t>ω</m:t>
              </m:r>
            </m:num>
            <m:den>
              <m:sSup>
                <m:e>
                  <m:r>
                    <m:t>x</m:t>
                  </m:r>
                </m:e>
                <m:sup>
                  <m:r>
                    <m:t>2</m:t>
                  </m:r>
                </m:sup>
              </m:sSup>
            </m:den>
          </m:f>
          <m:r>
            <m:rPr>
              <m:sty m:val="p"/>
            </m:rPr>
            <m:t>−</m:t>
          </m:r>
          <m:f>
            <m:fPr>
              <m:type m:val="bar"/>
            </m:fPr>
            <m:num>
              <m:r>
                <m:t>3</m:t>
              </m:r>
            </m:num>
            <m:den>
              <m:r>
                <m:t>4</m:t>
              </m:r>
            </m:den>
          </m:f>
          <m:sSup>
            <m:e>
              <m:r>
                <m:t>x</m:t>
              </m:r>
            </m:e>
            <m:sup>
              <m:r>
                <m:t>3</m:t>
              </m:r>
            </m:sup>
          </m:sSup>
          <m:r>
            <m:t>ω</m:t>
          </m:r>
          <m:r>
            <m:rPr>
              <m:sty m:val="p"/>
            </m:rPr>
            <m:t>,</m:t>
          </m:r>
          <m:r>
            <m:t>  </m:t>
          </m:r>
          <m:r>
            <m:t>d</m:t>
          </m:r>
          <m:d>
            <m:dPr>
              <m:begChr m:val="("/>
              <m:endChr m:val=")"/>
              <m:sepChr m:val=""/>
              <m:grow/>
            </m:dPr>
            <m:e>
              <m:r>
                <m:t>y</m:t>
              </m:r>
              <m:r>
                <m:rPr>
                  <m:sty m:val="p"/>
                </m:rPr>
                <m:t>/</m:t>
              </m:r>
              <m:sSup>
                <m:e>
                  <m:r>
                    <m:t>x</m:t>
                  </m:r>
                </m:e>
                <m:sup>
                  <m:r>
                    <m:t>2</m:t>
                  </m:r>
                </m:sup>
              </m:sSup>
            </m:e>
          </m:d>
          <m:r>
            <m:rPr>
              <m:sty m:val="p"/>
            </m:rPr>
            <m:t>=</m:t>
          </m:r>
          <m:r>
            <m:rPr>
              <m:sty m:val="p"/>
            </m:rPr>
            <m:t>−</m:t>
          </m:r>
          <m:r>
            <m:t>2</m:t>
          </m:r>
          <m:f>
            <m:fPr>
              <m:type m:val="bar"/>
            </m:fPr>
            <m:num>
              <m:r>
                <m:t>ω</m:t>
              </m:r>
            </m:num>
            <m:den>
              <m:sSup>
                <m:e>
                  <m:r>
                    <m:t>x</m:t>
                  </m:r>
                </m:e>
                <m:sup>
                  <m:r>
                    <m:t>3</m:t>
                  </m:r>
                </m:sup>
              </m:sSup>
            </m:den>
          </m:f>
          <m:r>
            <m:rPr>
              <m:sty m:val="p"/>
            </m:rPr>
            <m:t>−</m:t>
          </m:r>
          <m:f>
            <m:fPr>
              <m:type m:val="bar"/>
            </m:fPr>
            <m:num>
              <m:r>
                <m:t>1</m:t>
              </m:r>
            </m:num>
            <m:den>
              <m:r>
                <m:t>4</m:t>
              </m:r>
            </m:den>
          </m:f>
          <m:sSup>
            <m:e>
              <m:r>
                <m:t>x</m:t>
              </m:r>
            </m:e>
            <m:sup>
              <m:r>
                <m:t>2</m:t>
              </m:r>
            </m:sup>
          </m:sSup>
          <m:r>
            <m:t>ω</m:t>
          </m:r>
          <m:r>
            <m:rPr>
              <m:sty m:val="p"/>
            </m:rPr>
            <m:t>.</m:t>
          </m:r>
        </m:oMath>
      </m:oMathPara>
    </w:p>
    <w:p>
      <w:pPr>
        <w:pStyle w:val="FirstParagraph"/>
        <w:widowControl/>
      </w:pPr>
      <w:r>
        <w:t xml:space="preserve">Cartier kills these exact differentials. Equivalently, the action on four explicitly chosen differential representatives is as follows.</w:t>
      </w:r>
    </w:p>
    <w:tbl>
      <w:tblPr>
        <w:tblStyle w:val="Table"/>
        <w:tblW w:type="auto" w:w="0"/>
        <w:jc w:val="center"/>
        <w:tblLayout w:type="fixed"/>
        <w:tblLook w:firstRow="1" w:lastRow="0" w:firstColumn="0" w:lastColumn="0" w:noHBand="0" w:noVBand="0" w:val="0020"/>
      </w:tblPr>
      <w:tblGrid>
        <w:gridCol w:w="3960"/>
        <w:gridCol w:w="3960"/>
      </w:tblGrid>
      <w:tr>
        <w:trPr>
          <w:tblHeader w:val="true"/>
          <w:tblHeader/>
        </w:trPr>
        <w:tc>
          <w:tcPr>
            <w:tcW w:type="dxa" w:w="3816"/>
            <w:vAlign w:val="center"/>
            <w:tcBorders>
              <w:top w:val="single" w:sz="4" w:color="D9D9D9"/>
              <w:left w:val="single" w:sz="4" w:color="D9D9D9"/>
              <w:bottom w:val="single" w:sz="4" w:color="D9D9D9"/>
              <w:right w:val="single" w:sz="4" w:color="D9D9D9"/>
            </w:tcBorders>
            <w:shd w:fill="E7EFF7"/>
          </w:tcPr>
          <w:p>
            <w:pPr>
              <w:pStyle w:val="Compact"/>
              <w:spacing w:after="60" w:before="60"/>
              <w:jc w:val="center"/>
            </w:pPr>
            <w:r>
              <w:rPr>
                <w:b/>
                <w:sz w:val="20"/>
              </w:rPr>
              <w:t xml:space="preserve">Differential</w:t>
            </w:r>
          </w:p>
        </w:tc>
        <w:tc>
          <w:tcPr>
            <w:tcW w:type="dxa" w:w="6120"/>
            <w:vAlign w:val="center"/>
            <w:tcBorders>
              <w:top w:val="single" w:sz="4" w:color="D9D9D9"/>
              <w:left w:val="single" w:sz="4" w:color="D9D9D9"/>
              <w:bottom w:val="single" w:sz="4" w:color="D9D9D9"/>
              <w:right w:val="single" w:sz="4" w:color="D9D9D9"/>
            </w:tcBorders>
            <w:shd w:fill="E7EFF7"/>
          </w:tcPr>
          <w:p>
            <w:pPr>
              <w:pStyle w:val="Compact"/>
              <w:spacing w:after="60" w:before="60"/>
              <w:jc w:val="center"/>
            </w:pPr>
            <w:r>
              <w:rPr>
                <w:b/>
                <w:sz w:val="20"/>
              </w:rPr>
              <w:t xml:space="preserve">Cartier image</w:t>
            </w:r>
          </w:p>
        </w:tc>
      </w:tr>
      <w:tr>
        <w:tc>
          <w:tcPr>
            <w:tcW w:type="dxa" w:w="3816"/>
            <w:vAlign w:val="center"/>
            <w:tcBorders>
              <w:top w:val="single" w:sz="4" w:color="D9D9D9"/>
              <w:left w:val="single" w:sz="4" w:color="D9D9D9"/>
              <w:bottom w:val="single" w:sz="4" w:color="D9D9D9"/>
              <w:right w:val="single" w:sz="4" w:color="D9D9D9"/>
            </w:tcBorders>
          </w:tcPr>
          <w:p>
            <w:pPr>
              <w:pStyle w:val="Compact"/>
              <w:spacing w:after="60" w:before="60"/>
              <w:jc w:val="center"/>
            </w:pPr>
            <m:oMath>
              <m:r>
                <m:t>ω</m:t>
              </m:r>
            </m:oMath>
          </w:p>
        </w:tc>
        <w:tc>
          <w:tcPr>
            <w:tcW w:type="dxa" w:w="6120"/>
            <w:vAlign w:val="center"/>
            <w:tcBorders>
              <w:top w:val="single" w:sz="4" w:color="D9D9D9"/>
              <w:left w:val="single" w:sz="4" w:color="D9D9D9"/>
              <w:bottom w:val="single" w:sz="4" w:color="D9D9D9"/>
              <w:right w:val="single" w:sz="4" w:color="D9D9D9"/>
            </w:tcBorders>
          </w:tcPr>
          <w:p>
            <w:pPr>
              <w:pStyle w:val="Compact"/>
              <w:spacing w:after="60" w:before="60"/>
              <w:jc w:val="center"/>
            </w:pPr>
            <m:oMath>
              <m:r>
                <m:t>0</m:t>
              </m:r>
            </m:oMath>
          </w:p>
        </w:tc>
      </w:tr>
      <w:tr>
        <w:tc>
          <w:tcPr>
            <w:tcW w:type="dxa" w:w="3816"/>
            <w:vAlign w:val="center"/>
            <w:tcBorders>
              <w:top w:val="single" w:sz="4" w:color="D9D9D9"/>
              <w:left w:val="single" w:sz="4" w:color="D9D9D9"/>
              <w:bottom w:val="single" w:sz="4" w:color="D9D9D9"/>
              <w:right w:val="single" w:sz="4" w:color="D9D9D9"/>
            </w:tcBorders>
          </w:tcPr>
          <w:p>
            <w:pPr>
              <w:pStyle w:val="Compact"/>
              <w:spacing w:after="60" w:before="60"/>
              <w:jc w:val="center"/>
            </w:pPr>
            <m:oMath>
              <m:r>
                <m:t>x</m:t>
              </m:r>
              <m:r>
                <m:t>ω</m:t>
              </m:r>
            </m:oMath>
          </w:p>
        </w:tc>
        <w:tc>
          <w:tcPr>
            <w:tcW w:type="dxa" w:w="6120"/>
            <w:vAlign w:val="center"/>
            <w:tcBorders>
              <w:top w:val="single" w:sz="4" w:color="D9D9D9"/>
              <w:left w:val="single" w:sz="4" w:color="D9D9D9"/>
              <w:bottom w:val="single" w:sz="4" w:color="D9D9D9"/>
              <w:right w:val="single" w:sz="4" w:color="D9D9D9"/>
            </w:tcBorders>
          </w:tcPr>
          <w:p>
            <w:pPr>
              <w:pStyle w:val="Compact"/>
              <w:spacing w:after="60" w:before="60"/>
              <w:jc w:val="center"/>
            </w:pPr>
            <m:oMath>
              <m:r>
                <m:t>0</m:t>
              </m:r>
            </m:oMath>
          </w:p>
        </w:tc>
      </w:tr>
      <w:tr>
        <w:tc>
          <w:tcPr>
            <w:tcW w:type="dxa" w:w="3816"/>
            <w:vAlign w:val="center"/>
            <w:tcBorders>
              <w:top w:val="single" w:sz="4" w:color="D9D9D9"/>
              <w:left w:val="single" w:sz="4" w:color="D9D9D9"/>
              <w:bottom w:val="single" w:sz="4" w:color="D9D9D9"/>
              <w:right w:val="single" w:sz="4" w:color="D9D9D9"/>
            </w:tcBorders>
          </w:tcPr>
          <w:p>
            <w:pPr>
              <w:pStyle w:val="Compact"/>
              <w:spacing w:after="60" w:before="60"/>
              <w:jc w:val="center"/>
            </w:pPr>
            <m:oMath>
              <m:sSup>
                <m:e>
                  <m:r>
                    <m:t>x</m:t>
                  </m:r>
                </m:e>
                <m:sup>
                  <m:r>
                    <m:t>2</m:t>
                  </m:r>
                </m:sup>
              </m:sSup>
              <m:r>
                <m:t>ω</m:t>
              </m:r>
            </m:oMath>
          </w:p>
        </w:tc>
        <w:tc>
          <w:tcPr>
            <w:tcW w:type="dxa" w:w="6120"/>
            <w:vAlign w:val="center"/>
            <w:tcBorders>
              <w:top w:val="single" w:sz="4" w:color="D9D9D9"/>
              <w:left w:val="single" w:sz="4" w:color="D9D9D9"/>
              <w:bottom w:val="single" w:sz="4" w:color="D9D9D9"/>
              <w:right w:val="single" w:sz="4" w:color="D9D9D9"/>
            </w:tcBorders>
          </w:tcPr>
          <w:p>
            <w:pPr>
              <w:pStyle w:val="Compact"/>
              <w:spacing w:after="60" w:before="60"/>
              <w:jc w:val="center"/>
            </w:pPr>
            <m:oMath>
              <m:r>
                <m:rPr>
                  <m:sty m:val="p"/>
                </m:rPr>
                <m:t>−</m:t>
              </m:r>
              <m:r>
                <m:t>8</m:t>
              </m:r>
              <m:sSub>
                <m:e>
                  <m:r>
                    <m:t>a</m:t>
                  </m:r>
                </m:e>
                <m:sub>
                  <m:r>
                    <m:t>2</m:t>
                  </m:r>
                  <m:r>
                    <m:t>L</m:t>
                  </m:r>
                </m:sub>
              </m:sSub>
              <m:r>
                <m:t>x</m:t>
              </m:r>
              <m:r>
                <m:t>ω</m:t>
              </m:r>
            </m:oMath>
          </w:p>
        </w:tc>
      </w:tr>
      <w:tr>
        <w:tc>
          <w:tcPr>
            <w:tcW w:type="dxa" w:w="3816"/>
            <w:vAlign w:val="center"/>
            <w:tcBorders>
              <w:top w:val="single" w:sz="4" w:color="D9D9D9"/>
              <w:left w:val="single" w:sz="4" w:color="D9D9D9"/>
              <w:bottom w:val="single" w:sz="4" w:color="D9D9D9"/>
              <w:right w:val="single" w:sz="4" w:color="D9D9D9"/>
            </w:tcBorders>
          </w:tcPr>
          <w:p>
            <w:pPr>
              <w:pStyle w:val="Compact"/>
              <w:spacing w:after="60" w:before="60"/>
              <w:jc w:val="center"/>
            </w:pPr>
            <m:oMath>
              <m:sSup>
                <m:e>
                  <m:r>
                    <m:t>x</m:t>
                  </m:r>
                </m:e>
                <m:sup>
                  <m:r>
                    <m:t>3</m:t>
                  </m:r>
                </m:sup>
              </m:sSup>
              <m:r>
                <m:t>ω</m:t>
              </m:r>
            </m:oMath>
          </w:p>
        </w:tc>
        <w:tc>
          <w:tcPr>
            <w:tcW w:type="dxa" w:w="6120"/>
            <w:vAlign w:val="center"/>
            <w:tcBorders>
              <w:top w:val="single" w:sz="4" w:color="D9D9D9"/>
              <w:left w:val="single" w:sz="4" w:color="D9D9D9"/>
              <w:bottom w:val="single" w:sz="4" w:color="D9D9D9"/>
              <w:right w:val="single" w:sz="4" w:color="D9D9D9"/>
            </w:tcBorders>
          </w:tcPr>
          <w:p>
            <w:pPr>
              <w:pStyle w:val="Compact"/>
              <w:spacing w:after="60" w:before="60"/>
              <w:jc w:val="center"/>
            </w:pPr>
            <m:oMath>
              <m:r>
                <m:rPr>
                  <m:sty m:val="p"/>
                </m:rPr>
                <m:t>−</m:t>
              </m:r>
              <m:f>
                <m:fPr>
                  <m:type m:val="bar"/>
                </m:fPr>
                <m:num>
                  <m:r>
                    <m:t>4</m:t>
                  </m:r>
                </m:num>
                <m:den>
                  <m:r>
                    <m:t>3</m:t>
                  </m:r>
                </m:den>
              </m:f>
              <m:sSub>
                <m:e>
                  <m:r>
                    <m:t>a</m:t>
                  </m:r>
                </m:e>
                <m:sub>
                  <m:r>
                    <m:t>L</m:t>
                  </m:r>
                </m:sub>
              </m:sSub>
              <m:r>
                <m:t>ω</m:t>
              </m:r>
            </m:oMath>
          </w:p>
        </w:tc>
      </w:tr>
    </w:tbl>
    <w:p>
      <w:pPr>
        <w:pStyle w:val="BodyText"/>
        <w:widowControl/>
      </w:pPr>
      <w:r>
        <w:t xml:space="preserve">The last two identities also follow by extracting the row coefficients</w:t>
      </w:r>
      <w:r>
        <w:t xml:space="preserve"> </w:t>
      </w:r>
      <m:oMath>
        <m:sSub>
          <m:e>
            <m:r>
              <m:t>a</m:t>
            </m:r>
          </m:e>
          <m:sub>
            <m:r>
              <m:t>2</m:t>
            </m:r>
            <m:r>
              <m:t>L</m:t>
            </m:r>
            <m:r>
              <m:rPr>
                <m:sty m:val="p"/>
              </m:rPr>
              <m:t>−</m:t>
            </m:r>
            <m:r>
              <m:t>1</m:t>
            </m:r>
          </m:sub>
        </m:sSub>
      </m:oMath>
      <w:r>
        <w:t xml:space="preserve"> </w:t>
      </w:r>
      <w:r>
        <w:t xml:space="preserve">and</w:t>
      </w:r>
      <w:r>
        <w:t xml:space="preserve"> </w:t>
      </w:r>
      <m:oMath>
        <m:sSub>
          <m:e>
            <m:r>
              <m:t>a</m:t>
            </m:r>
          </m:e>
          <m:sub>
            <m:r>
              <m:t>L</m:t>
            </m:r>
            <m:r>
              <m:rPr>
                <m:sty m:val="p"/>
              </m:rPr>
              <m:t>−</m:t>
            </m:r>
            <m:r>
              <m:t>1</m:t>
            </m:r>
          </m:sub>
        </m:sSub>
      </m:oMath>
      <w:r>
        <w:t xml:space="preserve"> </w:t>
      </w:r>
      <w:r>
        <w:t xml:space="preserve">and using</w:t>
      </w:r>
      <w:r>
        <w:t xml:space="preserve"> </w:t>
      </w:r>
      <m:oMath>
        <m:sSub>
          <m:e>
            <m:r>
              <m:t>a</m:t>
            </m:r>
          </m:e>
          <m:sub>
            <m:r>
              <m:t>2</m:t>
            </m:r>
            <m:r>
              <m:t>L</m:t>
            </m:r>
          </m:sub>
        </m:sSub>
        <m:r>
          <m:rPr>
            <m:sty m:val="p"/>
          </m:rPr>
          <m:t>=</m:t>
        </m:r>
        <m:r>
          <m:rPr>
            <m:sty m:val="p"/>
          </m:rPr>
          <m:t>−</m:t>
        </m:r>
        <m:sSub>
          <m:e>
            <m:r>
              <m:t>a</m:t>
            </m:r>
          </m:e>
          <m:sub>
            <m:r>
              <m:t>2</m:t>
            </m:r>
            <m:r>
              <m:t>L</m:t>
            </m:r>
            <m:r>
              <m:rPr>
                <m:sty m:val="p"/>
              </m:rPr>
              <m:t>−</m:t>
            </m:r>
            <m:r>
              <m:t>1</m:t>
            </m:r>
          </m:sub>
        </m:sSub>
        <m:r>
          <m:rPr>
            <m:sty m:val="p"/>
          </m:rPr>
          <m:t>/</m:t>
        </m:r>
        <m:r>
          <m:t>8</m:t>
        </m:r>
      </m:oMath>
      <w:r>
        <w:t xml:space="preserve">,</w:t>
      </w:r>
      <w:r>
        <w:t xml:space="preserve"> </w:t>
      </w:r>
      <m:oMath>
        <m:sSub>
          <m:e>
            <m:r>
              <m:t>a</m:t>
            </m:r>
          </m:e>
          <m:sub>
            <m:r>
              <m:t>L</m:t>
            </m:r>
          </m:sub>
        </m:sSub>
        <m:r>
          <m:rPr>
            <m:sty m:val="p"/>
          </m:rPr>
          <m:t>=</m:t>
        </m:r>
        <m:r>
          <m:rPr>
            <m:sty m:val="p"/>
          </m:rPr>
          <m:t>−</m:t>
        </m:r>
        <m:r>
          <m:t>3</m:t>
        </m:r>
        <m:sSub>
          <m:e>
            <m:r>
              <m:t>a</m:t>
            </m:r>
          </m:e>
          <m:sub>
            <m:r>
              <m:t>L</m:t>
            </m:r>
            <m:r>
              <m:rPr>
                <m:sty m:val="p"/>
              </m:rPr>
              <m:t>−</m:t>
            </m:r>
            <m:r>
              <m:t>1</m:t>
            </m:r>
          </m:sub>
        </m:sSub>
        <m:r>
          <m:rPr>
            <m:sty m:val="p"/>
          </m:rPr>
          <m:t>/</m:t>
        </m:r>
        <m:r>
          <m:t>4</m:t>
        </m:r>
      </m:oMath>
      <w:r>
        <w:t xml:space="preserve">. The denominators</w:t>
      </w:r>
      <w:r>
        <w:t xml:space="preserve"> </w:t>
      </w:r>
      <m:oMath>
        <m:r>
          <m:t>2</m:t>
        </m:r>
        <m:r>
          <m:rPr>
            <m:sty m:val="p"/>
          </m:rPr>
          <m:t>,</m:t>
        </m:r>
        <m:r>
          <m:t>3</m:t>
        </m:r>
        <m:r>
          <m:rPr>
            <m:sty m:val="p"/>
          </m:rPr>
          <m:t>,</m:t>
        </m:r>
        <m:r>
          <m:t>4</m:t>
        </m:r>
        <m:r>
          <m:rPr>
            <m:sty m:val="p"/>
          </m:rPr>
          <m:t>,</m:t>
        </m:r>
        <m:r>
          <m:t>8</m:t>
        </m:r>
      </m:oMath>
      <w:r>
        <w:t xml:space="preserve"> </w:t>
      </w:r>
      <w:r>
        <w:t xml:space="preserve">are units throughout the domain. The two nonzero images span the holomorphic differentials, since both boundaries are units. This table describes the displayed rational differential representatives; it is not presented as a crystalline Frobenius matrix.</w:t>
      </w:r>
    </w:p>
    <w:p>
      <w:pPr>
        <w:pStyle w:val="BodyText"/>
        <w:widowControl/>
      </w:pPr>
      <w:r>
        <w:t xml:space="preserve">The crucial distinction is now precise: the holomorphic Cartier matrix vanishes, but the boundaries occur in the action on the second-kind representatives. Reusing the vanishing matrix alone does not evaluate them. A future geometric shortcut must compute these additional coefficients in the original coordinate normalization.</w:t>
      </w:r>
    </w:p>
    <w:bookmarkEnd w:id="21"/>
    <w:bookmarkStart w:id="22" w:name="Xcbae69cb78fca1416c8591c59f8b48b6bde6969"/>
    <w:p>
      <w:pPr>
        <w:pStyle w:val="Heading2"/>
        <w:widowControl/>
      </w:pPr>
      <w:r>
        <w:t xml:space="preserve">Two tempting shortcuts and their limitations</w:t>
      </w:r>
    </w:p>
    <w:p>
      <w:pPr>
        <w:pStyle w:val="FirstParagraph"/>
        <w:keepNext/>
        <w:widowControl/>
      </w:pPr>
      <w:r>
        <w:t xml:space="preserve">For</w:t>
      </w:r>
      <w:r>
        <w:t xml:space="preserve"> </w:t>
      </w:r>
      <m:oMath>
        <m:sSub>
          <m:e>
            <m:r>
              <m:t>P</m:t>
            </m:r>
          </m:e>
          <m:sub>
            <m:r>
              <m:t>n</m:t>
            </m:r>
          </m:sub>
        </m:sSub>
        <m:d>
          <m:dPr>
            <m:begChr m:val="("/>
            <m:endChr m:val=")"/>
            <m:sepChr m:val=""/>
            <m:grow/>
          </m:dPr>
          <m:e>
            <m:r>
              <m:t>z</m:t>
            </m:r>
          </m:e>
        </m:d>
        <m:r>
          <m:rPr>
            <m:sty m:val="p"/>
          </m:rPr>
          <m:t>=</m:t>
        </m:r>
        <m:nary>
          <m:naryPr>
            <m:chr m:val="∑"/>
            <m:limLoc m:val="undOvr"/>
            <m:subHide m:val="off"/>
            <m:supHide m:val="on"/>
          </m:naryPr>
          <m:sub>
            <m:r>
              <m:t>i</m:t>
            </m:r>
            <m:r>
              <m:rPr>
                <m:sty m:val="p"/>
              </m:rPr>
              <m:t>&lt;</m:t>
            </m:r>
            <m:r>
              <m:t>n</m:t>
            </m:r>
          </m:sub>
          <m:sup>
            <m:r>
              <m:t>​</m:t>
            </m:r>
          </m:sup>
          <m:e>
            <m:sSub>
              <m:e>
                <m:r>
                  <m:t>a</m:t>
                </m:r>
              </m:e>
              <m:sub>
                <m:r>
                  <m:t>i</m:t>
                </m:r>
              </m:sub>
            </m:sSub>
          </m:e>
        </m:nary>
        <m:sSup>
          <m:e>
            <m:r>
              <m:t>z</m:t>
            </m:r>
          </m:e>
          <m:sup>
            <m:r>
              <m:t>i</m:t>
            </m:r>
          </m:sup>
        </m:sSup>
      </m:oMath>
      <w:r>
        <w:t xml:space="preserve">, the recurrence</w:t>
      </w:r>
      <w:r>
        <w:t xml:space="preserve"> </w:t>
      </w:r>
      <m:oMath>
        <m:r>
          <m:t>4</m:t>
        </m:r>
        <m:d>
          <m:dPr>
            <m:begChr m:val="("/>
            <m:endChr m:val=")"/>
            <m:sepChr m:val=""/>
            <m:grow/>
          </m:dPr>
          <m:e>
            <m:r>
              <m:t>i</m:t>
            </m:r>
            <m:r>
              <m:rPr>
                <m:sty m:val="p"/>
              </m:rPr>
              <m:t>+</m:t>
            </m:r>
            <m:r>
              <m:t>1</m:t>
            </m:r>
          </m:e>
        </m:d>
        <m:sSub>
          <m:e>
            <m:r>
              <m:t>a</m:t>
            </m:r>
          </m:e>
          <m:sub>
            <m:r>
              <m:t>i</m:t>
            </m:r>
            <m:r>
              <m:rPr>
                <m:sty m:val="p"/>
              </m:rPr>
              <m:t>+</m:t>
            </m:r>
            <m:r>
              <m:t>1</m:t>
            </m:r>
          </m:sub>
        </m:sSub>
        <m:r>
          <m:rPr>
            <m:sty m:val="p"/>
          </m:rPr>
          <m:t>=</m:t>
        </m:r>
        <m:d>
          <m:dPr>
            <m:begChr m:val="("/>
            <m:endChr m:val=")"/>
            <m:sepChr m:val=""/>
            <m:grow/>
          </m:dPr>
          <m:e>
            <m:r>
              <m:t>2</m:t>
            </m:r>
            <m:r>
              <m:t>i</m:t>
            </m:r>
            <m:r>
              <m:rPr>
                <m:sty m:val="p"/>
              </m:rPr>
              <m:t>+</m:t>
            </m:r>
            <m:r>
              <m:t>1</m:t>
            </m:r>
          </m:e>
        </m:d>
        <m:sSub>
          <m:e>
            <m:r>
              <m:t>a</m:t>
            </m:r>
          </m:e>
          <m:sub>
            <m:r>
              <m:t>i</m:t>
            </m:r>
          </m:sub>
        </m:sSub>
      </m:oMath>
      <w:r>
        <w:t xml:space="preserve"> </w:t>
      </w:r>
      <w:r>
        <w:t xml:space="preserve">proves the genuine polynomial identity</w:t>
      </w:r>
    </w:p>
    <w:p>
      <w:pPr>
        <w:pStyle w:val="BodyText"/>
        <w:keepLines/>
        <w:widowControl/>
        <w:spacing w:before="60" w:after="140"/>
      </w:pPr>
      <m:oMathPara>
        <m:oMathParaPr>
          <m:jc m:val="center"/>
        </m:oMathParaPr>
        <m:oMath>
          <m:d>
            <m:dPr>
              <m:begChr m:val="("/>
              <m:endChr m:val=")"/>
              <m:sepChr m:val=""/>
              <m:grow/>
            </m:dPr>
            <m:e>
              <m:r>
                <m:t>4</m:t>
              </m:r>
              <m:r>
                <m:rPr>
                  <m:sty m:val="p"/>
                </m:rPr>
                <m:t>−</m:t>
              </m:r>
              <m:r>
                <m:t>2</m:t>
              </m:r>
              <m:r>
                <m:t>z</m:t>
              </m:r>
            </m:e>
          </m:d>
          <m:r>
            <m:t>P</m:t>
          </m:r>
          <m:sSub>
            <m:e>
              <m:r>
                <m:rPr>
                  <m:sty m:val="p"/>
                </m:rPr>
                <m:t>′</m:t>
              </m:r>
            </m:e>
            <m:sub>
              <m:r>
                <m:t>n</m:t>
              </m:r>
            </m:sub>
          </m:sSub>
          <m:d>
            <m:dPr>
              <m:begChr m:val="("/>
              <m:endChr m:val=")"/>
              <m:sepChr m:val=""/>
              <m:grow/>
            </m:dPr>
            <m:e>
              <m:r>
                <m:t>z</m:t>
              </m:r>
            </m:e>
          </m:d>
          <m:r>
            <m:rPr>
              <m:sty m:val="p"/>
            </m:rPr>
            <m:t>−</m:t>
          </m:r>
          <m:sSub>
            <m:e>
              <m:r>
                <m:t>P</m:t>
              </m:r>
            </m:e>
            <m:sub>
              <m:r>
                <m:t>n</m:t>
              </m:r>
            </m:sub>
          </m:sSub>
          <m:d>
            <m:dPr>
              <m:begChr m:val="("/>
              <m:endChr m:val=")"/>
              <m:sepChr m:val=""/>
              <m:grow/>
            </m:dPr>
            <m:e>
              <m:r>
                <m:t>z</m:t>
              </m:r>
            </m:e>
          </m:d>
          <m:r>
            <m:rPr>
              <m:sty m:val="p"/>
            </m:rPr>
            <m:t>=</m:t>
          </m:r>
          <m:r>
            <m:rPr>
              <m:sty m:val="p"/>
            </m:rPr>
            <m:t>−</m:t>
          </m:r>
          <m:r>
            <m:t>4</m:t>
          </m:r>
          <m:r>
            <m:t>n</m:t>
          </m:r>
          <m:sSub>
            <m:e>
              <m:r>
                <m:t>a</m:t>
              </m:r>
            </m:e>
            <m:sub>
              <m:r>
                <m:t>n</m:t>
              </m:r>
            </m:sub>
          </m:sSub>
          <m:sSup>
            <m:e>
              <m:r>
                <m:t>z</m:t>
              </m:r>
            </m:e>
            <m:sup>
              <m:r>
                <m:t>n</m:t>
              </m:r>
              <m:r>
                <m:rPr>
                  <m:sty m:val="p"/>
                </m:rPr>
                <m:t>−</m:t>
              </m:r>
              <m:r>
                <m:t>1</m:t>
              </m:r>
            </m:sup>
          </m:sSup>
          <m:r>
            <m:rPr>
              <m:sty m:val="p"/>
            </m:rPr>
            <m:t>.</m:t>
          </m:r>
        </m:oMath>
      </m:oMathPara>
    </w:p>
    <w:p>
      <w:pPr>
        <w:pStyle w:val="FirstParagraph"/>
        <w:widowControl/>
      </w:pPr>
      <w:r>
        <w:t xml:space="preserve">In particular,</w:t>
      </w:r>
      <w:r>
        <w:t xml:space="preserve"> </w:t>
      </w:r>
      <m:oMath>
        <m:sSub>
          <m:e>
            <m:r>
              <m:t>a</m:t>
            </m:r>
          </m:e>
          <m:sub>
            <m:r>
              <m:t>n</m:t>
            </m:r>
          </m:sub>
        </m:sSub>
        <m:r>
          <m:rPr>
            <m:sty m:val="p"/>
          </m:rPr>
          <m:t>=</m:t>
        </m:r>
        <m:d>
          <m:dPr>
            <m:begChr m:val="("/>
            <m:endChr m:val=")"/>
            <m:sepChr m:val=""/>
            <m:grow/>
          </m:dPr>
          <m:e>
            <m:sSub>
              <m:e>
                <m:r>
                  <m:t>P</m:t>
                </m:r>
              </m:e>
              <m:sub>
                <m:r>
                  <m:t>n</m:t>
                </m:r>
              </m:sub>
            </m:sSub>
            <m:d>
              <m:dPr>
                <m:begChr m:val="("/>
                <m:endChr m:val=")"/>
                <m:sepChr m:val=""/>
                <m:grow/>
              </m:dPr>
              <m:e>
                <m:r>
                  <m:t>1</m:t>
                </m:r>
              </m:e>
            </m:d>
            <m:r>
              <m:rPr>
                <m:sty m:val="p"/>
              </m:rPr>
              <m:t>−</m:t>
            </m:r>
            <m:r>
              <m:t>2</m:t>
            </m:r>
            <m:r>
              <m:t>P</m:t>
            </m:r>
            <m:sSub>
              <m:e>
                <m:r>
                  <m:rPr>
                    <m:sty m:val="p"/>
                  </m:rPr>
                  <m:t>′</m:t>
                </m:r>
              </m:e>
              <m:sub>
                <m:r>
                  <m:t>n</m:t>
                </m:r>
              </m:sub>
            </m:sSub>
            <m:d>
              <m:dPr>
                <m:begChr m:val="("/>
                <m:endChr m:val=")"/>
                <m:sepChr m:val=""/>
                <m:grow/>
              </m:dPr>
              <m:e>
                <m:r>
                  <m:t>1</m:t>
                </m:r>
              </m:e>
            </m:d>
          </m:e>
        </m:d>
        <m:r>
          <m:rPr>
            <m:sty m:val="p"/>
          </m:rPr>
          <m:t>/</m:t>
        </m:r>
        <m:d>
          <m:dPr>
            <m:begChr m:val="("/>
            <m:endChr m:val=")"/>
            <m:sepChr m:val=""/>
            <m:grow/>
          </m:dPr>
          <m:e>
            <m:r>
              <m:t>4</m:t>
            </m:r>
            <m:r>
              <m:t>n</m:t>
            </m:r>
          </m:e>
        </m:d>
      </m:oMath>
      <w:r>
        <w:t xml:space="preserve">. The archived general-weight theorem evaluates</w:t>
      </w:r>
      <w:r>
        <w:t xml:space="preserve"> </w:t>
      </w:r>
      <m:oMath>
        <m:sSub>
          <m:e>
            <m:r>
              <m:t>P</m:t>
            </m:r>
          </m:e>
          <m:sub>
            <m:r>
              <m:t>n</m:t>
            </m:r>
          </m:sub>
        </m:sSub>
        <m:d>
          <m:dPr>
            <m:begChr m:val="("/>
            <m:endChr m:val=")"/>
            <m:sepChr m:val=""/>
            <m:grow/>
          </m:dPr>
          <m:e>
            <m:r>
              <m:t>z</m:t>
            </m:r>
          </m:e>
        </m:d>
      </m:oMath>
      <w:r>
        <w:t xml:space="preserve"> </w:t>
      </w:r>
      <w:r>
        <w:t xml:space="preserve">at allowed prime-field values through</w:t>
      </w:r>
      <w:r>
        <w:t xml:space="preserve"> </w:t>
      </w:r>
      <m:oMath>
        <m:r>
          <m:t>λ</m:t>
        </m:r>
        <m:r>
          <m:rPr>
            <m:sty m:val="p"/>
          </m:rPr>
          <m:t>=</m:t>
        </m:r>
        <m:r>
          <m:t>z</m:t>
        </m:r>
        <m:r>
          <m:rPr>
            <m:sty m:val="p"/>
          </m:rPr>
          <m:t>/</m:t>
        </m:r>
        <m:r>
          <m:t>2</m:t>
        </m:r>
      </m:oMath>
      <w:r>
        <w:t xml:space="preserve">. Its proof gives values, however, rather than a formal-parameter identity for that short arithmetic circuit. The polynomial</w:t>
      </w:r>
      <w:r>
        <w:t xml:space="preserve"> </w:t>
      </w:r>
      <m:oMath>
        <m:sSub>
          <m:e>
            <m:r>
              <m:t>P</m:t>
            </m:r>
          </m:e>
          <m:sub>
            <m:r>
              <m:t>n</m:t>
            </m:r>
          </m:sub>
        </m:sSub>
        <m:d>
          <m:dPr>
            <m:begChr m:val="("/>
            <m:endChr m:val=")"/>
            <m:sepChr m:val=""/>
            <m:grow/>
          </m:dPr>
          <m:e>
            <m:r>
              <m:t>z</m:t>
            </m:r>
          </m:e>
        </m:d>
        <m:r>
          <m:rPr>
            <m:sty m:val="p"/>
          </m:rPr>
          <m:t>+</m:t>
        </m:r>
        <m:d>
          <m:dPr>
            <m:begChr m:val="("/>
            <m:endChr m:val=")"/>
            <m:sepChr m:val=""/>
            <m:grow/>
          </m:dPr>
          <m:e>
            <m:sSup>
              <m:e>
                <m:r>
                  <m:t>z</m:t>
                </m:r>
              </m:e>
              <m:sup>
                <m:r>
                  <m:t>p</m:t>
                </m:r>
              </m:sup>
            </m:sSup>
            <m:r>
              <m:rPr>
                <m:sty m:val="p"/>
              </m:rPr>
              <m:t>−</m:t>
            </m:r>
            <m:r>
              <m:t>z</m:t>
            </m:r>
          </m:e>
        </m:d>
      </m:oMath>
      <w:r>
        <w:t xml:space="preserve"> </w:t>
      </w:r>
      <w:r>
        <w:t xml:space="preserve">has exactly the same values on</w:t>
      </w:r>
      <w:r>
        <w:t xml:space="preserve"> </w:t>
      </w:r>
      <m:oMath>
        <m:sSub>
          <m:e>
            <m:r>
              <m:rPr>
                <m:sty m:val="p"/>
                <m:scr m:val="double-struck"/>
              </m:rPr>
              <m:t>F</m:t>
            </m:r>
          </m:e>
          <m:sub>
            <m:r>
              <m:t>p</m:t>
            </m:r>
          </m:sub>
        </m:sSub>
      </m:oMath>
      <w:r>
        <w:t xml:space="preserve"> </w:t>
      </w:r>
      <w:r>
        <w:t xml:space="preserve">and derivative</w:t>
      </w:r>
      <w:r>
        <w:t xml:space="preserve"> </w:t>
      </w:r>
      <m:oMath>
        <m:r>
          <m:t>P</m:t>
        </m:r>
        <m:sSub>
          <m:e>
            <m:r>
              <m:rPr>
                <m:sty m:val="p"/>
              </m:rPr>
              <m:t>′</m:t>
            </m:r>
          </m:e>
          <m:sub>
            <m:r>
              <m:t>n</m:t>
            </m:r>
          </m:sub>
        </m:sSub>
        <m:d>
          <m:dPr>
            <m:begChr m:val="("/>
            <m:endChr m:val=")"/>
            <m:sepChr m:val=""/>
            <m:grow/>
          </m:dPr>
          <m:e>
            <m:r>
              <m:t>z</m:t>
            </m:r>
          </m:e>
        </m:d>
        <m:r>
          <m:rPr>
            <m:sty m:val="p"/>
          </m:rPr>
          <m:t>−</m:t>
        </m:r>
        <m:r>
          <m:t>1</m:t>
        </m:r>
      </m:oMath>
      <w:r>
        <w:t xml:space="preserve">. At</w:t>
      </w:r>
      <w:r>
        <w:t xml:space="preserve"> </w:t>
      </w:r>
      <m:oMath>
        <m:r>
          <m:t>p</m:t>
        </m:r>
        <m:r>
          <m:rPr>
            <m:sty m:val="p"/>
          </m:rPr>
          <m:t>=</m:t>
        </m:r>
        <m:r>
          <m:t>19</m:t>
        </m:r>
        <m:r>
          <m:rPr>
            <m:sty m:val="p"/>
          </m:rPr>
          <m:t>,</m:t>
        </m:r>
        <m:r>
          <m:t>n</m:t>
        </m:r>
        <m:r>
          <m:rPr>
            <m:sty m:val="p"/>
          </m:rPr>
          <m:t>=</m:t>
        </m:r>
        <m:r>
          <m:t>L</m:t>
        </m:r>
        <m:r>
          <m:rPr>
            <m:sty m:val="p"/>
          </m:rPr>
          <m:t>=</m:t>
        </m:r>
        <m:r>
          <m:t>4</m:t>
        </m:r>
      </m:oMath>
      <w:r>
        <w:t xml:space="preserve">, the correct values are</w:t>
      </w:r>
      <w:r>
        <w:t xml:space="preserve"> </w:t>
      </w:r>
      <m:oMath>
        <m:sSub>
          <m:e>
            <m:r>
              <m:t>P</m:t>
            </m:r>
          </m:e>
          <m:sub>
            <m:r>
              <m:t>L</m:t>
            </m:r>
          </m:sub>
        </m:sSub>
        <m:d>
          <m:dPr>
            <m:begChr m:val="("/>
            <m:endChr m:val=")"/>
            <m:sepChr m:val=""/>
            <m:grow/>
          </m:dPr>
          <m:e>
            <m:r>
              <m:t>1</m:t>
            </m:r>
          </m:e>
        </m:d>
        <m:r>
          <m:rPr>
            <m:sty m:val="p"/>
          </m:rPr>
          <m:t>=</m:t>
        </m:r>
        <m:r>
          <m:t>14</m:t>
        </m:r>
      </m:oMath>
      <w:r>
        <w:t xml:space="preserve">,</w:t>
      </w:r>
      <w:r>
        <w:t xml:space="preserve"> </w:t>
      </w:r>
      <m:oMath>
        <m:r>
          <m:t>P</m:t>
        </m:r>
        <m:sSub>
          <m:e>
            <m:r>
              <m:rPr>
                <m:sty m:val="p"/>
              </m:rPr>
              <m:t>′</m:t>
            </m:r>
          </m:e>
          <m:sub>
            <m:r>
              <m:t>L</m:t>
            </m:r>
          </m:sub>
        </m:sSub>
        <m:d>
          <m:dPr>
            <m:begChr m:val="("/>
            <m:endChr m:val=")"/>
            <m:sepChr m:val=""/>
            <m:grow/>
          </m:dPr>
          <m:e>
            <m:r>
              <m:t>1</m:t>
            </m:r>
          </m:e>
        </m:d>
        <m:r>
          <m:rPr>
            <m:sty m:val="p"/>
          </m:rPr>
          <m:t>=</m:t>
        </m:r>
        <m:r>
          <m:t>1</m:t>
        </m:r>
      </m:oMath>
      <w:r>
        <w:t xml:space="preserve"> </w:t>
      </w:r>
      <w:r>
        <w:t xml:space="preserve">and</w:t>
      </w:r>
      <w:r>
        <w:t xml:space="preserve"> </w:t>
      </w:r>
      <m:oMath>
        <m:sSub>
          <m:e>
            <m:r>
              <m:t>a</m:t>
            </m:r>
          </m:e>
          <m:sub>
            <m:r>
              <m:t>L</m:t>
            </m:r>
          </m:sub>
        </m:sSub>
        <m:r>
          <m:rPr>
            <m:sty m:val="p"/>
          </m:rPr>
          <m:t>=</m:t>
        </m:r>
        <m:r>
          <m:t>15</m:t>
        </m:r>
      </m:oMath>
      <w:r>
        <w:t xml:space="preserve">. Differentiating the alternative representative instead gives the incorrect boundary</w:t>
      </w:r>
      <w:r>
        <w:t xml:space="preserve"> </w:t>
      </w:r>
      <m:oMath>
        <m:r>
          <m:t>8</m:t>
        </m:r>
      </m:oMath>
      <w:r>
        <w:t xml:space="preserve">. This is an exact counterexample to the inference from value agreement; no automatic-differentiation run of the Miller code is being claimed.</w:t>
      </w:r>
    </w:p>
    <w:p>
      <w:pPr>
        <w:pStyle w:val="BodyText"/>
        <w:widowControl/>
      </w:pPr>
      <w:r>
        <w:t xml:space="preserve">There is a corresponding geometric obstruction. The multiplier</w:t>
      </w:r>
      <w:r>
        <w:t xml:space="preserve"> </w:t>
      </w:r>
      <m:oMath>
        <m:r>
          <m:t>p</m:t>
        </m:r>
        <m:r>
          <m:rPr>
            <m:sty m:val="p"/>
          </m:rPr>
          <m:t>+</m:t>
        </m:r>
        <m:r>
          <m:t>1</m:t>
        </m:r>
      </m:oMath>
      <w:r>
        <w:t xml:space="preserve"> </w:t>
      </w:r>
      <w:r>
        <w:t xml:space="preserve">kills the finite set of rational divisor classes, but its derivative on the Jacobian tangent space is multiplication by</w:t>
      </w:r>
      <w:r>
        <w:t xml:space="preserve"> </w:t>
      </w:r>
      <m:oMath>
        <m:r>
          <m:t>p</m:t>
        </m:r>
        <m:r>
          <m:rPr>
            <m:sty m:val="p"/>
          </m:rPr>
          <m:t>+</m:t>
        </m:r>
        <m:r>
          <m:t>1</m:t>
        </m:r>
        <m:r>
          <m:rPr>
            <m:sty m:val="p"/>
          </m:rPr>
          <m:t>≡</m:t>
        </m:r>
        <m:r>
          <m:t>1</m:t>
        </m:r>
        <m:r>
          <m:t> </m:t>
        </m:r>
        <m:r>
          <m:rPr>
            <m:sty m:val="p"/>
          </m:rPr>
          <m:t>(</m:t>
        </m:r>
        <m:r>
          <m:rPr>
            <m:sty m:val="p"/>
          </m:rPr>
          <m:t>mod</m:t>
        </m:r>
        <m:r>
          <m:t> </m:t>
        </m:r>
        <m:r>
          <m:t>p</m:t>
        </m:r>
        <m:r>
          <m:rPr>
            <m:sty m:val="p"/>
          </m:rPr>
          <m:t>)</m:t>
        </m:r>
      </m:oMath>
      <w:r>
        <w:t xml:space="preserve">. Indeed, the differential of the group addition map adds tangent vectors, so induction gives</w:t>
      </w:r>
      <w:r>
        <w:t xml:space="preserve"> </w:t>
      </w:r>
      <m:oMath>
        <m:r>
          <m:t>d</m:t>
        </m:r>
        <m:d>
          <m:dPr>
            <m:begChr m:val="["/>
            <m:endChr m:val="]"/>
            <m:sepChr m:val=""/>
            <m:grow/>
          </m:dPr>
          <m:e>
            <m:r>
              <m:t>n</m:t>
            </m:r>
          </m:e>
        </m:d>
        <m:r>
          <m:rPr>
            <m:sty m:val="p"/>
          </m:rPr>
          <m:t>=</m:t>
        </m:r>
        <m:r>
          <m:t>n</m:t>
        </m:r>
      </m:oMath>
      <w:r>
        <w:t xml:space="preserve">. Moving</w:t>
      </w:r>
      <w:r>
        <w:t xml:space="preserve"> </w:t>
      </w:r>
      <m:oMath>
        <m:r>
          <m:t>Q</m:t>
        </m:r>
        <m:r>
          <m:rPr>
            <m:sty m:val="p"/>
          </m:rPr>
          <m:t>=</m:t>
        </m:r>
        <m:d>
          <m:dPr>
            <m:begChr m:val="("/>
            <m:endChr m:val=")"/>
            <m:sepChr m:val=""/>
            <m:grow/>
          </m:dPr>
          <m:e>
            <m:r>
              <m:t>1</m:t>
            </m:r>
            <m:r>
              <m:rPr>
                <m:sty m:val="p"/>
              </m:rPr>
              <m:t>,</m:t>
            </m:r>
            <m:rad>
              <m:radPr>
                <m:degHide m:val="on"/>
              </m:radPr>
              <m:deg/>
              <m:e>
                <m:r>
                  <m:t>2</m:t>
                </m:r>
              </m:e>
            </m:rad>
            <m:r>
              <m:rPr>
                <m:sty m:val="p"/>
              </m:rPr>
              <m:t>/</m:t>
            </m:r>
            <m:r>
              <m:t>2</m:t>
            </m:r>
          </m:e>
        </m:d>
      </m:oMath>
      <w:r>
        <w:t xml:space="preserve"> </w:t>
      </w:r>
      <w:r>
        <w:t xml:space="preserve">on the fixed curve gives a nonzero Abel–Jacobi tangent, since</w:t>
      </w:r>
      <w:r>
        <w:t xml:space="preserve"> </w:t>
      </w:r>
      <m:oMath>
        <m:r>
          <m:t>d</m:t>
        </m:r>
        <m:r>
          <m:t>x</m:t>
        </m:r>
        <m:r>
          <m:rPr>
            <m:sty m:val="p"/>
          </m:rPr>
          <m:t>/</m:t>
        </m:r>
        <m:r>
          <m:t>y</m:t>
        </m:r>
      </m:oMath>
      <w:r>
        <w:t xml:space="preserve"> </w:t>
      </w:r>
      <w:r>
        <w:t xml:space="preserve">evaluates nontrivially on that movement. Therefore the final identity divisor in the finite-field Miller computation does not stay the identity under a nonzero infinitesimal movement of</w:t>
      </w:r>
      <w:r>
        <w:t xml:space="preserve"> </w:t>
      </w:r>
      <m:oMath>
        <m:r>
          <m:t>Q</m:t>
        </m:r>
      </m:oMath>
      <w:r>
        <w:t xml:space="preserve">. A differentiation approach must prove an appropriate deformation identity and track its endpoint correction; the finite-field torsion theorem [R2] does not supply that extension.</w:t>
      </w:r>
    </w:p>
    <w:p>
      <w:pPr>
        <w:pStyle w:val="BodyText"/>
        <w:widowControl/>
      </w:pPr>
      <w:r>
        <w:t xml:space="preserve">Trace and maximality alone also lose coordinate normalization. For</w:t>
      </w:r>
      <w:r>
        <w:t xml:space="preserve"> </w:t>
      </w:r>
      <m:oMath>
        <m:r>
          <m:t>p</m:t>
        </m:r>
        <m:r>
          <m:rPr>
            <m:sty m:val="p"/>
          </m:rPr>
          <m:t>=</m:t>
        </m:r>
        <m:r>
          <m:t>19</m:t>
        </m:r>
      </m:oMath>
      <w:r>
        <w:t xml:space="preserve">, the curves</w:t>
      </w:r>
      <w:r>
        <w:t xml:space="preserve"> </w:t>
      </w:r>
      <m:oMath>
        <m:sSup>
          <m:e>
            <m:r>
              <m:t>y</m:t>
            </m:r>
          </m:e>
          <m:sup>
            <m:r>
              <m:t>2</m:t>
            </m:r>
          </m:sup>
        </m:sSup>
        <m:r>
          <m:rPr>
            <m:sty m:val="p"/>
          </m:rPr>
          <m:t>=</m:t>
        </m:r>
        <m:r>
          <m:t>1</m:t>
        </m:r>
        <m:r>
          <m:rPr>
            <m:sty m:val="p"/>
          </m:rPr>
          <m:t>−</m:t>
        </m:r>
        <m:r>
          <m:t>λ</m:t>
        </m:r>
        <m:sSup>
          <m:e>
            <m:r>
              <m:t>x</m:t>
            </m:r>
          </m:e>
          <m:sup>
            <m:r>
              <m:t>5</m:t>
            </m:r>
          </m:sup>
        </m:sSup>
      </m:oMath>
      <w:r>
        <w:t xml:space="preserve"> </w:t>
      </w:r>
      <w:r>
        <w:t xml:space="preserve">with</w:t>
      </w:r>
      <w:r>
        <w:t xml:space="preserve"> </w:t>
      </w:r>
      <m:oMath>
        <m:r>
          <m:t>λ</m:t>
        </m:r>
        <m:r>
          <m:rPr>
            <m:sty m:val="p"/>
          </m:rPr>
          <m:t>=</m:t>
        </m:r>
        <m:r>
          <m:t>1</m:t>
        </m:r>
        <m:r>
          <m:rPr>
            <m:sty m:val="p"/>
          </m:rPr>
          <m:t>/</m:t>
        </m:r>
        <m:r>
          <m:t>2</m:t>
        </m:r>
      </m:oMath>
      <w:r>
        <w:t xml:space="preserve"> </w:t>
      </w:r>
      <w:r>
        <w:t xml:space="preserve">and</w:t>
      </w:r>
      <w:r>
        <w:t xml:space="preserve"> </w:t>
      </w:r>
      <m:oMath>
        <m:r>
          <m:t>λ</m:t>
        </m:r>
        <m:r>
          <m:rPr>
            <m:sty m:val="p"/>
          </m:rPr>
          <m:t>=</m:t>
        </m:r>
        <m:r>
          <m:t>2</m:t>
        </m:r>
      </m:oMath>
      <w:r>
        <w:t xml:space="preserve"> </w:t>
      </w:r>
      <w:r>
        <w:t xml:space="preserve">are</w:t>
      </w:r>
      <w:r>
        <w:t xml:space="preserve"> </w:t>
      </w:r>
      <m:oMath>
        <m:sSub>
          <m:e>
            <m:r>
              <m:rPr>
                <m:sty m:val="p"/>
                <m:scr m:val="double-struck"/>
              </m:rPr>
              <m:t>F</m:t>
            </m:r>
          </m:e>
          <m:sub>
            <m:r>
              <m:t>p</m:t>
            </m:r>
          </m:sub>
        </m:sSub>
      </m:oMath>
      <w:r>
        <w:t xml:space="preserve">-isomorphic, since fifth powering is a bijection of</w:t>
      </w:r>
      <w:r>
        <w:t xml:space="preserve"> </w:t>
      </w:r>
      <m:oMath>
        <m:sSubSup>
          <m:e>
            <m:r>
              <m:rPr>
                <m:sty m:val="p"/>
                <m:scr m:val="double-struck"/>
              </m:rPr>
              <m:t>F</m:t>
            </m:r>
          </m:e>
          <m:sub>
            <m:r>
              <m:t>p</m:t>
            </m:r>
          </m:sub>
          <m:sup>
            <m:r>
              <m:rPr>
                <m:sty m:val="p"/>
              </m:rPr>
              <m:t>×</m:t>
            </m:r>
          </m:sup>
        </m:sSubSup>
      </m:oMath>
      <w:r>
        <w:t xml:space="preserve">. They have the same trace, zero, and the same maximal annihilator. Nevertheless their coefficients</w:t>
      </w:r>
      <w:r>
        <w:t xml:space="preserve"> </w:t>
      </w:r>
      <m:oMath>
        <m:d>
          <m:dPr>
            <m:begChr m:val="["/>
            <m:endChr m:val="]"/>
            <m:sepChr m:val=""/>
            <m:grow/>
          </m:dPr>
          <m:e>
            <m:sSup>
              <m:e>
                <m:r>
                  <m:t>x</m:t>
                </m:r>
              </m:e>
              <m:sup>
                <m:r>
                  <m:t>p</m:t>
                </m:r>
                <m:r>
                  <m:rPr>
                    <m:sty m:val="p"/>
                  </m:rPr>
                  <m:t>+</m:t>
                </m:r>
                <m:r>
                  <m:t>1</m:t>
                </m:r>
              </m:sup>
            </m:sSup>
          </m:e>
        </m:d>
        <m:sSup>
          <m:e>
            <m:d>
              <m:dPr>
                <m:begChr m:val="("/>
                <m:endChr m:val=")"/>
                <m:sepChr m:val=""/>
                <m:grow/>
              </m:dPr>
              <m:e>
                <m:r>
                  <m:t>1</m:t>
                </m:r>
                <m:r>
                  <m:rPr>
                    <m:sty m:val="p"/>
                  </m:rPr>
                  <m:t>−</m:t>
                </m:r>
                <m:r>
                  <m:t>λ</m:t>
                </m:r>
                <m:sSup>
                  <m:e>
                    <m:r>
                      <m:t>x</m:t>
                    </m:r>
                  </m:e>
                  <m:sup>
                    <m:r>
                      <m:t>5</m:t>
                    </m:r>
                  </m:sup>
                </m:sSup>
              </m:e>
            </m:d>
          </m:e>
          <m:sup>
            <m:r>
              <m:t>h</m:t>
            </m:r>
          </m:sup>
        </m:sSup>
      </m:oMath>
      <w:r>
        <w:t xml:space="preserve"> </w:t>
      </w:r>
      <w:r>
        <w:t xml:space="preserve">are</w:t>
      </w:r>
      <w:r>
        <w:t xml:space="preserve"> </w:t>
      </w:r>
      <m:oMath>
        <m:r>
          <m:t>15</m:t>
        </m:r>
      </m:oMath>
      <w:r>
        <w:t xml:space="preserve"> </w:t>
      </w:r>
      <w:r>
        <w:t xml:space="preserve">and</w:t>
      </w:r>
      <w:r>
        <w:t xml:space="preserve"> </w:t>
      </w:r>
      <m:oMath>
        <m:r>
          <m:t>2</m:t>
        </m:r>
      </m:oMath>
      <w:r>
        <w:t xml:space="preserve">. The included enumeration confirms the trace and coefficients. This rules out identifying this normalized coefficient from those invariant values alone; it is not a lower bound on every possible algorithm.</w:t>
      </w:r>
    </w:p>
    <w:bookmarkEnd w:id="22"/>
    <w:bookmarkStart w:id="23" w:name="Xe3c8ff6d14c1e6a0a6cfea3169106bec437d0a4"/>
    <w:p>
      <w:pPr>
        <w:pStyle w:val="Heading2"/>
        <w:widowControl/>
      </w:pPr>
      <w:r>
        <w:t xml:space="preserve">Gamma ratios and the quintic character route</w:t>
      </w:r>
    </w:p>
    <w:p>
      <w:pPr>
        <w:pStyle w:val="FirstParagraph"/>
        <w:keepNext/>
        <w:widowControl/>
      </w:pPr>
      <w:r>
        <w:t xml:space="preserve">Let</w:t>
      </w:r>
      <w:r>
        <w:t xml:space="preserve"> </w:t>
      </w:r>
      <m:oMath>
        <m:sSub>
          <m:e>
            <m:r>
              <m:t>G</m:t>
            </m:r>
          </m:e>
          <m:sub>
            <m:r>
              <m:t>j</m:t>
            </m:r>
          </m:sub>
        </m:sSub>
        <m:r>
          <m:rPr>
            <m:sty m:val="p"/>
          </m:rPr>
          <m:t>=</m:t>
        </m:r>
        <m:sSub>
          <m:e>
            <m:r>
              <m:t>Γ</m:t>
            </m:r>
          </m:e>
          <m:sub>
            <m:r>
              <m:t>p</m:t>
            </m:r>
          </m:sub>
        </m:sSub>
        <m:d>
          <m:dPr>
            <m:begChr m:val="("/>
            <m:endChr m:val=")"/>
            <m:sepChr m:val=""/>
            <m:grow/>
          </m:dPr>
          <m:e>
            <m:r>
              <m:t>j</m:t>
            </m:r>
            <m:r>
              <m:rPr>
                <m:sty m:val="p"/>
              </m:rPr>
              <m:t>/</m:t>
            </m:r>
            <m:r>
              <m:t>5</m:t>
            </m:r>
          </m:e>
        </m:d>
      </m:oMath>
      <w:r>
        <w:t xml:space="preserve"> </w:t>
      </w:r>
      <w:r>
        <w:t xml:space="preserve">for Morita’s</w:t>
      </w:r>
      <w:r>
        <w:t xml:space="preserve"> </w:t>
      </w:r>
      <m:oMath>
        <m:r>
          <m:t>p</m:t>
        </m:r>
      </m:oMath>
      <w:r>
        <w:t xml:space="preserve">-adic gamma function. Using its integer definition, congruence preservation and unit functional equation [R3], the boundary factorials give</w:t>
      </w:r>
    </w:p>
    <w:p>
      <w:pPr>
        <w:pStyle w:val="BodyText"/>
        <w:keepLines/>
        <w:widowControl/>
        <w:spacing w:before="60" w:after="140"/>
      </w:pPr>
      <m:oMathPara>
        <m:oMathParaPr>
          <m:jc m:val="center"/>
        </m:oMathParaPr>
        <m:oMath>
          <m:borderBox>
            <m:e>
              <m:sSub>
                <m:e>
                  <m:r>
                    <m:t>a</m:t>
                  </m:r>
                </m:e>
                <m:sub>
                  <m:r>
                    <m:t>L</m:t>
                  </m:r>
                </m:sub>
              </m:sSub>
              <m:r>
                <m:rPr>
                  <m:sty m:val="p"/>
                </m:rPr>
                <m:t>=</m:t>
              </m:r>
              <m:r>
                <m:t>10</m:t>
              </m:r>
              <m:r>
                <m:rPr>
                  <m:sty m:val="p"/>
                </m:rPr>
                <m:t>⋅</m:t>
              </m:r>
              <m:sSup>
                <m:e>
                  <m:r>
                    <m:t>8</m:t>
                  </m:r>
                </m:e>
                <m:sup>
                  <m:r>
                    <m:rPr>
                      <m:sty m:val="p"/>
                    </m:rPr>
                    <m:t>−</m:t>
                  </m:r>
                  <m:r>
                    <m:t>L</m:t>
                  </m:r>
                </m:sup>
              </m:sSup>
              <m:f>
                <m:fPr>
                  <m:type m:val="bar"/>
                </m:fPr>
                <m:num>
                  <m:sSub>
                    <m:e>
                      <m:r>
                        <m:t>G</m:t>
                      </m:r>
                    </m:e>
                    <m:sub>
                      <m:r>
                        <m:t>2</m:t>
                      </m:r>
                    </m:sub>
                  </m:sSub>
                </m:num>
                <m:den>
                  <m:sSubSup>
                    <m:e>
                      <m:r>
                        <m:t>G</m:t>
                      </m:r>
                    </m:e>
                    <m:sub>
                      <m:r>
                        <m:t>1</m:t>
                      </m:r>
                    </m:sub>
                    <m:sup>
                      <m:r>
                        <m:t>2</m:t>
                      </m:r>
                    </m:sup>
                  </m:sSubSup>
                </m:den>
              </m:f>
              <m:r>
                <m:rPr>
                  <m:sty m:val="p"/>
                </m:rPr>
                <m:t>,</m:t>
              </m:r>
              <m:r>
                <m:t>  </m:t>
              </m:r>
              <m:sSub>
                <m:e>
                  <m:r>
                    <m:t>a</m:t>
                  </m:r>
                </m:e>
                <m:sub>
                  <m:r>
                    <m:t>2</m:t>
                  </m:r>
                  <m:r>
                    <m:t>L</m:t>
                  </m:r>
                </m:sub>
              </m:sSub>
              <m:r>
                <m:rPr>
                  <m:sty m:val="p"/>
                </m:rPr>
                <m:t>=</m:t>
              </m:r>
              <m:r>
                <m:t>5</m:t>
              </m:r>
              <m:r>
                <m:rPr>
                  <m:sty m:val="p"/>
                </m:rPr>
                <m:t>⋅</m:t>
              </m:r>
              <m:sSup>
                <m:e>
                  <m:r>
                    <m:t>8</m:t>
                  </m:r>
                </m:e>
                <m:sup>
                  <m:r>
                    <m:rPr>
                      <m:sty m:val="p"/>
                    </m:rPr>
                    <m:t>−</m:t>
                  </m:r>
                  <m:r>
                    <m:t>2</m:t>
                  </m:r>
                  <m:r>
                    <m:t>L</m:t>
                  </m:r>
                </m:sup>
              </m:sSup>
              <m:f>
                <m:fPr>
                  <m:type m:val="bar"/>
                </m:fPr>
                <m:num>
                  <m:sSub>
                    <m:e>
                      <m:r>
                        <m:t>G</m:t>
                      </m:r>
                    </m:e>
                    <m:sub>
                      <m:r>
                        <m:t>4</m:t>
                      </m:r>
                    </m:sub>
                  </m:sSub>
                </m:num>
                <m:den>
                  <m:sSubSup>
                    <m:e>
                      <m:r>
                        <m:t>G</m:t>
                      </m:r>
                    </m:e>
                    <m:sub>
                      <m:r>
                        <m:t>2</m:t>
                      </m:r>
                    </m:sub>
                    <m:sup>
                      <m:r>
                        <m:t>2</m:t>
                      </m:r>
                    </m:sup>
                  </m:sSubSup>
                </m:den>
              </m:f>
              <m:r>
                <m:t> </m:t>
              </m:r>
              <m:r>
                <m:rPr>
                  <m:sty m:val="p"/>
                </m:rPr>
                <m:t>(</m:t>
              </m:r>
              <m:r>
                <m:rPr>
                  <m:sty m:val="p"/>
                </m:rPr>
                <m:t>mod</m:t>
              </m:r>
              <m:r>
                <m:t> </m:t>
              </m:r>
              <m:r>
                <m:t>p</m:t>
              </m:r>
              <m:r>
                <m:rPr>
                  <m:sty m:val="p"/>
                </m:rPr>
                <m:t>)</m:t>
              </m:r>
              <m:r>
                <m:rPr>
                  <m:sty m:val="p"/>
                </m:rPr>
                <m:t>.</m:t>
              </m:r>
            </m:e>
          </m:borderBox>
        </m:oMath>
      </m:oMathPara>
    </w:p>
    <w:p>
      <w:pPr>
        <w:pStyle w:val="FirstParagraph"/>
        <w:widowControl/>
      </w:pPr>
      <w:r>
        <w:t xml:space="preserve">To verify the normalization directly,</w:t>
      </w:r>
      <w:r>
        <w:t xml:space="preserve"> </w:t>
      </w:r>
      <m:oMath>
        <m:r>
          <m:t>j</m:t>
        </m:r>
        <m:r>
          <m:rPr>
            <m:sty m:val="p"/>
          </m:rPr>
          <m:t>/</m:t>
        </m:r>
        <m:r>
          <m:t>5</m:t>
        </m:r>
        <m:r>
          <m:rPr>
            <m:sty m:val="p"/>
          </m:rPr>
          <m:t>≡</m:t>
        </m:r>
        <m:r>
          <m:t>j</m:t>
        </m:r>
        <m:r>
          <m:t>L</m:t>
        </m:r>
        <m:r>
          <m:t> </m:t>
        </m:r>
        <m:r>
          <m:rPr>
            <m:sty m:val="p"/>
          </m:rPr>
          <m:t>(</m:t>
        </m:r>
        <m:r>
          <m:rPr>
            <m:sty m:val="p"/>
          </m:rPr>
          <m:t>mod</m:t>
        </m:r>
        <m:r>
          <m:t> </m:t>
        </m:r>
        <m:r>
          <m:t>p</m:t>
        </m:r>
        <m:r>
          <m:rPr>
            <m:sty m:val="p"/>
          </m:rPr>
          <m:t>)</m:t>
        </m:r>
      </m:oMath>
      <w:r>
        <w:t xml:space="preserve">, and</w:t>
      </w:r>
      <w:r>
        <w:t xml:space="preserve"> </w:t>
      </w:r>
      <m:oMath>
        <m:r>
          <m:t>j</m:t>
        </m:r>
        <m:r>
          <m:t>L</m:t>
        </m:r>
      </m:oMath>
      <w:r>
        <w:t xml:space="preserve"> </w:t>
      </w:r>
      <w:r>
        <w:t xml:space="preserve">is even. Thus</w:t>
      </w:r>
      <w:r>
        <w:t xml:space="preserve"> </w:t>
      </w:r>
      <m:oMath>
        <m:sSub>
          <m:e>
            <m:r>
              <m:t>G</m:t>
            </m:r>
          </m:e>
          <m:sub>
            <m:r>
              <m:t>j</m:t>
            </m:r>
          </m:sub>
        </m:sSub>
        <m:r>
          <m:rPr>
            <m:sty m:val="p"/>
          </m:rPr>
          <m:t>≡</m:t>
        </m:r>
        <m:d>
          <m:dPr>
            <m:begChr m:val="("/>
            <m:endChr m:val=")"/>
            <m:sepChr m:val=""/>
            <m:grow/>
          </m:dPr>
          <m:e>
            <m:r>
              <m:t>j</m:t>
            </m:r>
            <m:r>
              <m:t>L</m:t>
            </m:r>
            <m:r>
              <m:rPr>
                <m:sty m:val="p"/>
              </m:rPr>
              <m:t>−</m:t>
            </m:r>
            <m:r>
              <m:t>1</m:t>
            </m:r>
          </m:e>
        </m:d>
        <m:r>
          <m:rPr>
            <m:sty m:val="p"/>
          </m:rPr>
          <m:t>!</m:t>
        </m:r>
        <m:r>
          <m:t> </m:t>
        </m:r>
        <m:r>
          <m:rPr>
            <m:sty m:val="p"/>
          </m:rPr>
          <m:t>(</m:t>
        </m:r>
        <m:r>
          <m:rPr>
            <m:sty m:val="p"/>
          </m:rPr>
          <m:t>mod</m:t>
        </m:r>
        <m:r>
          <m:t> </m:t>
        </m:r>
        <m:r>
          <m:t>p</m:t>
        </m:r>
        <m:r>
          <m:rPr>
            <m:sty m:val="p"/>
          </m:rPr>
          <m:t>)</m:t>
        </m:r>
      </m:oMath>
      <w:r>
        <w:t xml:space="preserve">. Replacing the factorials in</w:t>
      </w:r>
      <w:r>
        <w:t xml:space="preserve"> </w:t>
      </w:r>
      <m:oMath>
        <m:d>
          <m:dPr>
            <m:begChr m:val="("/>
            <m:endChr m:val=")"/>
            <m:sepChr m:val=""/>
            <m:grow/>
          </m:dPr>
          <m:e>
            <m:f>
              <m:fPr>
                <m:type m:val="noBar"/>
              </m:fPr>
              <m:num>
                <m:r>
                  <m:t>2</m:t>
                </m:r>
                <m:r>
                  <m:t>L</m:t>
                </m:r>
              </m:num>
              <m:den>
                <m:r>
                  <m:t>L</m:t>
                </m:r>
              </m:den>
            </m:f>
          </m:e>
        </m:d>
      </m:oMath>
      <w:r>
        <w:t xml:space="preserve"> </w:t>
      </w:r>
      <w:r>
        <w:t xml:space="preserve">and</w:t>
      </w:r>
      <w:r>
        <w:t xml:space="preserve"> </w:t>
      </w:r>
      <m:oMath>
        <m:d>
          <m:dPr>
            <m:begChr m:val="("/>
            <m:endChr m:val=")"/>
            <m:sepChr m:val=""/>
            <m:grow/>
          </m:dPr>
          <m:e>
            <m:f>
              <m:fPr>
                <m:type m:val="noBar"/>
              </m:fPr>
              <m:num>
                <m:r>
                  <m:t>4</m:t>
                </m:r>
                <m:r>
                  <m:t>L</m:t>
                </m:r>
              </m:num>
              <m:den>
                <m:r>
                  <m:t>2</m:t>
                </m:r>
                <m:r>
                  <m:t>L</m:t>
                </m:r>
              </m:den>
            </m:f>
          </m:e>
        </m:d>
      </m:oMath>
      <w:r>
        <w:t xml:space="preserve"> </w:t>
      </w:r>
      <w:r>
        <w:t xml:space="preserve">gives the constants</w:t>
      </w:r>
      <w:r>
        <w:t xml:space="preserve"> </w:t>
      </w:r>
      <m:oMath>
        <m:r>
          <m:t>2</m:t>
        </m:r>
        <m:r>
          <m:rPr>
            <m:sty m:val="p"/>
          </m:rPr>
          <m:t>/</m:t>
        </m:r>
        <m:r>
          <m:t>L</m:t>
        </m:r>
        <m:r>
          <m:rPr>
            <m:sty m:val="p"/>
          </m:rPr>
          <m:t>=</m:t>
        </m:r>
        <m:r>
          <m:t>10</m:t>
        </m:r>
      </m:oMath>
      <w:r>
        <w:t xml:space="preserve"> </w:t>
      </w:r>
      <w:r>
        <w:t xml:space="preserve">and</w:t>
      </w:r>
      <w:r>
        <w:t xml:space="preserve"> </w:t>
      </w:r>
      <m:oMath>
        <m:r>
          <m:t>1</m:t>
        </m:r>
        <m:r>
          <m:rPr>
            <m:sty m:val="p"/>
          </m:rPr>
          <m:t>/</m:t>
        </m:r>
        <m:r>
          <m:t>L</m:t>
        </m:r>
        <m:r>
          <m:rPr>
            <m:sty m:val="p"/>
          </m:rPr>
          <m:t>=</m:t>
        </m:r>
        <m:r>
          <m:t>5</m:t>
        </m:r>
      </m:oMath>
      <w:r>
        <w:t xml:space="preserve"> </w:t>
      </w:r>
      <w:r>
        <w:t xml:space="preserve">modulo</w:t>
      </w:r>
      <w:r>
        <w:t xml:space="preserve"> </w:t>
      </w:r>
      <m:oMath>
        <m:r>
          <m:t>p</m:t>
        </m:r>
      </m:oMath>
      <w:r>
        <w:t xml:space="preserve">. These are formulas identifying the missing units, not fast algorithms for obtaining them.</w:t>
      </w:r>
    </w:p>
    <w:p>
      <w:pPr>
        <w:pStyle w:val="BodyText"/>
        <w:widowControl/>
      </w:pPr>
      <w:r>
        <w:t xml:space="preserve">Reflection gives the exact</w:t>
      </w:r>
      <w:r>
        <w:t xml:space="preserve"> </w:t>
      </w:r>
      <m:oMath>
        <m:r>
          <m:t>p</m:t>
        </m:r>
      </m:oMath>
      <w:r>
        <w:t xml:space="preserve">-adic identities</w:t>
      </w:r>
      <w:r>
        <w:t xml:space="preserve"> </w:t>
      </w:r>
      <m:oMath>
        <m:sSub>
          <m:e>
            <m:r>
              <m:t>G</m:t>
            </m:r>
          </m:e>
          <m:sub>
            <m:r>
              <m:t>1</m:t>
            </m:r>
          </m:sub>
        </m:sSub>
        <m:sSub>
          <m:e>
            <m:r>
              <m:t>G</m:t>
            </m:r>
          </m:e>
          <m:sub>
            <m:r>
              <m:t>4</m:t>
            </m:r>
          </m:sub>
        </m:sSub>
        <m:r>
          <m:rPr>
            <m:sty m:val="p"/>
          </m:rPr>
          <m:t>=</m:t>
        </m:r>
        <m:sSub>
          <m:e>
            <m:r>
              <m:t>G</m:t>
            </m:r>
          </m:e>
          <m:sub>
            <m:r>
              <m:t>2</m:t>
            </m:r>
          </m:sub>
        </m:sSub>
        <m:sSub>
          <m:e>
            <m:r>
              <m:t>G</m:t>
            </m:r>
          </m:e>
          <m:sub>
            <m:r>
              <m:t>3</m:t>
            </m:r>
          </m:sub>
        </m:sSub>
        <m:r>
          <m:rPr>
            <m:sty m:val="p"/>
          </m:rPr>
          <m:t>=</m:t>
        </m:r>
        <m:r>
          <m:t>1</m:t>
        </m:r>
      </m:oMath>
      <w:r>
        <w:t xml:space="preserve">. For an order-five character over</w:t>
      </w:r>
      <w:r>
        <w:t xml:space="preserve"> </w:t>
      </w:r>
      <m:oMath>
        <m:sSub>
          <m:e>
            <m:r>
              <m:rPr>
                <m:sty m:val="p"/>
                <m:scr m:val="double-struck"/>
              </m:rPr>
              <m:t>F</m:t>
            </m:r>
          </m:e>
          <m:sub>
            <m:sSup>
              <m:e>
                <m:r>
                  <m:t>p</m:t>
                </m:r>
              </m:e>
              <m:sup>
                <m:r>
                  <m:t>2</m:t>
                </m:r>
              </m:sup>
            </m:sSup>
          </m:sub>
        </m:sSub>
      </m:oMath>
      <w:r>
        <w:t xml:space="preserve">, Gross–Koblitz Theorem 1.7 [R4] runs over the two-element orbit</w:t>
      </w:r>
      <w:r>
        <w:t xml:space="preserve"> </w:t>
      </w:r>
      <m:oMath>
        <m:r>
          <m:t>j</m:t>
        </m:r>
        <m:r>
          <m:rPr>
            <m:sty m:val="p"/>
          </m:rPr>
          <m:t>/</m:t>
        </m:r>
        <m:r>
          <m:t>5</m:t>
        </m:r>
        <m:r>
          <m:rPr>
            <m:sty m:val="p"/>
          </m:rPr>
          <m:t>,</m:t>
        </m:r>
        <m:r>
          <m:t>1</m:t>
        </m:r>
        <m:r>
          <m:rPr>
            <m:sty m:val="p"/>
          </m:rPr>
          <m:t>−</m:t>
        </m:r>
        <m:r>
          <m:t>j</m:t>
        </m:r>
        <m:r>
          <m:rPr>
            <m:sty m:val="p"/>
          </m:rPr>
          <m:t>/</m:t>
        </m:r>
        <m:r>
          <m:t>5</m:t>
        </m:r>
      </m:oMath>
      <w:r>
        <w:t xml:space="preserve">. The power of its specified uniformizer is</w:t>
      </w:r>
      <w:r>
        <w:t xml:space="preserve"> </w:t>
      </w:r>
      <m:oMath>
        <m:sSup>
          <m:e>
            <m:r>
              <m:t>π</m:t>
            </m:r>
          </m:e>
          <m:sup>
            <m:r>
              <m:t>p</m:t>
            </m:r>
            <m:r>
              <m:rPr>
                <m:sty m:val="p"/>
              </m:rPr>
              <m:t>−</m:t>
            </m:r>
            <m:r>
              <m:t>1</m:t>
            </m:r>
          </m:sup>
        </m:sSup>
        <m:r>
          <m:rPr>
            <m:sty m:val="p"/>
          </m:rPr>
          <m:t>=</m:t>
        </m:r>
        <m:r>
          <m:rPr>
            <m:sty m:val="p"/>
          </m:rPr>
          <m:t>−</m:t>
        </m:r>
        <m:r>
          <m:t>p</m:t>
        </m:r>
      </m:oMath>
      <w:r>
        <w:t xml:space="preserve">, so its negative-Gauss-sum convention gives</w:t>
      </w:r>
      <w:r>
        <w:t xml:space="preserve"> </w:t>
      </w:r>
      <m:oMath>
        <m:sSub>
          <m:e>
            <m:r>
              <m:t>g</m:t>
            </m:r>
          </m:e>
          <m:sub>
            <m:r>
              <m:t>j</m:t>
            </m:r>
          </m:sub>
        </m:sSub>
        <m:r>
          <m:rPr>
            <m:sty m:val="p"/>
          </m:rPr>
          <m:t>=</m:t>
        </m:r>
        <m:r>
          <m:rPr>
            <m:sty m:val="p"/>
          </m:rPr>
          <m:t>−</m:t>
        </m:r>
        <m:r>
          <m:t>p</m:t>
        </m:r>
        <m:sSub>
          <m:e>
            <m:r>
              <m:t>G</m:t>
            </m:r>
          </m:e>
          <m:sub>
            <m:r>
              <m:t>j</m:t>
            </m:r>
          </m:sub>
        </m:sSub>
        <m:sSub>
          <m:e>
            <m:r>
              <m:t>G</m:t>
            </m:r>
          </m:e>
          <m:sub>
            <m:r>
              <m:t>5</m:t>
            </m:r>
            <m:r>
              <m:rPr>
                <m:sty m:val="p"/>
              </m:rPr>
              <m:t>−</m:t>
            </m:r>
            <m:r>
              <m:t>j</m:t>
            </m:r>
          </m:sub>
        </m:sSub>
        <m:r>
          <m:rPr>
            <m:sty m:val="p"/>
          </m:rPr>
          <m:t>=</m:t>
        </m:r>
        <m:r>
          <m:rPr>
            <m:sty m:val="p"/>
          </m:rPr>
          <m:t>−</m:t>
        </m:r>
        <m:r>
          <m:t>p</m:t>
        </m:r>
      </m:oMath>
      <w:r>
        <w:t xml:space="preserve">. Under the usual convention without the initial minus sign, the Gauss sums equal</w:t>
      </w:r>
      <w:r>
        <w:t xml:space="preserve"> </w:t>
      </w:r>
      <m:oMath>
        <m:r>
          <m:t>p</m:t>
        </m:r>
      </m:oMath>
      <w:r>
        <w:t xml:space="preserve">. Therefore every quintic Jacobi sum with both characters and their product nontrivial equals</w:t>
      </w:r>
      <w:r>
        <w:t xml:space="preserve"> </w:t>
      </w:r>
      <m:oMath>
        <m:r>
          <m:t>p</m:t>
        </m:r>
      </m:oMath>
      <w:r>
        <w:t xml:space="preserve">.</w:t>
      </w:r>
    </w:p>
    <w:p>
      <w:pPr>
        <w:pStyle w:val="BodyText"/>
        <w:widowControl/>
      </w:pPr>
      <w:r>
        <w:t xml:space="preserve">This route collapses to the reflection products rather than the ratios required above. Knowing these particular orbit products does not isolate</w:t>
      </w:r>
      <w:r>
        <w:t xml:space="preserve"> </w:t>
      </w:r>
      <m:oMath>
        <m:sSub>
          <m:e>
            <m:r>
              <m:t>G</m:t>
            </m:r>
          </m:e>
          <m:sub>
            <m:r>
              <m:t>2</m:t>
            </m:r>
          </m:sub>
        </m:sSub>
        <m:r>
          <m:rPr>
            <m:sty m:val="p"/>
          </m:rPr>
          <m:t>/</m:t>
        </m:r>
        <m:sSubSup>
          <m:e>
            <m:r>
              <m:t>G</m:t>
            </m:r>
          </m:e>
          <m:sub>
            <m:r>
              <m:t>1</m:t>
            </m:r>
          </m:sub>
          <m:sup>
            <m:r>
              <m:t>2</m:t>
            </m:r>
          </m:sup>
        </m:sSubSup>
      </m:oMath>
      <w:r>
        <w:t xml:space="preserve"> </w:t>
      </w:r>
      <w:r>
        <w:t xml:space="preserve">or</w:t>
      </w:r>
      <w:r>
        <w:t xml:space="preserve"> </w:t>
      </w:r>
      <m:oMath>
        <m:sSub>
          <m:e>
            <m:r>
              <m:t>G</m:t>
            </m:r>
          </m:e>
          <m:sub>
            <m:r>
              <m:t>4</m:t>
            </m:r>
          </m:sub>
        </m:sSub>
        <m:r>
          <m:rPr>
            <m:sty m:val="p"/>
          </m:rPr>
          <m:t>/</m:t>
        </m:r>
        <m:sSubSup>
          <m:e>
            <m:r>
              <m:t>G</m:t>
            </m:r>
          </m:e>
          <m:sub>
            <m:r>
              <m:t>2</m:t>
            </m:r>
          </m:sub>
          <m:sup>
            <m:r>
              <m:t>2</m:t>
            </m:r>
          </m:sup>
        </m:sSubSup>
      </m:oMath>
      <w:r>
        <w:t xml:space="preserve">. For example, reciprocal rescaling of</w:t>
      </w:r>
      <w:r>
        <w:t xml:space="preserve"> </w:t>
      </w:r>
      <m:oMath>
        <m:sSub>
          <m:e>
            <m:r>
              <m:t>G</m:t>
            </m:r>
          </m:e>
          <m:sub>
            <m:r>
              <m:t>1</m:t>
            </m:r>
          </m:sub>
        </m:sSub>
        <m:r>
          <m:rPr>
            <m:sty m:val="p"/>
          </m:rPr>
          <m:t>,</m:t>
        </m:r>
        <m:sSub>
          <m:e>
            <m:r>
              <m:t>G</m:t>
            </m:r>
          </m:e>
          <m:sub>
            <m:r>
              <m:t>4</m:t>
            </m:r>
          </m:sub>
        </m:sSub>
      </m:oMath>
      <w:r>
        <w:t xml:space="preserve"> </w:t>
      </w:r>
      <w:r>
        <w:t xml:space="preserve">preserves the displayed reflection equations while changing the first ratio. This statement concerns what follows from those equations; it does not assert freedom to change actual gamma values, or exclude a different character construction. Exact enumeration in</w:t>
      </w:r>
      <w:r>
        <w:t xml:space="preserve"> </w:t>
      </w:r>
      <m:oMath>
        <m:r>
          <m:rPr>
            <m:sty m:val="p"/>
            <m:scr m:val="double-struck"/>
          </m:rPr>
          <m:t>Z</m:t>
        </m:r>
        <m:d>
          <m:dPr>
            <m:begChr m:val="["/>
            <m:endChr m:val="]"/>
            <m:sepChr m:val=""/>
            <m:grow/>
          </m:dPr>
          <m:e>
            <m:sSub>
              <m:e>
                <m:r>
                  <m:t>ζ</m:t>
                </m:r>
              </m:e>
              <m:sub>
                <m:r>
                  <m:t>5</m:t>
                </m:r>
              </m:sub>
            </m:sSub>
          </m:e>
        </m:d>
      </m:oMath>
      <w:r>
        <w:t xml:space="preserve"> </w:t>
      </w:r>
      <w:r>
        <w:t xml:space="preserve">confirms all twelve nontrivial-product quintic Jacobi sums at each of</w:t>
      </w:r>
      <w:r>
        <w:t xml:space="preserve"> </w:t>
      </w:r>
      <m:oMath>
        <m:r>
          <m:t>p</m:t>
        </m:r>
        <m:r>
          <m:rPr>
            <m:sty m:val="p"/>
          </m:rPr>
          <m:t>=</m:t>
        </m:r>
        <m:r>
          <m:t>19</m:t>
        </m:r>
        <m:r>
          <m:rPr>
            <m:sty m:val="p"/>
          </m:rPr>
          <m:t>,</m:t>
        </m:r>
        <m:r>
          <m:t>29</m:t>
        </m:r>
        <m:r>
          <m:rPr>
            <m:sty m:val="p"/>
          </m:rPr>
          <m:t>,</m:t>
        </m:r>
        <m:r>
          <m:t>59</m:t>
        </m:r>
        <m:r>
          <m:rPr>
            <m:sty m:val="p"/>
          </m:rPr>
          <m:t>,</m:t>
        </m:r>
        <m:r>
          <m:t>79</m:t>
        </m:r>
        <m:r>
          <m:rPr>
            <m:sty m:val="p"/>
          </m:rPr>
          <m:t>,</m:t>
        </m:r>
        <m:r>
          <m:t>89</m:t>
        </m:r>
      </m:oMath>
      <w:r>
        <w:t xml:space="preserve">, sixty sums in total. The normalized Jacobi value is always</w:t>
      </w:r>
      <w:r>
        <w:t xml:space="preserve"> </w:t>
      </w:r>
      <m:oMath>
        <m:r>
          <m:t>1</m:t>
        </m:r>
      </m:oMath>
      <w:r>
        <w:t xml:space="preserve">, while</w:t>
      </w:r>
      <w:r>
        <w:t xml:space="preserve"> </w:t>
      </w:r>
      <m:oMath>
        <m:sSub>
          <m:e>
            <m:r>
              <m:t>a</m:t>
            </m:r>
          </m:e>
          <m:sub>
            <m:r>
              <m:t>L</m:t>
            </m:r>
          </m:sub>
        </m:sSub>
      </m:oMath>
      <w:r>
        <w:t xml:space="preserve"> </w:t>
      </w:r>
      <w:r>
        <w:t xml:space="preserve">is respectively</w:t>
      </w:r>
      <w:r>
        <w:t xml:space="preserve"> </w:t>
      </w:r>
      <m:oMath>
        <m:r>
          <m:t>15</m:t>
        </m:r>
        <m:r>
          <m:rPr>
            <m:sty m:val="p"/>
          </m:rPr>
          <m:t>,</m:t>
        </m:r>
        <m:r>
          <m:t>22</m:t>
        </m:r>
        <m:r>
          <m:rPr>
            <m:sty m:val="p"/>
          </m:rPr>
          <m:t>,</m:t>
        </m:r>
        <m:r>
          <m:t>5</m:t>
        </m:r>
        <m:r>
          <m:rPr>
            <m:sty m:val="p"/>
          </m:rPr>
          <m:t>,</m:t>
        </m:r>
        <m:r>
          <m:t>51</m:t>
        </m:r>
        <m:r>
          <m:rPr>
            <m:sty m:val="p"/>
          </m:rPr>
          <m:t>,</m:t>
        </m:r>
        <m:r>
          <m:t>64</m:t>
        </m:r>
      </m:oMath>
      <w:r>
        <w:t xml:space="preserve">.</w:t>
      </w:r>
    </w:p>
    <w:p>
      <w:pPr>
        <w:pStyle w:val="BodyText"/>
        <w:widowControl/>
      </w:pPr>
      <w:r>
        <w:t xml:space="preserve">The original Gross–Koblitz paper was obtained from a public university-hosted scan and its relevant formulas were inspected. No university-access paper is currently needed to reproduce this stage. A further investigation of other characters or normalized cohomological periods would be a separate bounded next task, not a completed evaluation.</w:t>
      </w:r>
    </w:p>
    <w:bookmarkEnd w:id="23"/>
    <w:bookmarkStart w:id="24" w:name="a-complete-implementation-and-its-cost"/>
    <w:p>
      <w:pPr>
        <w:pStyle w:val="Heading2"/>
        <w:widowControl/>
      </w:pPr>
      <w:r>
        <w:t xml:space="preserve">A complete implementation and its cost</w:t>
      </w:r>
    </w:p>
    <w:p>
      <w:pPr>
        <w:pStyle w:val="FirstParagraph"/>
        <w:keepNext/>
        <w:widowControl/>
      </w:pPr>
      <w:r>
        <w:t xml:space="preserve">The practical algorithm uses the conventional scalar identity</w:t>
      </w:r>
    </w:p>
    <w:p>
      <w:pPr>
        <w:pStyle w:val="BodyText"/>
        <w:keepLines/>
        <w:widowControl/>
        <w:spacing w:before="60" w:after="140"/>
      </w:pPr>
      <m:oMathPara>
        <m:oMathParaPr>
          <m:jc m:val="center"/>
        </m:oMathParaPr>
        <m:oMath>
          <m:sSub>
            <m:e>
              <m:r>
                <m:t>a</m:t>
              </m:r>
            </m:e>
            <m:sub>
              <m:r>
                <m:t>n</m:t>
              </m:r>
            </m:sub>
          </m:sSub>
          <m:r>
            <m:rPr>
              <m:sty m:val="p"/>
            </m:rPr>
            <m:t>=</m:t>
          </m:r>
          <m:f>
            <m:fPr>
              <m:type m:val="bar"/>
            </m:fPr>
            <m:num>
              <m:sSub>
                <m:e>
                  <m:d>
                    <m:dPr>
                      <m:begChr m:val="("/>
                      <m:endChr m:val=")"/>
                      <m:sepChr m:val=""/>
                      <m:grow/>
                    </m:dPr>
                    <m:e>
                      <m:r>
                        <m:t>1</m:t>
                      </m:r>
                      <m:r>
                        <m:rPr>
                          <m:sty m:val="p"/>
                        </m:rPr>
                        <m:t>/</m:t>
                      </m:r>
                      <m:r>
                        <m:t>2</m:t>
                      </m:r>
                    </m:e>
                  </m:d>
                </m:e>
                <m:sub>
                  <m:r>
                    <m:t>n</m:t>
                  </m:r>
                </m:sub>
              </m:sSub>
            </m:num>
            <m:den>
              <m:sSup>
                <m:e>
                  <m:r>
                    <m:t>2</m:t>
                  </m:r>
                </m:e>
                <m:sup>
                  <m:r>
                    <m:t>n</m:t>
                  </m:r>
                </m:sup>
              </m:sSup>
              <m:r>
                <m:t>n</m:t>
              </m:r>
              <m:r>
                <m:rPr>
                  <m:sty m:val="p"/>
                </m:rPr>
                <m:t>!</m:t>
              </m:r>
            </m:den>
          </m:f>
          <m:r>
            <m:rPr>
              <m:sty m:val="p"/>
            </m:rPr>
            <m:t>.</m:t>
          </m:r>
        </m:oMath>
      </m:oMathPara>
    </w:p>
    <w:p>
      <w:pPr>
        <w:pStyle w:val="FirstParagraph"/>
        <w:widowControl/>
      </w:pPr>
      <w:r>
        <w:t xml:space="preserve">Put</w:t>
      </w:r>
      <w:r>
        <w:t xml:space="preserve"> </w:t>
      </w:r>
      <m:oMath>
        <m:r>
          <m:t>m</m:t>
        </m:r>
        <m:r>
          <m:rPr>
            <m:sty m:val="p"/>
          </m:rPr>
          <m:t>=</m:t>
        </m:r>
        <m:r>
          <m:rPr>
            <m:sty m:val="p"/>
          </m:rPr>
          <m:t>⌊</m:t>
        </m:r>
        <m:rad>
          <m:radPr>
            <m:degHide m:val="on"/>
          </m:radPr>
          <m:deg/>
          <m:e>
            <m:r>
              <m:t>N</m:t>
            </m:r>
          </m:e>
        </m:rad>
        <m:r>
          <m:rPr>
            <m:sty m:val="p"/>
          </m:rPr>
          <m:t>⌋</m:t>
        </m:r>
      </m:oMath>
      <w:r>
        <w:t xml:space="preserve">, where</w:t>
      </w:r>
      <w:r>
        <w:t xml:space="preserve"> </w:t>
      </w:r>
      <m:oMath>
        <m:r>
          <m:t>N</m:t>
        </m:r>
      </m:oMath>
      <w:r>
        <w:t xml:space="preserve"> </w:t>
      </w:r>
      <w:r>
        <w:t xml:space="preserve">is the largest requested boundary index, and form</w:t>
      </w:r>
      <w:r>
        <w:t xml:space="preserve"> </w:t>
      </w:r>
      <m:oMath>
        <m:sSub>
          <m:e>
            <m:r>
              <m:t>R</m:t>
            </m:r>
          </m:e>
          <m:sub>
            <m:r>
              <m:t>m</m:t>
            </m:r>
          </m:sub>
        </m:sSub>
        <m:d>
          <m:dPr>
            <m:begChr m:val="("/>
            <m:endChr m:val=")"/>
            <m:sepChr m:val=""/>
            <m:grow/>
          </m:dPr>
          <m:e>
            <m:r>
              <m:t>X</m:t>
            </m:r>
          </m:e>
        </m:d>
        <m:r>
          <m:rPr>
            <m:sty m:val="p"/>
          </m:rPr>
          <m:t>=</m:t>
        </m:r>
        <m:nary>
          <m:naryPr>
            <m:chr m:val="∏"/>
            <m:limLoc m:val="undOvr"/>
            <m:subHide m:val="off"/>
            <m:supHide m:val="off"/>
          </m:naryPr>
          <m:sub>
            <m:r>
              <m:t>r</m:t>
            </m:r>
            <m:r>
              <m:rPr>
                <m:sty m:val="p"/>
              </m:rPr>
              <m:t>=</m:t>
            </m:r>
            <m:r>
              <m:t>0</m:t>
            </m:r>
          </m:sub>
          <m:sup>
            <m:r>
              <m:t>m</m:t>
            </m:r>
            <m:r>
              <m:rPr>
                <m:sty m:val="p"/>
              </m:rPr>
              <m:t>−</m:t>
            </m:r>
            <m:r>
              <m:t>1</m:t>
            </m:r>
          </m:sup>
          <m:e>
            <m:d>
              <m:dPr>
                <m:begChr m:val="("/>
                <m:endChr m:val=")"/>
                <m:sepChr m:val=""/>
                <m:grow/>
              </m:dPr>
              <m:e>
                <m:r>
                  <m:t>X</m:t>
                </m:r>
                <m:r>
                  <m:rPr>
                    <m:sty m:val="p"/>
                  </m:rPr>
                  <m:t>+</m:t>
                </m:r>
                <m:r>
                  <m:t>r</m:t>
                </m:r>
              </m:e>
            </m:d>
          </m:e>
        </m:nary>
      </m:oMath>
      <w:r>
        <w:t xml:space="preserve">. Evaluating this one polynomial at</w:t>
      </w:r>
      <w:r>
        <w:t xml:space="preserve"> </w:t>
      </w:r>
      <m:oMath>
        <m:r>
          <m:t>j</m:t>
        </m:r>
        <m:r>
          <m:t>m</m:t>
        </m:r>
        <m:r>
          <m:rPr>
            <m:sty m:val="p"/>
          </m:rPr>
          <m:t>+</m:t>
        </m:r>
        <m:r>
          <m:t>1</m:t>
        </m:r>
        <m:r>
          <m:rPr>
            <m:sty m:val="p"/>
          </m:rPr>
          <m:t>/</m:t>
        </m:r>
        <m:r>
          <m:t>2</m:t>
        </m:r>
      </m:oMath>
      <w:r>
        <w:t xml:space="preserve"> </w:t>
      </w:r>
      <w:r>
        <w:t xml:space="preserve">and</w:t>
      </w:r>
      <w:r>
        <w:t xml:space="preserve"> </w:t>
      </w:r>
      <m:oMath>
        <m:r>
          <m:t>j</m:t>
        </m:r>
        <m:r>
          <m:t>m</m:t>
        </m:r>
        <m:r>
          <m:rPr>
            <m:sty m:val="p"/>
          </m:rPr>
          <m:t>+</m:t>
        </m:r>
        <m:r>
          <m:t>1</m:t>
        </m:r>
      </m:oMath>
      <w:r>
        <w:t xml:space="preserve"> </w:t>
      </w:r>
      <w:r>
        <w:t xml:space="preserve">gives numerator and denominator block products. A shared subproduct/remainder tree, the leftover tail and one final inverse per boundary finish the result. If both boundaries are requested, the polynomial, tree and accumulated block products are shared. All denominator factors are nonzero because</w:t>
      </w:r>
      <w:r>
        <w:t xml:space="preserve"> </w:t>
      </w:r>
      <m:oMath>
        <m:r>
          <m:t>2</m:t>
        </m:r>
        <m:r>
          <m:t>N</m:t>
        </m:r>
        <m:r>
          <m:rPr>
            <m:sty m:val="p"/>
          </m:rPr>
          <m:t>&lt;</m:t>
        </m:r>
        <m:r>
          <m:t>p</m:t>
        </m:r>
      </m:oMath>
      <w:r>
        <w:t xml:space="preserve">.</w:t>
      </w:r>
    </w:p>
    <w:p>
      <w:pPr>
        <w:pStyle w:val="BodyText"/>
        <w:widowControl/>
      </w:pPr>
      <w:r>
        <w:t xml:space="preserve">This is standard polynomial block BSGS of the type discussed in [R5], implemented with python-flint 0.9.0. The conservative operation bound is</w:t>
      </w:r>
      <w:r>
        <w:t xml:space="preserve"> </w:t>
      </w:r>
      <m:oMath>
        <m:r>
          <m:t>O</m:t>
        </m:r>
        <m:d>
          <m:dPr>
            <m:begChr m:val="("/>
            <m:endChr m:val=")"/>
            <m:sepChr m:val=""/>
            <m:grow/>
          </m:dPr>
          <m:e>
            <m:r>
              <m:rPr>
                <m:sty m:val="p"/>
                <m:scr m:val="sans-serif"/>
              </m:rPr>
              <m:t>M</m:t>
            </m:r>
            <m:d>
              <m:dPr>
                <m:begChr m:val="("/>
                <m:endChr m:val=")"/>
                <m:sepChr m:val=""/>
                <m:grow/>
              </m:dPr>
              <m:e>
                <m:rad>
                  <m:radPr>
                    <m:degHide m:val="on"/>
                  </m:radPr>
                  <m:deg/>
                  <m:e>
                    <m:r>
                      <m:t>N</m:t>
                    </m:r>
                  </m:e>
                </m:rad>
              </m:e>
            </m:d>
            <m:r>
              <m:rPr>
                <m:sty m:val="p"/>
              </m:rPr>
              <m:t>log</m:t>
            </m:r>
            <m:r>
              <m:t>N</m:t>
            </m:r>
          </m:e>
        </m:d>
      </m:oMath>
      <w:r>
        <w:t xml:space="preserve"> </w:t>
      </w:r>
      <w:r>
        <w:t xml:space="preserve">and the stored tree uses</w:t>
      </w:r>
      <w:r>
        <w:t xml:space="preserve"> </w:t>
      </w:r>
      <m:oMath>
        <m:r>
          <m:t>O</m:t>
        </m:r>
        <m:d>
          <m:dPr>
            <m:begChr m:val="("/>
            <m:endChr m:val=")"/>
            <m:sepChr m:val=""/>
            <m:grow/>
          </m:dPr>
          <m:e>
            <m:rad>
              <m:radPr>
                <m:degHide m:val="on"/>
              </m:radPr>
              <m:deg/>
              <m:e>
                <m:r>
                  <m:t>N</m:t>
                </m:r>
              </m:e>
            </m:rad>
            <m:r>
              <m:rPr>
                <m:sty m:val="p"/>
              </m:rPr>
              <m:t>log</m:t>
            </m:r>
            <m:r>
              <m:t>N</m:t>
            </m:r>
          </m:e>
        </m:d>
      </m:oMath>
      <w:r>
        <w:t xml:space="preserve"> </w:t>
      </w:r>
      <w:r>
        <w:t xml:space="preserve">coefficients, where</w:t>
      </w:r>
      <w:r>
        <w:t xml:space="preserve"> </w:t>
      </w:r>
      <m:oMath>
        <m:r>
          <m:rPr>
            <m:sty m:val="p"/>
            <m:scr m:val="sans-serif"/>
          </m:rPr>
          <m:t>M</m:t>
        </m:r>
      </m:oMath>
      <w:r>
        <w:t xml:space="preserve"> </w:t>
      </w:r>
      <w:r>
        <w:t xml:space="preserve">denotes polynomial multiplication cost. Adding the fixed-genus Miller pass changes the cost by</w:t>
      </w:r>
      <w:r>
        <w:t xml:space="preserve"> </w:t>
      </w:r>
      <m:oMath>
        <m:r>
          <m:t>O</m:t>
        </m:r>
        <m:d>
          <m:dPr>
            <m:begChr m:val="("/>
            <m:endChr m:val=")"/>
            <m:sepChr m:val=""/>
            <m:grow/>
          </m:dPr>
          <m:e>
            <m:r>
              <m:rPr>
                <m:sty m:val="p"/>
              </m:rPr>
              <m:t>log</m:t>
            </m:r>
            <m:r>
              <m:t>p</m:t>
            </m:r>
          </m:e>
        </m:d>
      </m:oMath>
      <w:r>
        <w:t xml:space="preserve"> </w:t>
      </w:r>
      <w:r>
        <w:t xml:space="preserve">field operations, not the square-root dependence of the boundary. The present implementation uses generic remainder trees, rather than the optimized arithmetic-progression algorithm of [R5].</w:t>
      </w:r>
    </w:p>
    <w:bookmarkEnd w:id="24"/>
    <w:bookmarkStart w:id="25" w:name="Xf00edc760cef3836385a3d814d60b165d31af39"/>
    <w:p>
      <w:pPr>
        <w:pStyle w:val="Heading2"/>
        <w:widowControl/>
      </w:pPr>
      <w:r>
        <w:t xml:space="preserve">Validation and measured complete workloads</w:t>
      </w:r>
    </w:p>
    <w:p>
      <w:pPr>
        <w:pStyle w:val="FirstParagraph"/>
        <w:widowControl/>
      </w:pPr>
      <w:r>
        <w:t xml:space="preserve">The independent audit checks all 73 admissible primes through 2000. It compares 146 boundaries with exact integer binomials and 146 complete</w:t>
      </w:r>
      <w:r>
        <w:t xml:space="preserve"> </w:t>
      </w:r>
      <m:oMath>
        <m:r>
          <m:t>U</m:t>
        </m:r>
      </m:oMath>
      <w:r>
        <w:t xml:space="preserve"> </w:t>
      </w:r>
      <w:r>
        <w:t xml:space="preserve">evaluations with independent binomial sums and the archived matrix product. Twenty of those complete values are also checked by constructing the original rational recurrence exactly. It checks 138 Cartier differential identities by repeated polynomial expansion for</w:t>
      </w:r>
      <w:r>
        <w:t xml:space="preserve"> </w:t>
      </w:r>
      <m:oMath>
        <m:r>
          <m:t>p</m:t>
        </m:r>
        <m:r>
          <m:rPr>
            <m:sty m:val="p"/>
          </m:rPr>
          <m:t>&lt;</m:t>
        </m:r>
        <m:r>
          <m:t>500</m:t>
        </m:r>
      </m:oMath>
      <w:r>
        <w:t xml:space="preserve">, 146 derivative identities as whole polynomials, 146 gamma boundary identities and 146 reflection identities. Twenty small complete values also agree with a separate FLINT full-row evaluator. These counts are checks, not distinct mathematical proofs or independent reviews.</w:t>
      </w:r>
    </w:p>
    <w:p>
      <w:pPr>
        <w:pStyle w:val="BodyText"/>
        <w:widowControl/>
      </w:pPr>
      <w:r>
        <w:t xml:space="preserve">The native C timing controls were checked against the rational oracle at the small inputs before benchmarking. At the five benchmark primes, the complete hybrid, archived matrix product, native original recurrence and native transformed recurrence all return the same</w:t>
      </w:r>
      <w:r>
        <w:t xml:space="preserve"> </w:t>
      </w:r>
      <m:oMath>
        <m:r>
          <m:t>U</m:t>
        </m:r>
      </m:oMath>
      <w:r>
        <w:t xml:space="preserve"> </w:t>
      </w:r>
      <w:r>
        <w:t xml:space="preserve">value. Query medians below include curve and field setup, any split-field restart, polynomial and tree construction, tails, final inversions and</w:t>
      </w:r>
      <w:r>
        <w:t xml:space="preserve"> </w:t>
      </w:r>
      <m:oMath>
        <m:r>
          <m:t>U</m:t>
        </m:r>
      </m:oMath>
      <w:r>
        <w:t xml:space="preserve"> </w:t>
      </w:r>
      <w:r>
        <w:t xml:space="preserve">reconstruction. Prime prevalidation and module import are excluded; there are no retained curve or polynomial caches. Python methods use five samples and native methods three. Compilation and measurement ran on Linux with the versions and raw samples recorded in</w:t>
      </w:r>
      <w:r>
        <w:t xml:space="preserve"> </w:t>
      </w:r>
      <w:r>
        <w:rPr>
          <w:rStyle w:val="VerbatimChar"/>
        </w:rPr>
        <w:t xml:space="preserve">results/benchmark.json</w:t>
      </w:r>
      <w:r>
        <w:t xml:space="preserve">.</w:t>
      </w:r>
    </w:p>
    <w:tbl>
      <w:tblPr>
        <w:tblStyle w:val="Table"/>
        <w:tblW w:type="pct" w:w="5000"/>
        <w:jc w:val="center"/>
        <w:tblLayout w:type="fixed"/>
        <w:tblLook w:firstRow="1" w:lastRow="0" w:firstColumn="0" w:lastColumn="0" w:noHBand="0" w:noVBand="0" w:val="0020"/>
      </w:tblPr>
      <w:tblGrid>
        <w:gridCol w:w="1320"/>
        <w:gridCol w:w="1320"/>
        <w:gridCol w:w="1320"/>
        <w:gridCol w:w="1320"/>
        <w:gridCol w:w="1320"/>
        <w:gridCol w:w="1320"/>
      </w:tblGrid>
      <w:tr>
        <w:trPr>
          <w:tblHeader w:val="true"/>
          <w:tblHeader/>
        </w:trPr>
        <w:tc>
          <w:tcPr>
            <w:tcW w:type="dxa" w:w="1944"/>
            <w:vAlign w:val="center"/>
            <w:tcBorders>
              <w:top w:val="single" w:sz="4" w:color="D9D9D9"/>
              <w:left w:val="single" w:sz="4" w:color="D9D9D9"/>
              <w:bottom w:val="single" w:sz="4" w:color="D9D9D9"/>
              <w:right w:val="single" w:sz="4" w:color="D9D9D9"/>
            </w:tcBorders>
            <w:shd w:fill="E7EFF7"/>
          </w:tcPr>
          <w:p>
            <w:pPr>
              <w:pStyle w:val="Compact"/>
              <w:spacing w:after="60" w:before="60"/>
              <w:jc w:val="center"/>
            </w:pPr>
            <w:r>
              <w:rPr>
                <w:b/>
                <w:sz w:val="20"/>
              </w:rPr>
              <w:t xml:space="preserve">Prime</w:t>
            </w:r>
            <w:r>
              <w:rPr>
                <w:b/>
                <w:sz w:val="20"/>
              </w:rPr>
              <w:t xml:space="preserve"> </w:t>
            </w:r>
            <m:oMath>
              <m:r>
                <m:t>p</m:t>
              </m:r>
            </m:oMath>
          </w:p>
        </w:tc>
        <w:tc>
          <w:tcPr>
            <w:tcW w:type="dxa" w:w="1728"/>
            <w:vAlign w:val="center"/>
            <w:tcBorders>
              <w:top w:val="single" w:sz="4" w:color="D9D9D9"/>
              <w:left w:val="single" w:sz="4" w:color="D9D9D9"/>
              <w:bottom w:val="single" w:sz="4" w:color="D9D9D9"/>
              <w:right w:val="single" w:sz="4" w:color="D9D9D9"/>
            </w:tcBorders>
            <w:shd w:fill="E7EFF7"/>
          </w:tcPr>
          <w:p>
            <w:pPr>
              <w:pStyle w:val="Compact"/>
              <w:spacing w:after="60" w:before="60"/>
              <w:jc w:val="center"/>
            </w:pPr>
            <m:oMath>
              <m:r>
                <m:t>L</m:t>
              </m:r>
            </m:oMath>
          </w:p>
        </w:tc>
        <w:tc>
          <w:tcPr>
            <w:tcW w:type="dxa" w:w="1152"/>
            <w:vAlign w:val="center"/>
            <w:tcBorders>
              <w:top w:val="single" w:sz="4" w:color="D9D9D9"/>
              <w:left w:val="single" w:sz="4" w:color="D9D9D9"/>
              <w:bottom w:val="single" w:sz="4" w:color="D9D9D9"/>
              <w:right w:val="single" w:sz="4" w:color="D9D9D9"/>
            </w:tcBorders>
            <w:shd w:fill="E7EFF7"/>
          </w:tcPr>
          <w:p>
            <w:pPr>
              <w:pStyle w:val="Compact"/>
              <w:spacing w:after="60" w:before="60"/>
              <w:jc w:val="center"/>
            </w:pPr>
            <w:r>
              <w:rPr>
                <w:b/>
                <w:sz w:val="20"/>
              </w:rPr>
              <w:t xml:space="preserve">Hybrid ms</w:t>
            </w:r>
          </w:p>
        </w:tc>
        <w:tc>
          <w:tcPr>
            <w:tcW w:type="dxa" w:w="1152"/>
            <w:vAlign w:val="center"/>
            <w:tcBorders>
              <w:top w:val="single" w:sz="4" w:color="D9D9D9"/>
              <w:left w:val="single" w:sz="4" w:color="D9D9D9"/>
              <w:bottom w:val="single" w:sz="4" w:color="D9D9D9"/>
              <w:right w:val="single" w:sz="4" w:color="D9D9D9"/>
            </w:tcBorders>
            <w:shd w:fill="E7EFF7"/>
          </w:tcPr>
          <w:p>
            <w:pPr>
              <w:pStyle w:val="Compact"/>
              <w:spacing w:after="60" w:before="60"/>
              <w:jc w:val="center"/>
            </w:pPr>
            <w:r>
              <w:rPr>
                <w:b/>
                <w:sz w:val="20"/>
              </w:rPr>
              <w:t xml:space="preserve">Matrix ms</w:t>
            </w:r>
          </w:p>
        </w:tc>
        <w:tc>
          <w:tcPr>
            <w:tcW w:type="dxa" w:w="1944"/>
            <w:vAlign w:val="center"/>
            <w:tcBorders>
              <w:top w:val="single" w:sz="4" w:color="D9D9D9"/>
              <w:left w:val="single" w:sz="4" w:color="D9D9D9"/>
              <w:bottom w:val="single" w:sz="4" w:color="D9D9D9"/>
              <w:right w:val="single" w:sz="4" w:color="D9D9D9"/>
            </w:tcBorders>
            <w:shd w:fill="E7EFF7"/>
          </w:tcPr>
          <w:p>
            <w:pPr>
              <w:pStyle w:val="Compact"/>
              <w:spacing w:after="60" w:before="60"/>
              <w:jc w:val="center"/>
            </w:pPr>
            <w:r>
              <w:rPr>
                <w:b/>
                <w:sz w:val="20"/>
              </w:rPr>
              <w:t xml:space="preserve">Native original ms</w:t>
            </w:r>
          </w:p>
        </w:tc>
        <w:tc>
          <w:tcPr>
            <w:tcW w:type="dxa" w:w="2016"/>
            <w:vAlign w:val="center"/>
            <w:tcBorders>
              <w:top w:val="single" w:sz="4" w:color="D9D9D9"/>
              <w:left w:val="single" w:sz="4" w:color="D9D9D9"/>
              <w:bottom w:val="single" w:sz="4" w:color="D9D9D9"/>
              <w:right w:val="single" w:sz="4" w:color="D9D9D9"/>
            </w:tcBorders>
            <w:shd w:fill="E7EFF7"/>
          </w:tcPr>
          <w:p>
            <w:pPr>
              <w:pStyle w:val="Compact"/>
              <w:spacing w:after="60" w:before="60"/>
              <w:jc w:val="center"/>
            </w:pPr>
            <w:r>
              <w:rPr>
                <w:b/>
                <w:sz w:val="20"/>
              </w:rPr>
              <w:t xml:space="preserve">Native transformed ms</w:t>
            </w:r>
          </w:p>
        </w:tc>
      </w:tr>
      <w:tr>
        <w:tc>
          <w:tcPr>
            <w:tcW w:type="dxa" w:w="1944"/>
            <w:vAlign w:val="center"/>
            <w:tcBorders>
              <w:top w:val="single" w:sz="4" w:color="D9D9D9"/>
              <w:left w:val="single" w:sz="4" w:color="D9D9D9"/>
              <w:bottom w:val="single" w:sz="4" w:color="D9D9D9"/>
              <w:right w:val="single" w:sz="4" w:color="D9D9D9"/>
            </w:tcBorders>
          </w:tcPr>
          <w:p>
            <w:pPr>
              <w:pStyle w:val="Compact"/>
              <w:spacing w:after="60" w:before="60"/>
              <w:jc w:val="center"/>
            </w:pPr>
            <w:r>
              <w:rPr>
                <w:b w:val="0"/>
                <w:sz w:val="20"/>
              </w:rPr>
              <w:t xml:space="preserve">100,019</w:t>
            </w:r>
          </w:p>
        </w:tc>
        <w:tc>
          <w:tcPr>
            <w:tcW w:type="dxa" w:w="1728"/>
            <w:vAlign w:val="center"/>
            <w:tcBorders>
              <w:top w:val="single" w:sz="4" w:color="D9D9D9"/>
              <w:left w:val="single" w:sz="4" w:color="D9D9D9"/>
              <w:bottom w:val="single" w:sz="4" w:color="D9D9D9"/>
              <w:right w:val="single" w:sz="4" w:color="D9D9D9"/>
            </w:tcBorders>
          </w:tcPr>
          <w:p>
            <w:pPr>
              <w:pStyle w:val="Compact"/>
              <w:spacing w:after="60" w:before="60"/>
              <w:jc w:val="center"/>
            </w:pPr>
            <w:r>
              <w:rPr>
                <w:b w:val="0"/>
                <w:sz w:val="20"/>
              </w:rPr>
              <w:t xml:space="preserve">20,004</w:t>
            </w:r>
          </w:p>
        </w:tc>
        <w:tc>
          <w:tcPr>
            <w:tcW w:type="dxa" w:w="1152"/>
            <w:vAlign w:val="center"/>
            <w:tcBorders>
              <w:top w:val="single" w:sz="4" w:color="D9D9D9"/>
              <w:left w:val="single" w:sz="4" w:color="D9D9D9"/>
              <w:bottom w:val="single" w:sz="4" w:color="D9D9D9"/>
              <w:right w:val="single" w:sz="4" w:color="D9D9D9"/>
            </w:tcBorders>
          </w:tcPr>
          <w:p>
            <w:pPr>
              <w:pStyle w:val="Compact"/>
              <w:spacing w:after="60" w:before="60"/>
              <w:jc w:val="center"/>
            </w:pPr>
            <w:r>
              <w:rPr>
                <w:b w:val="0"/>
                <w:sz w:val="20"/>
              </w:rPr>
              <w:t xml:space="preserve">4.611</w:t>
            </w:r>
          </w:p>
        </w:tc>
        <w:tc>
          <w:tcPr>
            <w:tcW w:type="dxa" w:w="1152"/>
            <w:vAlign w:val="center"/>
            <w:tcBorders>
              <w:top w:val="single" w:sz="4" w:color="D9D9D9"/>
              <w:left w:val="single" w:sz="4" w:color="D9D9D9"/>
              <w:bottom w:val="single" w:sz="4" w:color="D9D9D9"/>
              <w:right w:val="single" w:sz="4" w:color="D9D9D9"/>
            </w:tcBorders>
          </w:tcPr>
          <w:p>
            <w:pPr>
              <w:pStyle w:val="Compact"/>
              <w:spacing w:after="60" w:before="60"/>
              <w:jc w:val="center"/>
            </w:pPr>
            <w:r>
              <w:rPr>
                <w:b w:val="0"/>
                <w:sz w:val="20"/>
              </w:rPr>
              <w:t xml:space="preserve">1.686</w:t>
            </w:r>
          </w:p>
        </w:tc>
        <w:tc>
          <w:tcPr>
            <w:tcW w:type="dxa" w:w="1944"/>
            <w:vAlign w:val="center"/>
            <w:tcBorders>
              <w:top w:val="single" w:sz="4" w:color="D9D9D9"/>
              <w:left w:val="single" w:sz="4" w:color="D9D9D9"/>
              <w:bottom w:val="single" w:sz="4" w:color="D9D9D9"/>
              <w:right w:val="single" w:sz="4" w:color="D9D9D9"/>
            </w:tcBorders>
          </w:tcPr>
          <w:p>
            <w:pPr>
              <w:pStyle w:val="Compact"/>
              <w:spacing w:after="60" w:before="60"/>
              <w:jc w:val="center"/>
            </w:pPr>
            <w:r>
              <w:rPr>
                <w:b w:val="0"/>
                <w:sz w:val="20"/>
              </w:rPr>
              <w:t xml:space="preserve">0.121</w:t>
            </w:r>
          </w:p>
        </w:tc>
        <w:tc>
          <w:tcPr>
            <w:tcW w:type="dxa" w:w="2016"/>
            <w:vAlign w:val="center"/>
            <w:tcBorders>
              <w:top w:val="single" w:sz="4" w:color="D9D9D9"/>
              <w:left w:val="single" w:sz="4" w:color="D9D9D9"/>
              <w:bottom w:val="single" w:sz="4" w:color="D9D9D9"/>
              <w:right w:val="single" w:sz="4" w:color="D9D9D9"/>
            </w:tcBorders>
          </w:tcPr>
          <w:p>
            <w:pPr>
              <w:pStyle w:val="Compact"/>
              <w:spacing w:after="60" w:before="60"/>
              <w:jc w:val="center"/>
            </w:pPr>
            <w:r>
              <w:rPr>
                <w:b w:val="0"/>
                <w:sz w:val="20"/>
              </w:rPr>
              <w:t xml:space="preserve">0.136</w:t>
            </w:r>
          </w:p>
        </w:tc>
      </w:tr>
      <w:tr>
        <w:tc>
          <w:tcPr>
            <w:tcW w:type="dxa" w:w="1944"/>
            <w:vAlign w:val="center"/>
            <w:tcBorders>
              <w:top w:val="single" w:sz="4" w:color="D9D9D9"/>
              <w:left w:val="single" w:sz="4" w:color="D9D9D9"/>
              <w:bottom w:val="single" w:sz="4" w:color="D9D9D9"/>
              <w:right w:val="single" w:sz="4" w:color="D9D9D9"/>
            </w:tcBorders>
          </w:tcPr>
          <w:p>
            <w:pPr>
              <w:pStyle w:val="Compact"/>
              <w:spacing w:after="60" w:before="60"/>
              <w:jc w:val="center"/>
            </w:pPr>
            <w:r>
              <w:rPr>
                <w:b w:val="0"/>
                <w:sz w:val="20"/>
              </w:rPr>
              <w:t xml:space="preserve">1,000,039</w:t>
            </w:r>
          </w:p>
        </w:tc>
        <w:tc>
          <w:tcPr>
            <w:tcW w:type="dxa" w:w="1728"/>
            <w:vAlign w:val="center"/>
            <w:tcBorders>
              <w:top w:val="single" w:sz="4" w:color="D9D9D9"/>
              <w:left w:val="single" w:sz="4" w:color="D9D9D9"/>
              <w:bottom w:val="single" w:sz="4" w:color="D9D9D9"/>
              <w:right w:val="single" w:sz="4" w:color="D9D9D9"/>
            </w:tcBorders>
          </w:tcPr>
          <w:p>
            <w:pPr>
              <w:pStyle w:val="Compact"/>
              <w:spacing w:after="60" w:before="60"/>
              <w:jc w:val="center"/>
            </w:pPr>
            <w:r>
              <w:rPr>
                <w:b w:val="0"/>
                <w:sz w:val="20"/>
              </w:rPr>
              <w:t xml:space="preserve">200,008</w:t>
            </w:r>
          </w:p>
        </w:tc>
        <w:tc>
          <w:tcPr>
            <w:tcW w:type="dxa" w:w="1152"/>
            <w:vAlign w:val="center"/>
            <w:tcBorders>
              <w:top w:val="single" w:sz="4" w:color="D9D9D9"/>
              <w:left w:val="single" w:sz="4" w:color="D9D9D9"/>
              <w:bottom w:val="single" w:sz="4" w:color="D9D9D9"/>
              <w:right w:val="single" w:sz="4" w:color="D9D9D9"/>
            </w:tcBorders>
          </w:tcPr>
          <w:p>
            <w:pPr>
              <w:pStyle w:val="Compact"/>
              <w:spacing w:after="60" w:before="60"/>
              <w:jc w:val="center"/>
            </w:pPr>
            <w:r>
              <w:rPr>
                <w:b w:val="0"/>
                <w:sz w:val="20"/>
              </w:rPr>
              <w:t xml:space="preserve">8.121</w:t>
            </w:r>
          </w:p>
        </w:tc>
        <w:tc>
          <w:tcPr>
            <w:tcW w:type="dxa" w:w="1152"/>
            <w:vAlign w:val="center"/>
            <w:tcBorders>
              <w:top w:val="single" w:sz="4" w:color="D9D9D9"/>
              <w:left w:val="single" w:sz="4" w:color="D9D9D9"/>
              <w:bottom w:val="single" w:sz="4" w:color="D9D9D9"/>
              <w:right w:val="single" w:sz="4" w:color="D9D9D9"/>
            </w:tcBorders>
          </w:tcPr>
          <w:p>
            <w:pPr>
              <w:pStyle w:val="Compact"/>
              <w:spacing w:after="60" w:before="60"/>
              <w:jc w:val="center"/>
            </w:pPr>
            <w:r>
              <w:rPr>
                <w:b w:val="0"/>
                <w:sz w:val="20"/>
              </w:rPr>
              <w:t xml:space="preserve">5.197</w:t>
            </w:r>
          </w:p>
        </w:tc>
        <w:tc>
          <w:tcPr>
            <w:tcW w:type="dxa" w:w="1944"/>
            <w:vAlign w:val="center"/>
            <w:tcBorders>
              <w:top w:val="single" w:sz="4" w:color="D9D9D9"/>
              <w:left w:val="single" w:sz="4" w:color="D9D9D9"/>
              <w:bottom w:val="single" w:sz="4" w:color="D9D9D9"/>
              <w:right w:val="single" w:sz="4" w:color="D9D9D9"/>
            </w:tcBorders>
          </w:tcPr>
          <w:p>
            <w:pPr>
              <w:pStyle w:val="Compact"/>
              <w:spacing w:after="60" w:before="60"/>
              <w:jc w:val="center"/>
            </w:pPr>
            <w:r>
              <w:rPr>
                <w:b w:val="0"/>
                <w:sz w:val="20"/>
              </w:rPr>
              <w:t xml:space="preserve">1.451</w:t>
            </w:r>
          </w:p>
        </w:tc>
        <w:tc>
          <w:tcPr>
            <w:tcW w:type="dxa" w:w="2016"/>
            <w:vAlign w:val="center"/>
            <w:tcBorders>
              <w:top w:val="single" w:sz="4" w:color="D9D9D9"/>
              <w:left w:val="single" w:sz="4" w:color="D9D9D9"/>
              <w:bottom w:val="single" w:sz="4" w:color="D9D9D9"/>
              <w:right w:val="single" w:sz="4" w:color="D9D9D9"/>
            </w:tcBorders>
          </w:tcPr>
          <w:p>
            <w:pPr>
              <w:pStyle w:val="Compact"/>
              <w:spacing w:after="60" w:before="60"/>
              <w:jc w:val="center"/>
            </w:pPr>
            <w:r>
              <w:rPr>
                <w:b w:val="0"/>
                <w:sz w:val="20"/>
              </w:rPr>
              <w:t xml:space="preserve">1.275</w:t>
            </w:r>
          </w:p>
        </w:tc>
      </w:tr>
      <w:tr>
        <w:tc>
          <w:tcPr>
            <w:tcW w:type="dxa" w:w="1944"/>
            <w:vAlign w:val="center"/>
            <w:tcBorders>
              <w:top w:val="single" w:sz="4" w:color="D9D9D9"/>
              <w:left w:val="single" w:sz="4" w:color="D9D9D9"/>
              <w:bottom w:val="single" w:sz="4" w:color="D9D9D9"/>
              <w:right w:val="single" w:sz="4" w:color="D9D9D9"/>
            </w:tcBorders>
          </w:tcPr>
          <w:p>
            <w:pPr>
              <w:pStyle w:val="Compact"/>
              <w:spacing w:after="60" w:before="60"/>
              <w:jc w:val="center"/>
            </w:pPr>
            <w:r>
              <w:rPr>
                <w:b w:val="0"/>
                <w:sz w:val="20"/>
              </w:rPr>
              <w:t xml:space="preserve">10,000,019</w:t>
            </w:r>
          </w:p>
        </w:tc>
        <w:tc>
          <w:tcPr>
            <w:tcW w:type="dxa" w:w="1728"/>
            <w:vAlign w:val="center"/>
            <w:tcBorders>
              <w:top w:val="single" w:sz="4" w:color="D9D9D9"/>
              <w:left w:val="single" w:sz="4" w:color="D9D9D9"/>
              <w:bottom w:val="single" w:sz="4" w:color="D9D9D9"/>
              <w:right w:val="single" w:sz="4" w:color="D9D9D9"/>
            </w:tcBorders>
          </w:tcPr>
          <w:p>
            <w:pPr>
              <w:pStyle w:val="Compact"/>
              <w:spacing w:after="60" w:before="60"/>
              <w:jc w:val="center"/>
            </w:pPr>
            <w:r>
              <w:rPr>
                <w:b w:val="0"/>
                <w:sz w:val="20"/>
              </w:rPr>
              <w:t xml:space="preserve">2,000,004</w:t>
            </w:r>
          </w:p>
        </w:tc>
        <w:tc>
          <w:tcPr>
            <w:tcW w:type="dxa" w:w="1152"/>
            <w:vAlign w:val="center"/>
            <w:tcBorders>
              <w:top w:val="single" w:sz="4" w:color="D9D9D9"/>
              <w:left w:val="single" w:sz="4" w:color="D9D9D9"/>
              <w:bottom w:val="single" w:sz="4" w:color="D9D9D9"/>
              <w:right w:val="single" w:sz="4" w:color="D9D9D9"/>
            </w:tcBorders>
          </w:tcPr>
          <w:p>
            <w:pPr>
              <w:pStyle w:val="Compact"/>
              <w:spacing w:after="60" w:before="60"/>
              <w:jc w:val="center"/>
            </w:pPr>
            <w:r>
              <w:rPr>
                <w:b w:val="0"/>
                <w:sz w:val="20"/>
              </w:rPr>
              <w:t xml:space="preserve">21.220</w:t>
            </w:r>
          </w:p>
        </w:tc>
        <w:tc>
          <w:tcPr>
            <w:tcW w:type="dxa" w:w="1152"/>
            <w:vAlign w:val="center"/>
            <w:tcBorders>
              <w:top w:val="single" w:sz="4" w:color="D9D9D9"/>
              <w:left w:val="single" w:sz="4" w:color="D9D9D9"/>
              <w:bottom w:val="single" w:sz="4" w:color="D9D9D9"/>
              <w:right w:val="single" w:sz="4" w:color="D9D9D9"/>
            </w:tcBorders>
          </w:tcPr>
          <w:p>
            <w:pPr>
              <w:pStyle w:val="Compact"/>
              <w:spacing w:after="60" w:before="60"/>
              <w:jc w:val="center"/>
            </w:pPr>
            <w:r>
              <w:rPr>
                <w:b w:val="0"/>
                <w:sz w:val="20"/>
              </w:rPr>
              <w:t xml:space="preserve">21.326</w:t>
            </w:r>
          </w:p>
        </w:tc>
        <w:tc>
          <w:tcPr>
            <w:tcW w:type="dxa" w:w="1944"/>
            <w:vAlign w:val="center"/>
            <w:tcBorders>
              <w:top w:val="single" w:sz="4" w:color="D9D9D9"/>
              <w:left w:val="single" w:sz="4" w:color="D9D9D9"/>
              <w:bottom w:val="single" w:sz="4" w:color="D9D9D9"/>
              <w:right w:val="single" w:sz="4" w:color="D9D9D9"/>
            </w:tcBorders>
          </w:tcPr>
          <w:p>
            <w:pPr>
              <w:pStyle w:val="Compact"/>
              <w:spacing w:after="60" w:before="60"/>
              <w:jc w:val="center"/>
            </w:pPr>
            <w:r>
              <w:rPr>
                <w:b w:val="0"/>
                <w:sz w:val="20"/>
              </w:rPr>
              <w:t xml:space="preserve">16.525</w:t>
            </w:r>
          </w:p>
        </w:tc>
        <w:tc>
          <w:tcPr>
            <w:tcW w:type="dxa" w:w="2016"/>
            <w:vAlign w:val="center"/>
            <w:tcBorders>
              <w:top w:val="single" w:sz="4" w:color="D9D9D9"/>
              <w:left w:val="single" w:sz="4" w:color="D9D9D9"/>
              <w:bottom w:val="single" w:sz="4" w:color="D9D9D9"/>
              <w:right w:val="single" w:sz="4" w:color="D9D9D9"/>
            </w:tcBorders>
          </w:tcPr>
          <w:p>
            <w:pPr>
              <w:pStyle w:val="Compact"/>
              <w:spacing w:after="60" w:before="60"/>
              <w:jc w:val="center"/>
            </w:pPr>
            <w:r>
              <w:rPr>
                <w:b w:val="0"/>
                <w:sz w:val="20"/>
              </w:rPr>
              <w:t xml:space="preserve">15.288</w:t>
            </w:r>
          </w:p>
        </w:tc>
      </w:tr>
      <w:tr>
        <w:tc>
          <w:tcPr>
            <w:tcW w:type="dxa" w:w="1944"/>
            <w:vAlign w:val="center"/>
            <w:tcBorders>
              <w:top w:val="single" w:sz="4" w:color="D9D9D9"/>
              <w:left w:val="single" w:sz="4" w:color="D9D9D9"/>
              <w:bottom w:val="single" w:sz="4" w:color="D9D9D9"/>
              <w:right w:val="single" w:sz="4" w:color="D9D9D9"/>
            </w:tcBorders>
          </w:tcPr>
          <w:p>
            <w:pPr>
              <w:pStyle w:val="Compact"/>
              <w:spacing w:after="60" w:before="60"/>
              <w:jc w:val="center"/>
            </w:pPr>
            <w:r>
              <w:rPr>
                <w:b w:val="0"/>
                <w:sz w:val="20"/>
              </w:rPr>
              <w:t xml:space="preserve">100,000,039</w:t>
            </w:r>
          </w:p>
        </w:tc>
        <w:tc>
          <w:tcPr>
            <w:tcW w:type="dxa" w:w="1728"/>
            <w:vAlign w:val="center"/>
            <w:tcBorders>
              <w:top w:val="single" w:sz="4" w:color="D9D9D9"/>
              <w:left w:val="single" w:sz="4" w:color="D9D9D9"/>
              <w:bottom w:val="single" w:sz="4" w:color="D9D9D9"/>
              <w:right w:val="single" w:sz="4" w:color="D9D9D9"/>
            </w:tcBorders>
          </w:tcPr>
          <w:p>
            <w:pPr>
              <w:pStyle w:val="Compact"/>
              <w:spacing w:after="60" w:before="60"/>
              <w:jc w:val="center"/>
            </w:pPr>
            <w:r>
              <w:rPr>
                <w:b w:val="0"/>
                <w:sz w:val="20"/>
              </w:rPr>
              <w:t xml:space="preserve">20,000,008</w:t>
            </w:r>
          </w:p>
        </w:tc>
        <w:tc>
          <w:tcPr>
            <w:tcW w:type="dxa" w:w="1152"/>
            <w:vAlign w:val="center"/>
            <w:tcBorders>
              <w:top w:val="single" w:sz="4" w:color="D9D9D9"/>
              <w:left w:val="single" w:sz="4" w:color="D9D9D9"/>
              <w:bottom w:val="single" w:sz="4" w:color="D9D9D9"/>
              <w:right w:val="single" w:sz="4" w:color="D9D9D9"/>
            </w:tcBorders>
          </w:tcPr>
          <w:p>
            <w:pPr>
              <w:pStyle w:val="Compact"/>
              <w:spacing w:after="60" w:before="60"/>
              <w:jc w:val="center"/>
            </w:pPr>
            <w:r>
              <w:rPr>
                <w:b w:val="0"/>
                <w:sz w:val="20"/>
              </w:rPr>
              <w:t xml:space="preserve">64.556</w:t>
            </w:r>
          </w:p>
        </w:tc>
        <w:tc>
          <w:tcPr>
            <w:tcW w:type="dxa" w:w="1152"/>
            <w:vAlign w:val="center"/>
            <w:tcBorders>
              <w:top w:val="single" w:sz="4" w:color="D9D9D9"/>
              <w:left w:val="single" w:sz="4" w:color="D9D9D9"/>
              <w:bottom w:val="single" w:sz="4" w:color="D9D9D9"/>
              <w:right w:val="single" w:sz="4" w:color="D9D9D9"/>
            </w:tcBorders>
          </w:tcPr>
          <w:p>
            <w:pPr>
              <w:pStyle w:val="Compact"/>
              <w:spacing w:after="60" w:before="60"/>
              <w:jc w:val="center"/>
            </w:pPr>
            <w:r>
              <w:rPr>
                <w:b w:val="0"/>
                <w:sz w:val="20"/>
              </w:rPr>
              <w:t xml:space="preserve">77.287</w:t>
            </w:r>
          </w:p>
        </w:tc>
        <w:tc>
          <w:tcPr>
            <w:tcW w:type="dxa" w:w="1944"/>
            <w:vAlign w:val="center"/>
            <w:tcBorders>
              <w:top w:val="single" w:sz="4" w:color="D9D9D9"/>
              <w:left w:val="single" w:sz="4" w:color="D9D9D9"/>
              <w:bottom w:val="single" w:sz="4" w:color="D9D9D9"/>
              <w:right w:val="single" w:sz="4" w:color="D9D9D9"/>
            </w:tcBorders>
          </w:tcPr>
          <w:p>
            <w:pPr>
              <w:pStyle w:val="Compact"/>
              <w:spacing w:after="60" w:before="60"/>
              <w:jc w:val="center"/>
            </w:pPr>
            <w:r>
              <w:rPr>
                <w:b w:val="0"/>
                <w:sz w:val="20"/>
              </w:rPr>
              <w:t xml:space="preserve">152.534</w:t>
            </w:r>
          </w:p>
        </w:tc>
        <w:tc>
          <w:tcPr>
            <w:tcW w:type="dxa" w:w="2016"/>
            <w:vAlign w:val="center"/>
            <w:tcBorders>
              <w:top w:val="single" w:sz="4" w:color="D9D9D9"/>
              <w:left w:val="single" w:sz="4" w:color="D9D9D9"/>
              <w:bottom w:val="single" w:sz="4" w:color="D9D9D9"/>
              <w:right w:val="single" w:sz="4" w:color="D9D9D9"/>
            </w:tcBorders>
          </w:tcPr>
          <w:p>
            <w:pPr>
              <w:pStyle w:val="Compact"/>
              <w:spacing w:after="60" w:before="60"/>
              <w:jc w:val="center"/>
            </w:pPr>
            <w:r>
              <w:rPr>
                <w:b w:val="0"/>
                <w:sz w:val="20"/>
              </w:rPr>
              <w:t xml:space="preserve">133.885</w:t>
            </w:r>
          </w:p>
        </w:tc>
      </w:tr>
      <w:tr>
        <w:tc>
          <w:tcPr>
            <w:tcW w:type="dxa" w:w="1944"/>
            <w:vAlign w:val="center"/>
            <w:tcBorders>
              <w:top w:val="single" w:sz="4" w:color="D9D9D9"/>
              <w:left w:val="single" w:sz="4" w:color="D9D9D9"/>
              <w:bottom w:val="single" w:sz="4" w:color="D9D9D9"/>
              <w:right w:val="single" w:sz="4" w:color="D9D9D9"/>
            </w:tcBorders>
          </w:tcPr>
          <w:p>
            <w:pPr>
              <w:pStyle w:val="Compact"/>
              <w:spacing w:after="60" w:before="60"/>
              <w:jc w:val="center"/>
            </w:pPr>
            <w:r>
              <w:rPr>
                <w:b w:val="0"/>
                <w:sz w:val="20"/>
              </w:rPr>
              <w:t xml:space="preserve">1,000,000,009</w:t>
            </w:r>
          </w:p>
        </w:tc>
        <w:tc>
          <w:tcPr>
            <w:tcW w:type="dxa" w:w="1728"/>
            <w:vAlign w:val="center"/>
            <w:tcBorders>
              <w:top w:val="single" w:sz="4" w:color="D9D9D9"/>
              <w:left w:val="single" w:sz="4" w:color="D9D9D9"/>
              <w:bottom w:val="single" w:sz="4" w:color="D9D9D9"/>
              <w:right w:val="single" w:sz="4" w:color="D9D9D9"/>
            </w:tcBorders>
          </w:tcPr>
          <w:p>
            <w:pPr>
              <w:pStyle w:val="Compact"/>
              <w:spacing w:after="60" w:before="60"/>
              <w:jc w:val="center"/>
            </w:pPr>
            <w:r>
              <w:rPr>
                <w:b w:val="0"/>
                <w:sz w:val="20"/>
              </w:rPr>
              <w:t xml:space="preserve">200,000,002</w:t>
            </w:r>
          </w:p>
        </w:tc>
        <w:tc>
          <w:tcPr>
            <w:tcW w:type="dxa" w:w="1152"/>
            <w:vAlign w:val="center"/>
            <w:tcBorders>
              <w:top w:val="single" w:sz="4" w:color="D9D9D9"/>
              <w:left w:val="single" w:sz="4" w:color="D9D9D9"/>
              <w:bottom w:val="single" w:sz="4" w:color="D9D9D9"/>
              <w:right w:val="single" w:sz="4" w:color="D9D9D9"/>
            </w:tcBorders>
          </w:tcPr>
          <w:p>
            <w:pPr>
              <w:pStyle w:val="Compact"/>
              <w:spacing w:after="60" w:before="60"/>
              <w:jc w:val="center"/>
            </w:pPr>
            <w:r>
              <w:rPr>
                <w:b w:val="0"/>
                <w:sz w:val="20"/>
              </w:rPr>
              <w:t xml:space="preserve">250.258</w:t>
            </w:r>
          </w:p>
        </w:tc>
        <w:tc>
          <w:tcPr>
            <w:tcW w:type="dxa" w:w="1152"/>
            <w:vAlign w:val="center"/>
            <w:tcBorders>
              <w:top w:val="single" w:sz="4" w:color="D9D9D9"/>
              <w:left w:val="single" w:sz="4" w:color="D9D9D9"/>
              <w:bottom w:val="single" w:sz="4" w:color="D9D9D9"/>
              <w:right w:val="single" w:sz="4" w:color="D9D9D9"/>
            </w:tcBorders>
          </w:tcPr>
          <w:p>
            <w:pPr>
              <w:pStyle w:val="Compact"/>
              <w:spacing w:after="60" w:before="60"/>
              <w:jc w:val="center"/>
            </w:pPr>
            <w:r>
              <w:rPr>
                <w:b w:val="0"/>
                <w:sz w:val="20"/>
              </w:rPr>
              <w:t xml:space="preserve">351.205</w:t>
            </w:r>
          </w:p>
        </w:tc>
        <w:tc>
          <w:tcPr>
            <w:tcW w:type="dxa" w:w="1944"/>
            <w:vAlign w:val="center"/>
            <w:tcBorders>
              <w:top w:val="single" w:sz="4" w:color="D9D9D9"/>
              <w:left w:val="single" w:sz="4" w:color="D9D9D9"/>
              <w:bottom w:val="single" w:sz="4" w:color="D9D9D9"/>
              <w:right w:val="single" w:sz="4" w:color="D9D9D9"/>
            </w:tcBorders>
          </w:tcPr>
          <w:p>
            <w:pPr>
              <w:pStyle w:val="Compact"/>
              <w:spacing w:after="60" w:before="60"/>
              <w:jc w:val="center"/>
            </w:pPr>
            <w:r>
              <w:rPr>
                <w:b w:val="0"/>
                <w:sz w:val="20"/>
              </w:rPr>
              <w:t xml:space="preserve">1,467.996</w:t>
            </w:r>
          </w:p>
        </w:tc>
        <w:tc>
          <w:tcPr>
            <w:tcW w:type="dxa" w:w="2016"/>
            <w:vAlign w:val="center"/>
            <w:tcBorders>
              <w:top w:val="single" w:sz="4" w:color="D9D9D9"/>
              <w:left w:val="single" w:sz="4" w:color="D9D9D9"/>
              <w:bottom w:val="single" w:sz="4" w:color="D9D9D9"/>
              <w:right w:val="single" w:sz="4" w:color="D9D9D9"/>
            </w:tcBorders>
          </w:tcPr>
          <w:p>
            <w:pPr>
              <w:pStyle w:val="Compact"/>
              <w:spacing w:after="60" w:before="60"/>
              <w:jc w:val="center"/>
            </w:pPr>
            <w:r>
              <w:rPr>
                <w:b w:val="0"/>
                <w:sz w:val="20"/>
              </w:rPr>
              <w:t xml:space="preserve">1,386.450</w:t>
            </w:r>
          </w:p>
        </w:tc>
      </w:tr>
    </w:tbl>
    <w:p>
      <w:pPr>
        <w:pStyle w:val="BodyText"/>
        <w:widowControl/>
      </w:pPr>
      <w:r>
        <w:t xml:space="preserve">At the largest input this is a measured factor of about</w:t>
      </w:r>
      <w:r>
        <w:t xml:space="preserve"> </w:t>
      </w:r>
      <m:oMath>
        <m:r>
          <m:t>1.40</m:t>
        </m:r>
      </m:oMath>
      <w:r>
        <w:t xml:space="preserve"> </w:t>
      </w:r>
      <w:r>
        <w:t xml:space="preserve">against the archived matrix product and</w:t>
      </w:r>
      <w:r>
        <w:t xml:space="preserve"> </w:t>
      </w:r>
      <m:oMath>
        <m:r>
          <m:t>5.54</m:t>
        </m:r>
      </m:oMath>
      <w:r>
        <w:t xml:space="preserve"> </w:t>
      </w:r>
      <w:r>
        <w:t xml:space="preserve">against the native transformed recurrence. At the first two inputs the hybrid loses clearly, and the third is effectively tied with the matrix method while still losing to native recurrence. These five inputs do not establish a portable dispatch crossover. Fresh-interpreter complete calls at the largest input took approximately 386 ms for the hybrid and 477 ms for the matrix product, separately measured.</w:t>
      </w:r>
    </w:p>
    <w:p>
      <w:pPr>
        <w:pStyle w:val="BodyText"/>
        <w:widowControl/>
      </w:pPr>
      <w:r>
        <w:t xml:space="preserve">The separate FLINT full-row baseline constructs the complete compressed row</w:t>
      </w:r>
      <w:r>
        <w:t xml:space="preserve"> </w:t>
      </w:r>
      <m:oMath>
        <m:sSup>
          <m:e>
            <m:d>
              <m:dPr>
                <m:begChr m:val="("/>
                <m:endChr m:val=")"/>
                <m:sepChr m:val=""/>
                <m:grow/>
              </m:dPr>
              <m:e>
                <m:r>
                  <m:t>1</m:t>
                </m:r>
                <m:r>
                  <m:rPr>
                    <m:sty m:val="p"/>
                  </m:rPr>
                  <m:t>−</m:t>
                </m:r>
                <m:r>
                  <m:t>z</m:t>
                </m:r>
                <m:r>
                  <m:rPr>
                    <m:sty m:val="p"/>
                  </m:rPr>
                  <m:t>/</m:t>
                </m:r>
                <m:r>
                  <m:t>2</m:t>
                </m:r>
              </m:e>
            </m:d>
          </m:e>
          <m:sup>
            <m:r>
              <m:t>h</m:t>
            </m:r>
          </m:sup>
        </m:sSup>
      </m:oMath>
      <w:r>
        <w:t xml:space="preserve">, truncates the prefix polynomial, evaluates it through native multipoint evaluation at</w:t>
      </w:r>
      <w:r>
        <w:t xml:space="preserve"> </w:t>
      </w:r>
      <m:oMath>
        <m:r>
          <m:t>z</m:t>
        </m:r>
        <m:r>
          <m:rPr>
            <m:sty m:val="p"/>
          </m:rPr>
          <m:t>=</m:t>
        </m:r>
        <m:r>
          <m:t>1</m:t>
        </m:r>
      </m:oMath>
      <w:r>
        <w:t xml:space="preserve">, reads the boundary and reconstructs</w:t>
      </w:r>
      <w:r>
        <w:t xml:space="preserve"> </w:t>
      </w:r>
      <m:oMath>
        <m:r>
          <m:t>U</m:t>
        </m:r>
      </m:oMath>
      <w:r>
        <w:t xml:space="preserve">. Its complete medians are 9.574 ms and 146.233 ms at the first two primes. Larger inputs were not measured because they exceed its declared two-million-coefficient cap. This is not the genus-one full-row workload or dispatch calibration in Bench 0.1.</w:t>
      </w:r>
    </w:p>
    <w:p>
      <w:pPr>
        <w:pStyle w:val="BodyText"/>
        <w:widowControl/>
      </w:pPr>
      <w:r>
        <w:t xml:space="preserve">For both</w:t>
      </w:r>
      <w:r>
        <w:t xml:space="preserve"> </w:t>
      </w:r>
      <m:oMath>
        <m:sSub>
          <m:e>
            <m:r>
              <m:t>U</m:t>
            </m:r>
          </m:e>
          <m:sub>
            <m:r>
              <m:t>p</m:t>
            </m:r>
          </m:sub>
        </m:sSub>
        <m:d>
          <m:dPr>
            <m:begChr m:val="("/>
            <m:endChr m:val=")"/>
            <m:sepChr m:val=""/>
            <m:grow/>
          </m:dPr>
          <m:e>
            <m:r>
              <m:t>L</m:t>
            </m:r>
          </m:e>
        </m:d>
      </m:oMath>
      <w:r>
        <w:t xml:space="preserve"> </w:t>
      </w:r>
      <w:r>
        <w:t xml:space="preserve">and</w:t>
      </w:r>
      <w:r>
        <w:t xml:space="preserve"> </w:t>
      </w:r>
      <m:oMath>
        <m:sSub>
          <m:e>
            <m:r>
              <m:t>U</m:t>
            </m:r>
          </m:e>
          <m:sub>
            <m:r>
              <m:t>p</m:t>
            </m:r>
          </m:sub>
        </m:sSub>
        <m:d>
          <m:dPr>
            <m:begChr m:val="("/>
            <m:endChr m:val=")"/>
            <m:sepChr m:val=""/>
            <m:grow/>
          </m:dPr>
          <m:e>
            <m:r>
              <m:t>2</m:t>
            </m:r>
            <m:r>
              <m:t>L</m:t>
            </m:r>
          </m:e>
        </m:d>
      </m:oMath>
      <w:r>
        <w:t xml:space="preserve"> </w:t>
      </w:r>
      <w:r>
        <w:t xml:space="preserve">at the largest input, the shared hybrid took about 421 ms, versus 899 ms for two separate archived matrix calls. The latter implementation has no shared multi-index API; this does not establish superiority over an optimized shared multi-index matrix product. At</w:t>
      </w:r>
      <w:r>
        <w:t xml:space="preserve"> </w:t>
      </w:r>
      <m:oMath>
        <m:r>
          <m:t>p</m:t>
        </m:r>
        <m:r>
          <m:rPr>
            <m:sty m:val="p"/>
          </m:rPr>
          <m:t>=</m:t>
        </m:r>
        <m:r>
          <m:t>1</m:t>
        </m:r>
        <m:r>
          <m:rPr>
            <m:sty m:val="p"/>
          </m:rPr>
          <m:t>,</m:t>
        </m:r>
        <m:r>
          <m:t>000</m:t>
        </m:r>
        <m:r>
          <m:rPr>
            <m:sty m:val="p"/>
          </m:rPr>
          <m:t>,</m:t>
        </m:r>
        <m:r>
          <m:t>039</m:t>
        </m:r>
      </m:oMath>
      <w:r>
        <w:t xml:space="preserve">, those paired medians were about 16.0 and 16.3 ms.</w:t>
      </w:r>
    </w:p>
    <w:p>
      <w:pPr>
        <w:pStyle w:val="BodyText"/>
        <w:widowControl/>
      </w:pPr>
      <w:r>
        <w:t xml:space="preserve">At the largest input, fresh-process Linux peak RSS was approximately 43.6 MiB for the hybrid, 34.2 MiB for the matrix method and 13.0 MiB for the native recurrence. These are absolute process peaks, including interpreter and imports, read from</w:t>
      </w:r>
      <w:r>
        <w:t xml:space="preserve"> </w:t>
      </w:r>
      <w:r>
        <w:rPr>
          <w:rStyle w:val="VerbatimChar"/>
        </w:rPr>
        <w:t xml:space="preserve">/proc/self/status</w:t>
      </w:r>
      <w:r>
        <w:t xml:space="preserve"> </w:t>
      </w:r>
      <w:r>
        <w:t xml:space="preserve">rather than an inherited pre-exec high-water mark. The scalar method uses a larger evaluation tree, so the timing improvement comes with higher measured memory. These measurements concern this prototype and these complete special-family queries.</w:t>
      </w:r>
    </w:p>
    <w:bookmarkEnd w:id="25"/>
    <w:bookmarkStart w:id="26" w:name="X0d0301a6314eb49c384b6b468c1f1d8f1c35fcf"/>
    <w:p>
      <w:pPr>
        <w:pStyle w:val="Heading2"/>
        <w:widowControl/>
      </w:pPr>
      <w:r>
        <w:t xml:space="preserve">Exploration and the next research question</w:t>
      </w:r>
    </w:p>
    <w:p>
      <w:pPr>
        <w:pStyle w:val="FirstParagraph"/>
        <w:widowControl/>
      </w:pPr>
      <w:r>
        <w:t xml:space="preserve">The package includes a separate Tk visual explorer, a standard-Python Windows environment setup, exact result export, byte-preserved relevant archive inputs, scripts, counterexamples, a ledger, source notes and checksums. The explorer displays</w:t>
      </w:r>
      <w:r>
        <w:t xml:space="preserve"> </w:t>
      </w:r>
      <m:oMath>
        <m:sSub>
          <m:e>
            <m:r>
              <m:t>B</m:t>
            </m:r>
          </m:e>
          <m:sub>
            <m:r>
              <m:t>n</m:t>
            </m:r>
          </m:sub>
        </m:sSub>
      </m:oMath>
      <w:r>
        <w:t xml:space="preserve">,</w:t>
      </w:r>
      <w:r>
        <w:t xml:space="preserve"> </w:t>
      </w:r>
      <m:oMath>
        <m:sSub>
          <m:e>
            <m:r>
              <m:t>a</m:t>
            </m:r>
          </m:e>
          <m:sub>
            <m:r>
              <m:t>n</m:t>
            </m:r>
          </m:sub>
        </m:sSub>
      </m:oMath>
      <w:r>
        <w:t xml:space="preserve"> </w:t>
      </w:r>
      <w:r>
        <w:t xml:space="preserve">and</w:t>
      </w:r>
      <w:r>
        <w:t xml:space="preserve"> </w:t>
      </w:r>
      <m:oMath>
        <m:sSub>
          <m:e>
            <m:r>
              <m:t>U</m:t>
            </m:r>
          </m:e>
          <m:sub>
            <m:r>
              <m:t>p</m:t>
            </m:r>
          </m:sub>
        </m:sSub>
        <m:d>
          <m:dPr>
            <m:begChr m:val="("/>
            <m:endChr m:val=")"/>
            <m:sepChr m:val=""/>
            <m:grow/>
          </m:dPr>
          <m:e>
            <m:r>
              <m:t>n</m:t>
            </m:r>
          </m:e>
        </m:d>
      </m:oMath>
      <w:r>
        <w:t xml:space="preserve"> </w:t>
      </w:r>
      <w:r>
        <w:t xml:space="preserve">together and states the mathematical and computational limits. Its Python syntax and arithmetic were checked on Linux. Windows installation and the GUI’s visual display are still unconfirmed. It uses its own environment and does not install into QGIS or OSGeo4W.</w:t>
      </w:r>
    </w:p>
    <w:p>
      <w:pPr>
        <w:pStyle w:val="BodyText"/>
        <w:widowControl/>
      </w:pPr>
      <w:r>
        <w:t xml:space="preserve">The strongest mathematical next task is now specific: find a normalized evaluation of the two second-kind Cartier coefficients, or equivalently the displayed gamma unit ratios, with a proven cost below the conventional block product. A candidate must supply the units in this exact model, explain all field and precision requirements, and be tested on complete</w:t>
      </w:r>
      <w:r>
        <w:t xml:space="preserve"> </w:t>
      </w:r>
      <m:oMath>
        <m:r>
          <m:t>U</m:t>
        </m:r>
      </m:oMath>
      <w:r>
        <w:t xml:space="preserve"> </w:t>
      </w:r>
      <w:r>
        <w:t xml:space="preserve">workloads. The current stage identifies that target and supplies a modest practical improvement, while leaving a genuinely faster boundary theorem unresolved. There is no factorial lower bound here. This stage does not evaluate the separate Witt coefficient or produce a fast sum modulo</w:t>
      </w:r>
      <w:r>
        <w:t xml:space="preserve"> </w:t>
      </w:r>
      <m:oMath>
        <m:sSup>
          <m:e>
            <m:r>
              <m:t>p</m:t>
            </m:r>
          </m:e>
          <m:sup>
            <m:r>
              <m:t>2</m:t>
            </m:r>
          </m:sup>
        </m:sSup>
      </m:oMath>
      <w:r>
        <w:t xml:space="preserve">, an arbitrary-</w:t>
      </w:r>
      <m:oMath>
        <m:r>
          <m:t>L</m:t>
        </m:r>
      </m:oMath>
      <w:r>
        <w:t xml:space="preserve"> </w:t>
      </w:r>
      <w:r>
        <w:t xml:space="preserve">speedup, a decimal BBP formula, or a transfer to factoring or point counting.</w:t>
      </w:r>
    </w:p>
    <w:bookmarkEnd w:id="26"/>
    <w:bookmarkStart w:id="27" w:name="primary-references"/>
    <w:p>
      <w:pPr>
        <w:pStyle w:val="Heading2"/>
        <w:widowControl/>
      </w:pPr>
      <w:r>
        <w:t xml:space="preserve">Primary references</w:t>
      </w:r>
    </w:p>
    <w:p>
      <w:pPr>
        <w:pStyle w:val="FirstParagraph"/>
        <w:widowControl/>
      </w:pPr>
      <w:r>
        <w:t xml:space="preserve">R1. A. Couvreur,</w:t>
      </w:r>
      <w:r>
        <w:t xml:space="preserve"> </w:t>
      </w:r>
      <w:r>
        <w:t xml:space="preserve">“</w:t>
      </w:r>
      <w:r>
        <w:t xml:space="preserve">Codes and the Cartier operator,</w:t>
      </w:r>
      <w:r>
        <w:t xml:space="preserve">”</w:t>
      </w:r>
      <w:r>
        <w:t xml:space="preserve"> </w:t>
      </w:r>
      <w:r>
        <w:t xml:space="preserve">Proceedings of the AMS 142 (2014), 1983–1996. Definition 3.1 and Propositions 3.2–3.3 in https://arxiv.org/pdf/1206.4728.</w:t>
      </w:r>
    </w:p>
    <w:p>
      <w:pPr>
        <w:pStyle w:val="BodyText"/>
        <w:widowControl/>
      </w:pPr>
      <w:r>
        <w:t xml:space="preserve">R2. G. Korchmáros and F. Torres,</w:t>
      </w:r>
      <w:r>
        <w:t xml:space="preserve"> </w:t>
      </w:r>
      <w:r>
        <w:t xml:space="preserve">“</w:t>
      </w:r>
      <w:r>
        <w:t xml:space="preserve">Embedding of a maximal curve in a Hermitian variety,</w:t>
      </w:r>
      <w:r>
        <w:t xml:space="preserve">”</w:t>
      </w:r>
      <w:r>
        <w:t xml:space="preserve"> </w:t>
      </w:r>
      <w:r>
        <w:t xml:space="preserve">Compositio Mathematica 128 (2001), 95–113. Introduction, equation (1.2), https://arxiv.org/pdf/math/9911043.</w:t>
      </w:r>
    </w:p>
    <w:p>
      <w:pPr>
        <w:pStyle w:val="BodyText"/>
        <w:widowControl/>
      </w:pPr>
      <w:r>
        <w:t xml:space="preserve">R3. D. McCarthy,</w:t>
      </w:r>
      <w:r>
        <w:t xml:space="preserve"> </w:t>
      </w:r>
      <w:r>
        <w:t xml:space="preserve">“</w:t>
      </w:r>
      <w:r>
        <w:t xml:space="preserve">Extending Gaussian hypergeometric series to the p-adic setting.</w:t>
      </w:r>
      <w:r>
        <w:t xml:space="preserve">”</w:t>
      </w:r>
      <w:r>
        <w:t xml:space="preserve"> </w:t>
      </w:r>
      <w:r>
        <w:t xml:space="preserve">Proposition 3.1 in https://arxiv.org/pdf/1204.1574.</w:t>
      </w:r>
    </w:p>
    <w:p>
      <w:pPr>
        <w:pStyle w:val="BodyText"/>
        <w:widowControl/>
      </w:pPr>
      <w:r>
        <w:t xml:space="preserve">R4. B. H. Gross and N. Koblitz,</w:t>
      </w:r>
      <w:r>
        <w:t xml:space="preserve"> </w:t>
      </w:r>
      <w:r>
        <w:t xml:space="preserve">“</w:t>
      </w:r>
      <w:r>
        <w:t xml:space="preserve">Gauss sums and the p-adic Γ-function,</w:t>
      </w:r>
      <w:r>
        <w:t xml:space="preserve">”</w:t>
      </w:r>
      <w:r>
        <w:t xml:space="preserve"> </w:t>
      </w:r>
      <w:r>
        <w:t xml:space="preserve">Annals of Mathematics 109 (1979), 569–581. Theorem 1.7, https://annals.math.princeton.edu/1979/109-3/p06.</w:t>
      </w:r>
    </w:p>
    <w:p>
      <w:pPr>
        <w:pStyle w:val="BodyText"/>
        <w:widowControl/>
      </w:pPr>
      <w:r>
        <w:t xml:space="preserve">R5. A. Bostan, P. Gaudry and É. Schost,</w:t>
      </w:r>
      <w:r>
        <w:t xml:space="preserve"> </w:t>
      </w:r>
      <w:r>
        <w:t xml:space="preserve">“</w:t>
      </w:r>
      <w:r>
        <w:t xml:space="preserve">Linear recurrences with polynomial coefficients and application to integer factorization and Cartier–Manin operator,</w:t>
      </w:r>
      <w:r>
        <w:t xml:space="preserve">”</w:t>
      </w:r>
      <w:r>
        <w:t xml:space="preserve"> </w:t>
      </w:r>
      <w:r>
        <w:t xml:space="preserve">SIAM Journal on Computing 36 (2007), 1777–1806. Conventional block products, pp. 1777–1780, https://specfun.inria.fr/bostan/publications/BoGaSc07.pdf.</w:t>
      </w:r>
    </w:p>
    <w:p>
      <w:pPr>
        <w:pStyle w:val="BodyText"/>
        <w:widowControl/>
      </w:pPr>
      <w:r>
        <w:t xml:space="preserve">The accompanying SOURCES.md gives the inspected locations, scan provenance, sign conventions and implementation documentation. The proof inputs are preserved under inputs/.</w:t>
      </w:r>
    </w:p>
    <w:bookmarkEnd w:id="27"/>
    <w:bookmarkEnd w:id="28"/>
    <w:sectPr>
      <w:pgSz w:w="12240" w:h="15840"/>
      <w:pgMar w:top="1080" w:bottom="1080" w:left="1152" w:right="115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line="252" w:lineRule="auto" w:after="120"/>
    </w:pPr>
    <w:rPr>
      <w:rFonts w:ascii="Calibri" w:hAnsi="Calibri"/>
      <w:color w:val="000000"/>
      <w:sz w:val="22"/>
    </w:rPr>
  </w:style>
  <w:style w:styleId="BodyText" w:type="paragraph">
    <w:name w:val="Body Text"/>
    <w:basedOn w:val="Normal"/>
    <w:link w:val="BodyTextChar"/>
    <w:pPr>
      <w:spacing w:after="180" w:before="180"/>
    </w:pPr>
    <w:qFormat/>
    <w:rPr>
      <w:color w:val="000000"/>
    </w:rPr>
  </w:style>
  <w:style w:customStyle="1" w:styleId="FirstParagraph" w:type="paragraph">
    <w:name w:val="First Paragraph"/>
    <w:basedOn w:val="BodyText"/>
    <w:next w:val="BodyText"/>
    <w:qFormat/>
    <w:rPr>
      <w:color w:val="000000"/>
    </w:rPr>
  </w:style>
  <w:style w:customStyle="1" w:styleId="Compact" w:type="paragraph">
    <w:name w:val="Compact"/>
    <w:basedOn w:val="BodyText"/>
    <w:qFormat/>
    <w:pPr>
      <w:spacing w:after="36" w:before="36"/>
    </w:pPr>
    <w:rPr>
      <w:color w:val="000000"/>
    </w:rPr>
  </w:style>
  <w:style w:styleId="Title" w:type="paragraph">
    <w:name w:val="Title"/>
    <w:basedOn w:val="Normal"/>
    <w:next w:val="BodyText"/>
    <w:qFormat/>
    <w:pPr>
      <w:keepNext/>
      <w:keepLines/>
      <w:spacing w:after="200" w:before="480"/>
      <w:jc w:val="center"/>
    </w:pPr>
    <w:rPr>
      <w:rFonts w:asciiTheme="majorHAnsi" w:cstheme="majorBidi" w:eastAsiaTheme="majorEastAsia" w:hAnsiTheme="majorHAnsi" w:ascii="Calibri" w:hAnsi="Calibri"/>
      <w:b/>
      <w:bCs/>
      <w:color w:val="000000"/>
      <w:sz w:val="46"/>
      <w:szCs w:val="36"/>
    </w:rPr>
  </w:style>
  <w:style w:styleId="Subtitle" w:type="paragraph">
    <w:name w:val="Subtitle"/>
    <w:basedOn w:val="Title"/>
    <w:next w:val="BodyText"/>
    <w:qFormat/>
    <w:pPr>
      <w:keepNext/>
      <w:keepLines/>
      <w:spacing w:after="240" w:before="240"/>
      <w:jc w:val="center"/>
    </w:pPr>
    <w:rPr>
      <w:color w:val="000000"/>
      <w:sz w:val="30"/>
      <w:szCs w:val="30"/>
    </w:rPr>
  </w:style>
  <w:style w:customStyle="1" w:styleId="Author" w:type="paragraph">
    <w:name w:val="Author"/>
    <w:next w:val="BodyText"/>
    <w:qFormat/>
    <w:pPr>
      <w:keepNext/>
      <w:keepLines/>
      <w:jc w:val="center"/>
    </w:pPr>
    <w:rPr>
      <w:color w:val="000000"/>
    </w:rPr>
  </w:style>
  <w:style w:styleId="Date" w:type="paragraph">
    <w:name w:val="Date"/>
    <w:next w:val="BodyText"/>
    <w:qFormat/>
    <w:pPr>
      <w:keepNext/>
      <w:keepLines/>
      <w:jc w:val="center"/>
    </w:pPr>
    <w:rPr>
      <w:color w:val="000000"/>
    </w:rPr>
  </w:style>
  <w:style w:customStyle="1" w:styleId="AbstractTitle" w:type="paragraph">
    <w:name w:val="Abstract Title"/>
    <w:basedOn w:val="Normal"/>
    <w:next w:val="Abstract"/>
    <w:qFormat/>
    <w:pPr>
      <w:keepNext/>
      <w:keepLines/>
      <w:jc w:val="center"/>
      <w:spacing w:after="0" w:before="300"/>
    </w:pPr>
    <w:rPr>
      <w:color w:val="000000"/>
      <w:sz w:val="20"/>
      <w:szCs w:val="20"/>
      <w:b/>
    </w:rPr>
  </w:style>
  <w:style w:customStyle="1" w:styleId="Abstract" w:type="paragraph">
    <w:name w:val="Abstract"/>
    <w:basedOn w:val="Normal"/>
    <w:next w:val="BodyText"/>
    <w:qFormat/>
    <w:pPr>
      <w:keepNext/>
      <w:keepLines/>
      <w:spacing w:after="300" w:before="100"/>
    </w:pPr>
    <w:rPr>
      <w:color w:val="000000"/>
      <w:sz w:val="20"/>
      <w:szCs w:val="20"/>
    </w:rPr>
  </w:style>
  <w:style w:styleId="Bibliography" w:type="paragraph">
    <w:name w:val="Bibliography"/>
    <w:basedOn w:val="Normal"/>
    <w:next w:val="Bibliography"/>
    <w:qFormat/>
    <w:pPr/>
    <w:rPr>
      <w:color w:val="000000"/>
    </w:rPr>
  </w:style>
  <w:style w:styleId="Heading1" w:type="paragraph">
    <w:name w:val="Heading 1"/>
    <w:basedOn w:val="Normal"/>
    <w:next w:val="BodyText"/>
    <w:uiPriority w:val="9"/>
    <w:qFormat/>
    <w:pPr>
      <w:keepNext/>
      <w:keepLines/>
      <w:spacing w:after="120" w:before="280"/>
      <w:outlineLvl w:val="0"/>
    </w:pPr>
    <w:rPr>
      <w:rFonts w:asciiTheme="majorHAnsi" w:cstheme="majorBidi" w:eastAsiaTheme="majorEastAsia" w:hAnsiTheme="majorHAnsi" w:ascii="Calibri" w:hAnsi="Calibri"/>
      <w:b/>
      <w:bCs/>
      <w:color w:val="000000"/>
      <w:sz w:val="30"/>
      <w:szCs w:val="32"/>
    </w:rPr>
  </w:style>
  <w:style w:styleId="Heading2" w:type="paragraph">
    <w:name w:val="Heading 2"/>
    <w:basedOn w:val="Normal"/>
    <w:next w:val="BodyText"/>
    <w:uiPriority w:val="9"/>
    <w:unhideWhenUsed/>
    <w:qFormat/>
    <w:pPr>
      <w:keepNext/>
      <w:keepLines/>
      <w:spacing w:after="120" w:before="280"/>
      <w:outlineLvl w:val="1"/>
    </w:pPr>
    <w:rPr>
      <w:rFonts w:asciiTheme="majorHAnsi" w:cstheme="majorBidi" w:eastAsiaTheme="majorEastAsia" w:hAnsiTheme="majorHAnsi" w:ascii="Calibri" w:hAnsi="Calibri"/>
      <w:b/>
      <w:bCs/>
      <w:color w:val="000000"/>
      <w:sz w:val="26"/>
      <w:szCs w:val="28"/>
    </w:rPr>
  </w:style>
  <w:style w:styleId="Heading3" w:type="paragraph">
    <w:name w:val="Heading 3"/>
    <w:basedOn w:val="Normal"/>
    <w:next w:val="BodyText"/>
    <w:uiPriority w:val="9"/>
    <w:unhideWhenUsed/>
    <w:qFormat/>
    <w:pPr>
      <w:keepNext/>
      <w:keepLines/>
      <w:spacing w:after="120" w:before="280"/>
      <w:outlineLvl w:val="2"/>
    </w:pPr>
    <w:rPr>
      <w:rFonts w:asciiTheme="majorHAnsi" w:cstheme="majorBidi" w:eastAsiaTheme="majorEastAsia" w:hAnsiTheme="majorHAnsi" w:ascii="Calibri" w:hAnsi="Calibri"/>
      <w:b/>
      <w:bCs/>
      <w:color w:val="000000"/>
      <w:sz w:val="26"/>
      <w:szCs w:val="24"/>
    </w:rPr>
  </w:style>
  <w:style w:styleId="Heading4" w:type="paragraph">
    <w:name w:val="Heading 4"/>
    <w:basedOn w:val="Normal"/>
    <w:next w:val="BodyText"/>
    <w:uiPriority w:val="9"/>
    <w:unhideWhenUsed/>
    <w:qFormat/>
    <w:pPr>
      <w:keepNext/>
      <w:keepLines/>
      <w:spacing w:after="120" w:before="280"/>
      <w:outlineLvl w:val="3"/>
    </w:pPr>
    <w:rPr>
      <w:rFonts w:asciiTheme="majorHAnsi" w:cstheme="majorBidi" w:eastAsiaTheme="majorEastAsia" w:hAnsiTheme="majorHAnsi" w:ascii="Calibri" w:hAnsi="Calibri"/>
      <w:i/>
      <w:bCs/>
      <w:color w:val="000000"/>
      <w:sz w:val="26"/>
      <w:szCs w:val="24"/>
    </w:rPr>
  </w:style>
  <w:style w:styleId="Heading5" w:type="paragraph">
    <w:name w:val="Heading 5"/>
    <w:basedOn w:val="Normal"/>
    <w:next w:val="BodyText"/>
    <w:uiPriority w:val="9"/>
    <w:unhideWhenUsed/>
    <w:qFormat/>
    <w:pPr>
      <w:keepNext/>
      <w:keepLines/>
      <w:spacing w:after="120" w:before="280"/>
      <w:outlineLvl w:val="4"/>
    </w:pPr>
    <w:rPr>
      <w:rFonts w:asciiTheme="majorHAnsi" w:cstheme="majorBidi" w:eastAsiaTheme="majorEastAsia" w:hAnsiTheme="majorHAnsi" w:ascii="Calibri" w:hAnsi="Calibri"/>
      <w:iCs/>
      <w:color w:val="000000"/>
      <w:sz w:val="26"/>
      <w:szCs w:val="24"/>
    </w:rPr>
  </w:style>
  <w:style w:styleId="Heading6" w:type="paragraph">
    <w:name w:val="Heading 6"/>
    <w:basedOn w:val="Normal"/>
    <w:next w:val="BodyText"/>
    <w:uiPriority w:val="9"/>
    <w:unhideWhenUsed/>
    <w:qFormat/>
    <w:pPr>
      <w:keepNext/>
      <w:keepLines/>
      <w:spacing w:after="120" w:before="280"/>
      <w:outlineLvl w:val="5"/>
    </w:pPr>
    <w:rPr>
      <w:rFonts w:asciiTheme="majorHAnsi" w:cstheme="majorBidi" w:eastAsiaTheme="majorEastAsia" w:hAnsiTheme="majorHAnsi" w:ascii="Calibri" w:hAnsi="Calibri"/>
      <w:color w:val="000000"/>
      <w:sz w:val="26"/>
      <w:szCs w:val="24"/>
    </w:rPr>
  </w:style>
  <w:style w:styleId="Heading7" w:type="paragraph">
    <w:name w:val="Heading 7"/>
    <w:basedOn w:val="Normal"/>
    <w:next w:val="BodyText"/>
    <w:uiPriority w:val="9"/>
    <w:unhideWhenUsed/>
    <w:qFormat/>
    <w:pPr>
      <w:keepNext/>
      <w:keepLines/>
      <w:spacing w:after="120" w:before="280"/>
      <w:outlineLvl w:val="6"/>
    </w:pPr>
    <w:rPr>
      <w:rFonts w:asciiTheme="majorHAnsi" w:cstheme="majorBidi" w:eastAsiaTheme="majorEastAsia" w:hAnsiTheme="majorHAnsi" w:ascii="Calibri" w:hAnsi="Calibri"/>
      <w:color w:val="000000"/>
      <w:sz w:val="26"/>
      <w:szCs w:val="24"/>
    </w:rPr>
  </w:style>
  <w:style w:styleId="Heading8" w:type="paragraph">
    <w:name w:val="Heading 8"/>
    <w:basedOn w:val="Normal"/>
    <w:next w:val="BodyText"/>
    <w:uiPriority w:val="9"/>
    <w:unhideWhenUsed/>
    <w:qFormat/>
    <w:pPr>
      <w:keepNext/>
      <w:keepLines/>
      <w:spacing w:after="120" w:before="280"/>
      <w:outlineLvl w:val="7"/>
    </w:pPr>
    <w:rPr>
      <w:rFonts w:asciiTheme="majorHAnsi" w:cstheme="majorBidi" w:eastAsiaTheme="majorEastAsia" w:hAnsiTheme="majorHAnsi" w:ascii="Calibri" w:hAnsi="Calibri"/>
      <w:color w:val="000000"/>
      <w:sz w:val="26"/>
      <w:szCs w:val="24"/>
    </w:rPr>
  </w:style>
  <w:style w:styleId="Heading9" w:type="paragraph">
    <w:name w:val="Heading 9"/>
    <w:basedOn w:val="Normal"/>
    <w:next w:val="BodyText"/>
    <w:uiPriority w:val="9"/>
    <w:unhideWhenUsed/>
    <w:qFormat/>
    <w:pPr>
      <w:keepNext/>
      <w:keepLines/>
      <w:spacing w:after="120" w:before="280"/>
      <w:outlineLvl w:val="8"/>
    </w:pPr>
    <w:rPr>
      <w:rFonts w:asciiTheme="majorHAnsi" w:cstheme="majorBidi" w:eastAsiaTheme="majorEastAsia" w:hAnsiTheme="majorHAnsi" w:ascii="Calibri" w:hAnsi="Calibri"/>
      <w:color w:val="000000"/>
      <w:sz w:val="26"/>
      <w:szCs w:val="24"/>
    </w:rPr>
  </w:style>
  <w:style w:styleId="BlockText" w:type="paragraph">
    <w:name w:val="Block Text"/>
    <w:basedOn w:val="BodyText"/>
    <w:next w:val="BodyText"/>
    <w:uiPriority w:val="9"/>
    <w:unhideWhenUsed/>
    <w:qFormat/>
    <w:pPr>
      <w:spacing w:after="100" w:before="100"/>
      <w:ind w:firstLine="0" w:left="480" w:right="480"/>
    </w:pPr>
    <w:rPr>
      <w:color w:val="000000"/>
    </w:rPr>
  </w:style>
  <w:style w:styleId="FootnoteText" w:type="paragraph">
    <w:name w:val="Footnote Text"/>
    <w:basedOn w:val="Normal"/>
    <w:next w:val="FootnoteText"/>
    <w:uiPriority w:val="9"/>
    <w:unhideWhenUsed/>
    <w:qFormat/>
    <w:rPr>
      <w:color w:val="000000"/>
    </w:r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color w:val="000000"/>
    </w:rPr>
  </w:style>
  <w:style w:customStyle="1" w:styleId="Definition" w:type="paragraph">
    <w:name w:val="Definition"/>
    <w:basedOn w:val="Normal"/>
    <w:rPr>
      <w:color w:val="000000"/>
    </w:rPr>
  </w:style>
  <w:style w:styleId="Caption" w:type="paragraph">
    <w:name w:val="Caption"/>
    <w:basedOn w:val="Normal"/>
    <w:link w:val="BodyTextChar"/>
    <w:pPr>
      <w:spacing w:after="120" w:before="0"/>
    </w:pPr>
    <w:rPr>
      <w:i/>
      <w:color w:val="000000"/>
    </w:rPr>
  </w:style>
  <w:style w:customStyle="1" w:styleId="TableCaption" w:type="paragraph">
    <w:name w:val="Table Caption"/>
    <w:basedOn w:val="Caption"/>
    <w:pPr>
      <w:keepNext/>
    </w:pPr>
    <w:rPr>
      <w:color w:val="000000"/>
    </w:rPr>
  </w:style>
  <w:style w:customStyle="1" w:styleId="ImageCaption" w:type="paragraph">
    <w:name w:val="Image Caption"/>
    <w:basedOn w:val="Caption"/>
    <w:rPr>
      <w:color w:val="000000"/>
    </w:rPr>
  </w:style>
  <w:style w:customStyle="1" w:styleId="Figure" w:type="paragraph">
    <w:name w:val="Figure"/>
    <w:basedOn w:val="Normal"/>
    <w:rPr>
      <w:color w:val="000000"/>
    </w:rPr>
  </w:style>
  <w:style w:customStyle="1" w:styleId="CaptionedFigure" w:type="paragraph">
    <w:name w:val="Captioned Figure"/>
    <w:basedOn w:val="Figure"/>
    <w:pPr>
      <w:keepNext/>
    </w:pPr>
    <w:rPr>
      <w:color w:val="000000"/>
    </w:r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val="000000"/>
    </w:rPr>
  </w:style>
  <w:style w:type="paragraph" w:customStyle="1" w:styleId="SourceCode">
    <w:name w:val="Source Code"/>
    <w:basedOn w:val="Normal"/>
    <w:link w:val="VerbatimChar"/>
    <w:pPr>
      <w:wordWrap w:val="off"/>
    </w:pPr>
    <w:rPr>
      <w:color w:val="000000"/>
    </w:r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Fifth-point boundary coefficients</dc:title>
  <dc:creator>Codex research continuation for David</dc:creator>
  <cp:keywords/>
  <dcterms:created xsi:type="dcterms:W3CDTF">2026-09-30T02:16:04Z</dcterms:created>
  <dcterms:modified xsi:type="dcterms:W3CDTF">2026-09-30T02:16:04Z</dcterms:modified>
  <dc:subject>Second-kind Cartier proofs, exact boundary workload prototype and measured limitations</dc:subject>
</cp:coreProperties>
</file>

<file path=docProps/custom.xml><?xml version="1.0" encoding="utf-8"?>
<Properties xmlns="http://schemas.openxmlformats.org/officeDocument/2006/custom-properties" xmlns:vt="http://schemas.openxmlformats.org/officeDocument/2006/docPropsVTypes"/>
</file>